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ACEE8C">
      <w:pPr>
        <w:jc w:val="center"/>
        <w:rPr>
          <w:rFonts w:ascii="黑体" w:hAnsi="黑体" w:eastAsia="黑体"/>
          <w:b/>
          <w:color w:val="000000"/>
          <w:sz w:val="44"/>
          <w:szCs w:val="48"/>
        </w:rPr>
      </w:pPr>
      <w:r>
        <w:rPr>
          <w:rFonts w:hint="eastAsia" w:ascii="黑体" w:hAnsi="黑体" w:eastAsia="黑体"/>
          <w:b/>
          <w:color w:val="000000"/>
          <w:sz w:val="44"/>
          <w:szCs w:val="48"/>
        </w:rPr>
        <w:t>重庆市科技进步奖公示</w:t>
      </w:r>
    </w:p>
    <w:p w14:paraId="35AB5DCA">
      <w:pPr>
        <w:keepNext w:val="0"/>
        <w:keepLines w:val="0"/>
        <w:widowControl/>
        <w:suppressLineNumbers w:val="0"/>
        <w:jc w:val="left"/>
      </w:pPr>
    </w:p>
    <w:p w14:paraId="40EC228A">
      <w:pPr>
        <w:numPr>
          <w:ilvl w:val="0"/>
          <w:numId w:val="1"/>
        </w:numPr>
        <w:spacing w:line="540" w:lineRule="exact"/>
        <w:rPr>
          <w:rFonts w:hint="default" w:ascii="宋体" w:hAnsi="宋体" w:eastAsia="宋体"/>
          <w:color w:val="000000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b/>
          <w:color w:val="000000"/>
          <w:spacing w:val="-4"/>
          <w:sz w:val="28"/>
          <w:szCs w:val="32"/>
        </w:rPr>
        <w:t>项目名称</w:t>
      </w:r>
      <w:r>
        <w:rPr>
          <w:rFonts w:hint="eastAsia" w:ascii="宋体" w:hAnsi="宋体" w:eastAsia="宋体"/>
          <w:color w:val="000000"/>
          <w:spacing w:val="-4"/>
          <w:sz w:val="28"/>
          <w:szCs w:val="32"/>
        </w:rPr>
        <w:t>：</w:t>
      </w:r>
      <w:r>
        <w:rPr>
          <w:rFonts w:hint="eastAsia" w:ascii="宋体" w:hAnsi="宋体" w:eastAsia="宋体"/>
          <w:color w:val="000000"/>
          <w:sz w:val="28"/>
          <w:szCs w:val="32"/>
          <w:lang w:val="en-US" w:eastAsia="zh-CN"/>
        </w:rPr>
        <w:t>心血管慢病药物治疗管理诊疗一体化系统的建立与推广应用</w:t>
      </w:r>
    </w:p>
    <w:p w14:paraId="19B968E7">
      <w:pPr>
        <w:spacing w:line="540" w:lineRule="exact"/>
        <w:rPr>
          <w:rFonts w:hint="eastAsia" w:ascii="宋体" w:hAnsi="宋体" w:eastAsia="宋体"/>
          <w:color w:val="000000"/>
          <w:sz w:val="28"/>
          <w:szCs w:val="32"/>
          <w:lang w:eastAsia="zh-CN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二、提名单位：</w:t>
      </w:r>
      <w:r>
        <w:rPr>
          <w:rFonts w:hint="eastAsia" w:ascii="宋体" w:hAnsi="宋体" w:eastAsia="宋体"/>
          <w:color w:val="000000"/>
          <w:sz w:val="28"/>
          <w:szCs w:val="32"/>
        </w:rPr>
        <w:t>重庆市</w:t>
      </w:r>
      <w:r>
        <w:rPr>
          <w:rFonts w:hint="eastAsia" w:ascii="宋体" w:hAnsi="宋体" w:eastAsia="宋体"/>
          <w:color w:val="000000"/>
          <w:sz w:val="28"/>
          <w:szCs w:val="32"/>
          <w:lang w:val="en-US" w:eastAsia="zh-CN"/>
        </w:rPr>
        <w:t>渝中</w:t>
      </w:r>
      <w:r>
        <w:rPr>
          <w:rFonts w:hint="eastAsia" w:ascii="宋体" w:hAnsi="宋体" w:eastAsia="宋体"/>
          <w:color w:val="000000"/>
          <w:sz w:val="28"/>
          <w:szCs w:val="32"/>
        </w:rPr>
        <w:t>区</w:t>
      </w:r>
      <w:r>
        <w:rPr>
          <w:rFonts w:hint="eastAsia" w:ascii="宋体" w:hAnsi="宋体" w:eastAsia="宋体"/>
          <w:color w:val="000000"/>
          <w:sz w:val="28"/>
          <w:szCs w:val="32"/>
          <w:lang w:eastAsia="zh-CN"/>
        </w:rPr>
        <w:t>人民政府</w:t>
      </w:r>
    </w:p>
    <w:p w14:paraId="2D8214AE">
      <w:pPr>
        <w:spacing w:line="540" w:lineRule="exact"/>
        <w:rPr>
          <w:rFonts w:ascii="宋体" w:hAnsi="宋体" w:eastAsia="宋体"/>
          <w:color w:val="000000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三、提名等级：</w:t>
      </w:r>
      <w:r>
        <w:rPr>
          <w:rFonts w:hint="eastAsia" w:ascii="宋体" w:hAnsi="宋体" w:eastAsia="宋体"/>
          <w:color w:val="000000"/>
          <w:sz w:val="28"/>
          <w:szCs w:val="32"/>
        </w:rPr>
        <w:t xml:space="preserve">重庆市科技进步奖 </w:t>
      </w:r>
      <w:r>
        <w:rPr>
          <w:rFonts w:hint="eastAsia" w:ascii="宋体" w:hAnsi="宋体" w:eastAsia="宋体"/>
          <w:color w:val="000000"/>
          <w:sz w:val="28"/>
          <w:szCs w:val="32"/>
          <w:lang w:eastAsia="zh-CN"/>
        </w:rPr>
        <w:t>二</w:t>
      </w:r>
      <w:r>
        <w:rPr>
          <w:rFonts w:hint="eastAsia" w:ascii="宋体" w:hAnsi="宋体" w:eastAsia="宋体"/>
          <w:color w:val="000000"/>
          <w:sz w:val="28"/>
          <w:szCs w:val="32"/>
        </w:rPr>
        <w:t>等奖</w:t>
      </w:r>
    </w:p>
    <w:p w14:paraId="7924900E">
      <w:pPr>
        <w:spacing w:line="540" w:lineRule="exact"/>
        <w:rPr>
          <w:rFonts w:hint="eastAsia" w:ascii="宋体" w:hAnsi="宋体" w:eastAsia="宋体"/>
          <w:b w:val="0"/>
          <w:bCs/>
          <w:color w:val="000000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四、主要完成单位：</w:t>
      </w:r>
      <w:r>
        <w:rPr>
          <w:rFonts w:hint="eastAsia" w:ascii="宋体" w:hAnsi="宋体" w:eastAsia="宋体"/>
          <w:b w:val="0"/>
          <w:bCs/>
          <w:color w:val="000000"/>
          <w:sz w:val="28"/>
          <w:szCs w:val="32"/>
        </w:rPr>
        <w:t>重庆医科大学、西南大学</w:t>
      </w:r>
    </w:p>
    <w:p w14:paraId="789C6423">
      <w:pPr>
        <w:spacing w:line="540" w:lineRule="exact"/>
        <w:rPr>
          <w:rFonts w:hint="default" w:ascii="宋体" w:hAnsi="宋体" w:eastAsia="宋体"/>
          <w:color w:val="000000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五、主要完成人：</w:t>
      </w:r>
      <w:r>
        <w:rPr>
          <w:rFonts w:hint="eastAsia" w:ascii="宋体" w:hAnsi="宋体" w:eastAsia="宋体"/>
          <w:b w:val="0"/>
          <w:bCs/>
          <w:color w:val="000000"/>
          <w:sz w:val="28"/>
          <w:szCs w:val="32"/>
        </w:rPr>
        <w:t>钱妍、王娜、黄承志、李頔、陈芸霖、凌巧、邱莎、李代毅、詹世鹏、李艳</w:t>
      </w:r>
    </w:p>
    <w:p w14:paraId="73C426A9">
      <w:pPr>
        <w:spacing w:line="460" w:lineRule="exact"/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</w:rPr>
        <w:t>六、项目简介：</w:t>
      </w:r>
      <w:r>
        <w:rPr>
          <w:rFonts w:ascii="宋体" w:hAnsi="宋体" w:eastAsia="宋体"/>
          <w:sz w:val="28"/>
          <w:szCs w:val="32"/>
        </w:rPr>
        <w:t xml:space="preserve"> </w:t>
      </w:r>
    </w:p>
    <w:p w14:paraId="04CEFA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bookmarkStart w:id="0" w:name="_GoBack"/>
      <w:r>
        <w:rPr>
          <w:rFonts w:hint="eastAsia" w:ascii="宋体" w:hAnsi="宋体" w:eastAsia="宋体"/>
          <w:sz w:val="28"/>
          <w:szCs w:val="32"/>
          <w:lang w:val="en-US" w:eastAsia="zh-CN"/>
        </w:rPr>
        <w:t>心血管疾病（CVD）是我国慢性病致死的主要病因，但CVD管理方面存在诊断滞后、长期随访不足等问题，严重影响了CVD患者的治疗效果和生活质量。构建规范化、标准化、精准化的药物治疗管理诊疗一体化系统成为提升CVD患者管理的重要课题。本项目在国家科技重大专项课题、国家自然科学基金、重庆市科技局等20余项省部级以上项目支持下，聚焦药物治疗管理（MTM）慢病防控的核心环节进行以下探索：</w:t>
      </w:r>
    </w:p>
    <w:p w14:paraId="14AF7F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1. 构建全流程心血管慢病药物治疗管理创新药学服务模式</w:t>
      </w:r>
    </w:p>
    <w:p w14:paraId="7A4823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以心血管领域高血压、房颤、心衰三大疾病为重点，针对影响复杂用药方案中的高级宏观认知过程，首次提出SPMDC管理理论，完善CVD患者从住院到门诊、社区的全流程、闭环式药物治疗管理策略，成功构建以患者为中心的入院评估-药物重整-方案制定-用药指导-用药监护-跟踪随访的规范化管理新模式，提高CVD治疗的安全性和有效性。获批国家自然科学基金管理学部1项，纳入重庆市医疗机构临床药学服务规范。</w:t>
      </w:r>
    </w:p>
    <w:p w14:paraId="5B906E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2. 以“互联网+”技术为支撑，搭建心血管慢病药物治疗管理平台</w:t>
      </w:r>
    </w:p>
    <w:p w14:paraId="7711CE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为改善患者随访率较低的现状，提高管理质量，创新开发基于“互联网+”的心血管慢病管理平台，采用患者端小程序与药师端智能管理平台实现线上交互，通过档案建立、疾病评估、决策制定、患者管理、健康教育、用药提醒等功能，实现对患者线上线下全程式、闭环化跟踪管理，提升患者的治疗质量及依从性。通过高效规范管理，房颤患者抗凝治疗达标率由42.2%提升到57.3%。该平台获批重庆市首个药学类适宜技术推广项目并获优秀结题，完成7家医院的落地推广，300余名医务工作者参与培训，累计1300余名患者纳入管理。获国家发明专利1项。</w:t>
      </w:r>
    </w:p>
    <w:p w14:paraId="1476F8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3. 建立心血管疾病诊断技术和精准防治体系</w:t>
      </w:r>
    </w:p>
    <w:p w14:paraId="5E1147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①CVD管理的首要挑战在于诊断的滞后性，团队聚焦早诊断与个体化防治，深入研究CVD发病机制，提出具有高诊断价值的潜在生物标志物[Cardiovasc. Ther. 2024；Exp Cell Res 2019 ]，团队长期致力于miRNA组学检测，成果发表在Adv. Func. Mater，Angew. Chem. Int. Ed等期刊，利用对miRNA特异性响应的比色生物传感器成功构建便携式智能即时检测（POCT）平台，实现miRNA的快速精准检测，获批国家发明专利1项。②针对CVD治疗中临床决策困境，结合临床实际问题构建循证决策体系用于指导临床个体化用药方案，牵头和参与9部国家级权威指南共识的制定；③采用多维度数据，基于统计模型或机器学习算法，构建疾病及药物治疗预测模型并开展真实世界研究，识别CVD高危患者，为患者提供个体化的药学服务和分层随访管理，同时将疾病预测模型纳入心血管慢病药物治疗管理平台，实现个性化、精准化的高质量药学服务，进一步优化闭环式管理模式。</w:t>
      </w:r>
    </w:p>
    <w:p w14:paraId="5323EF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项目在Adv. Func. Mater，Biosens. Bioelectron，Angew. Chem. Int. Ed，Anal. Chem等高水平杂志发表相关SCI 82篇，获得发明专利6项，实用新型专利1项。牵头和参与制定行业指南/共识18篇，出版教材/专著16部。牵头成立重庆抗栓药学联盟，承办国内外学术会议52次，开展基层药学服务40次，关键技术在7家医院应用，45家联盟单位推广，累计管理1300余名患者，取得良好的国际国内推广应用、社会效益和经济效益。</w:t>
      </w:r>
    </w:p>
    <w:bookmarkEnd w:id="0"/>
    <w:p w14:paraId="48A1E168">
      <w:pPr>
        <w:spacing w:line="540" w:lineRule="exact"/>
        <w:rPr>
          <w:rFonts w:ascii="宋体" w:hAnsi="宋体" w:eastAsia="宋体"/>
          <w:b/>
          <w:color w:val="000000"/>
          <w:sz w:val="28"/>
          <w:szCs w:val="32"/>
        </w:rPr>
      </w:pPr>
      <w:r>
        <w:rPr>
          <w:rFonts w:hint="eastAsia" w:ascii="宋体" w:hAnsi="宋体" w:eastAsia="宋体"/>
          <w:b/>
          <w:color w:val="000000"/>
          <w:sz w:val="28"/>
          <w:szCs w:val="32"/>
          <w:lang w:eastAsia="zh-CN"/>
        </w:rPr>
        <w:t>七</w:t>
      </w:r>
      <w:r>
        <w:rPr>
          <w:rFonts w:hint="eastAsia" w:ascii="宋体" w:hAnsi="宋体" w:eastAsia="宋体"/>
          <w:b/>
          <w:color w:val="000000"/>
          <w:sz w:val="28"/>
          <w:szCs w:val="32"/>
        </w:rPr>
        <w:t>、主要知识产权和标准规范等目录：</w:t>
      </w:r>
    </w:p>
    <w:tbl>
      <w:tblPr>
        <w:tblStyle w:val="9"/>
        <w:tblW w:w="1018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783"/>
        <w:gridCol w:w="946"/>
        <w:gridCol w:w="946"/>
        <w:gridCol w:w="946"/>
        <w:gridCol w:w="946"/>
        <w:gridCol w:w="1303"/>
        <w:gridCol w:w="1147"/>
        <w:gridCol w:w="1083"/>
      </w:tblGrid>
      <w:tr w14:paraId="196F5A9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80" w:type="dxa"/>
            <w:vAlign w:val="center"/>
          </w:tcPr>
          <w:p w14:paraId="7C81D1DF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知识产权（标准）类别</w:t>
            </w:r>
          </w:p>
        </w:tc>
        <w:tc>
          <w:tcPr>
            <w:tcW w:w="1783" w:type="dxa"/>
            <w:vAlign w:val="center"/>
          </w:tcPr>
          <w:p w14:paraId="1B5D4DC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知识产权（标准）</w:t>
            </w:r>
          </w:p>
          <w:p w14:paraId="657E79A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具体名称</w:t>
            </w:r>
          </w:p>
        </w:tc>
        <w:tc>
          <w:tcPr>
            <w:tcW w:w="946" w:type="dxa"/>
            <w:vAlign w:val="center"/>
          </w:tcPr>
          <w:p w14:paraId="400CEC4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国家</w:t>
            </w:r>
          </w:p>
          <w:p w14:paraId="4AD0607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（地区）</w:t>
            </w:r>
          </w:p>
        </w:tc>
        <w:tc>
          <w:tcPr>
            <w:tcW w:w="946" w:type="dxa"/>
            <w:vAlign w:val="center"/>
          </w:tcPr>
          <w:p w14:paraId="3712845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授权号（标准编号）</w:t>
            </w:r>
          </w:p>
        </w:tc>
        <w:tc>
          <w:tcPr>
            <w:tcW w:w="946" w:type="dxa"/>
            <w:vAlign w:val="center"/>
          </w:tcPr>
          <w:p w14:paraId="5C6AAFE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授权（标准发布）日期</w:t>
            </w:r>
          </w:p>
        </w:tc>
        <w:tc>
          <w:tcPr>
            <w:tcW w:w="946" w:type="dxa"/>
            <w:vAlign w:val="center"/>
          </w:tcPr>
          <w:p w14:paraId="03EC0027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证书编号</w:t>
            </w: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br w:type="textWrapping"/>
            </w: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（标准批准发布部门）</w:t>
            </w:r>
          </w:p>
        </w:tc>
        <w:tc>
          <w:tcPr>
            <w:tcW w:w="1303" w:type="dxa"/>
            <w:vAlign w:val="center"/>
          </w:tcPr>
          <w:p w14:paraId="0FCE7E9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权利人（标准起草单位）</w:t>
            </w:r>
          </w:p>
        </w:tc>
        <w:tc>
          <w:tcPr>
            <w:tcW w:w="1147" w:type="dxa"/>
            <w:vAlign w:val="center"/>
          </w:tcPr>
          <w:p w14:paraId="7FDBE11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发明人（标准起草人）</w:t>
            </w:r>
          </w:p>
        </w:tc>
        <w:tc>
          <w:tcPr>
            <w:tcW w:w="1083" w:type="dxa"/>
            <w:vAlign w:val="center"/>
          </w:tcPr>
          <w:p w14:paraId="31580973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/>
                <w:bCs/>
                <w:color w:val="000000"/>
                <w:kern w:val="2"/>
                <w:sz w:val="21"/>
                <w:szCs w:val="22"/>
              </w:rPr>
              <w:t>发明专利（标准）有效状态</w:t>
            </w:r>
          </w:p>
        </w:tc>
      </w:tr>
      <w:tr w14:paraId="0689B28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5FF43112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360B58EE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基于互联网的心房颤动患者信息化管理与服务系统及方法</w:t>
            </w:r>
          </w:p>
        </w:tc>
        <w:tc>
          <w:tcPr>
            <w:tcW w:w="946" w:type="dxa"/>
            <w:vAlign w:val="center"/>
          </w:tcPr>
          <w:p w14:paraId="6C5F70AF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2472DBB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CN110136815B</w:t>
            </w:r>
          </w:p>
        </w:tc>
        <w:tc>
          <w:tcPr>
            <w:tcW w:w="946" w:type="dxa"/>
            <w:vAlign w:val="center"/>
          </w:tcPr>
          <w:p w14:paraId="6562E15A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2023-09-26</w:t>
            </w:r>
          </w:p>
        </w:tc>
        <w:tc>
          <w:tcPr>
            <w:tcW w:w="946" w:type="dxa"/>
            <w:vAlign w:val="center"/>
          </w:tcPr>
          <w:p w14:paraId="1D6C218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ZL20191 0387392.4</w:t>
            </w:r>
          </w:p>
        </w:tc>
        <w:tc>
          <w:tcPr>
            <w:tcW w:w="1303" w:type="dxa"/>
            <w:vAlign w:val="center"/>
          </w:tcPr>
          <w:p w14:paraId="584FC842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重庆医科大学附属第二医院</w:t>
            </w:r>
          </w:p>
        </w:tc>
        <w:tc>
          <w:tcPr>
            <w:tcW w:w="1147" w:type="dxa"/>
            <w:vAlign w:val="center"/>
          </w:tcPr>
          <w:p w14:paraId="07C261FF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 xml:space="preserve">王娜，钱妍 </w:t>
            </w:r>
          </w:p>
        </w:tc>
        <w:tc>
          <w:tcPr>
            <w:tcW w:w="1083" w:type="dxa"/>
            <w:vAlign w:val="center"/>
          </w:tcPr>
          <w:p w14:paraId="47363B3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5C995F0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7C2040A2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7C5C76B7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一种用于检测miRNA-21 的纳米探针及其制备方法、应用</w:t>
            </w:r>
          </w:p>
        </w:tc>
        <w:tc>
          <w:tcPr>
            <w:tcW w:w="946" w:type="dxa"/>
            <w:vAlign w:val="center"/>
          </w:tcPr>
          <w:p w14:paraId="02435208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6BAEA0A5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CN118621003A</w:t>
            </w:r>
          </w:p>
        </w:tc>
        <w:tc>
          <w:tcPr>
            <w:tcW w:w="946" w:type="dxa"/>
            <w:vAlign w:val="center"/>
          </w:tcPr>
          <w:p w14:paraId="2555CC7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2024-09-10</w:t>
            </w:r>
          </w:p>
        </w:tc>
        <w:tc>
          <w:tcPr>
            <w:tcW w:w="946" w:type="dxa"/>
            <w:vAlign w:val="center"/>
          </w:tcPr>
          <w:p w14:paraId="67909DD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ZL202410802405.0</w:t>
            </w:r>
          </w:p>
        </w:tc>
        <w:tc>
          <w:tcPr>
            <w:tcW w:w="1303" w:type="dxa"/>
            <w:vAlign w:val="center"/>
          </w:tcPr>
          <w:p w14:paraId="3204CB1A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重庆医科大学附属第二医</w:t>
            </w:r>
          </w:p>
        </w:tc>
        <w:tc>
          <w:tcPr>
            <w:tcW w:w="1147" w:type="dxa"/>
            <w:vAlign w:val="center"/>
          </w:tcPr>
          <w:p w14:paraId="7CF0778A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王娜,林铅凯,李春梅</w:t>
            </w:r>
          </w:p>
        </w:tc>
        <w:tc>
          <w:tcPr>
            <w:tcW w:w="1083" w:type="dxa"/>
            <w:vAlign w:val="center"/>
          </w:tcPr>
          <w:p w14:paraId="3026D3D5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2181314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1FFF0F5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16FB5884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基于纳米金信号放大的人呼吸道合胞病毒检测试剂盒</w:t>
            </w:r>
          </w:p>
        </w:tc>
        <w:tc>
          <w:tcPr>
            <w:tcW w:w="946" w:type="dxa"/>
            <w:vAlign w:val="center"/>
          </w:tcPr>
          <w:p w14:paraId="437F7B5F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0CACC6E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CN103399148B</w:t>
            </w:r>
          </w:p>
        </w:tc>
        <w:tc>
          <w:tcPr>
            <w:tcW w:w="946" w:type="dxa"/>
            <w:vAlign w:val="center"/>
          </w:tcPr>
          <w:p w14:paraId="5B583CA6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2015-09-30</w:t>
            </w:r>
          </w:p>
        </w:tc>
        <w:tc>
          <w:tcPr>
            <w:tcW w:w="946" w:type="dxa"/>
            <w:vAlign w:val="center"/>
          </w:tcPr>
          <w:p w14:paraId="631BA23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ZL201310340672.2</w:t>
            </w:r>
          </w:p>
        </w:tc>
        <w:tc>
          <w:tcPr>
            <w:tcW w:w="1303" w:type="dxa"/>
            <w:vAlign w:val="center"/>
          </w:tcPr>
          <w:p w14:paraId="362BFA9E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西南大学</w:t>
            </w:r>
          </w:p>
        </w:tc>
        <w:tc>
          <w:tcPr>
            <w:tcW w:w="1147" w:type="dxa"/>
            <w:vAlign w:val="center"/>
          </w:tcPr>
          <w:p w14:paraId="503A4DE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黄承志，詹蕾</w:t>
            </w:r>
          </w:p>
        </w:tc>
        <w:tc>
          <w:tcPr>
            <w:tcW w:w="1083" w:type="dxa"/>
            <w:vAlign w:val="center"/>
          </w:tcPr>
          <w:p w14:paraId="67CC3E5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30E0788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73BF1B9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05933725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基于固相表面增强光散射的生物分子相互作用分析方法</w:t>
            </w:r>
          </w:p>
        </w:tc>
        <w:tc>
          <w:tcPr>
            <w:tcW w:w="946" w:type="dxa"/>
            <w:vAlign w:val="center"/>
          </w:tcPr>
          <w:p w14:paraId="7BB7498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418BA325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CN100491976C</w:t>
            </w:r>
          </w:p>
        </w:tc>
        <w:tc>
          <w:tcPr>
            <w:tcW w:w="946" w:type="dxa"/>
            <w:vAlign w:val="center"/>
          </w:tcPr>
          <w:p w14:paraId="24FE8EC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2009-05-27</w:t>
            </w:r>
          </w:p>
        </w:tc>
        <w:tc>
          <w:tcPr>
            <w:tcW w:w="946" w:type="dxa"/>
            <w:vAlign w:val="center"/>
          </w:tcPr>
          <w:p w14:paraId="54B8DF1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ZL2006 10054066.4</w:t>
            </w:r>
          </w:p>
        </w:tc>
        <w:tc>
          <w:tcPr>
            <w:tcW w:w="1303" w:type="dxa"/>
            <w:vAlign w:val="center"/>
          </w:tcPr>
          <w:p w14:paraId="5353F516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西南大学</w:t>
            </w:r>
          </w:p>
        </w:tc>
        <w:tc>
          <w:tcPr>
            <w:tcW w:w="1147" w:type="dxa"/>
            <w:vAlign w:val="center"/>
          </w:tcPr>
          <w:p w14:paraId="56EE2482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黄承志，赵华文，李原芳</w:t>
            </w:r>
          </w:p>
        </w:tc>
        <w:tc>
          <w:tcPr>
            <w:tcW w:w="1083" w:type="dxa"/>
            <w:vAlign w:val="center"/>
          </w:tcPr>
          <w:p w14:paraId="08FB6F1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3A5D85D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4B23A1E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31062296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尿酸酶脂质纳米粒及其制备工艺</w:t>
            </w:r>
          </w:p>
        </w:tc>
        <w:tc>
          <w:tcPr>
            <w:tcW w:w="946" w:type="dxa"/>
            <w:vAlign w:val="center"/>
          </w:tcPr>
          <w:p w14:paraId="536992E8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1435B3E3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CN101816630B</w:t>
            </w:r>
          </w:p>
        </w:tc>
        <w:tc>
          <w:tcPr>
            <w:tcW w:w="946" w:type="dxa"/>
            <w:vAlign w:val="center"/>
          </w:tcPr>
          <w:p w14:paraId="6B42CAA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2012-07-4</w:t>
            </w:r>
          </w:p>
        </w:tc>
        <w:tc>
          <w:tcPr>
            <w:tcW w:w="946" w:type="dxa"/>
            <w:vAlign w:val="center"/>
          </w:tcPr>
          <w:p w14:paraId="7C64610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ZL200910103269.1</w:t>
            </w:r>
          </w:p>
        </w:tc>
        <w:tc>
          <w:tcPr>
            <w:tcW w:w="1303" w:type="dxa"/>
            <w:vAlign w:val="center"/>
          </w:tcPr>
          <w:p w14:paraId="31EBEC3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</w:t>
            </w:r>
          </w:p>
        </w:tc>
        <w:tc>
          <w:tcPr>
            <w:tcW w:w="1147" w:type="dxa"/>
            <w:vAlign w:val="center"/>
          </w:tcPr>
          <w:p w14:paraId="42D0DDC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张景勍，王娜，赵春景，廖飞，董志，邱宗荫</w:t>
            </w:r>
          </w:p>
        </w:tc>
        <w:tc>
          <w:tcPr>
            <w:tcW w:w="1083" w:type="dxa"/>
            <w:vAlign w:val="center"/>
          </w:tcPr>
          <w:p w14:paraId="61D819AA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333DF88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70711CB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新型实用型专利</w:t>
            </w:r>
          </w:p>
        </w:tc>
        <w:tc>
          <w:tcPr>
            <w:tcW w:w="1783" w:type="dxa"/>
            <w:vAlign w:val="center"/>
          </w:tcPr>
          <w:p w14:paraId="3E687DD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用药记录器</w:t>
            </w:r>
          </w:p>
        </w:tc>
        <w:tc>
          <w:tcPr>
            <w:tcW w:w="946" w:type="dxa"/>
            <w:vAlign w:val="center"/>
          </w:tcPr>
          <w:p w14:paraId="49AF77D8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6B9566C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CN210627256U</w:t>
            </w:r>
          </w:p>
        </w:tc>
        <w:tc>
          <w:tcPr>
            <w:tcW w:w="946" w:type="dxa"/>
            <w:vAlign w:val="center"/>
          </w:tcPr>
          <w:p w14:paraId="5D9564F8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2020-05-26</w:t>
            </w:r>
          </w:p>
        </w:tc>
        <w:tc>
          <w:tcPr>
            <w:tcW w:w="946" w:type="dxa"/>
            <w:vAlign w:val="center"/>
          </w:tcPr>
          <w:p w14:paraId="474F553C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ZL201922006043.1</w:t>
            </w:r>
          </w:p>
        </w:tc>
        <w:tc>
          <w:tcPr>
            <w:tcW w:w="1303" w:type="dxa"/>
            <w:vAlign w:val="center"/>
          </w:tcPr>
          <w:p w14:paraId="4985C227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重庆医科大学附属第二医院</w:t>
            </w:r>
          </w:p>
        </w:tc>
        <w:tc>
          <w:tcPr>
            <w:tcW w:w="1147" w:type="dxa"/>
            <w:vAlign w:val="center"/>
          </w:tcPr>
          <w:p w14:paraId="2B762677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王娜</w:t>
            </w:r>
          </w:p>
        </w:tc>
        <w:tc>
          <w:tcPr>
            <w:tcW w:w="1083" w:type="dxa"/>
            <w:vAlign w:val="center"/>
          </w:tcPr>
          <w:p w14:paraId="6EAE63F7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有效</w:t>
            </w:r>
          </w:p>
        </w:tc>
      </w:tr>
      <w:tr w14:paraId="7DDA678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1CB1D1F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6CD1505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一种基于大数据的心衰患者风险控制方法和系统</w:t>
            </w:r>
          </w:p>
        </w:tc>
        <w:tc>
          <w:tcPr>
            <w:tcW w:w="946" w:type="dxa"/>
            <w:vAlign w:val="center"/>
          </w:tcPr>
          <w:p w14:paraId="35030DD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5137BA6A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CN117577317A</w:t>
            </w:r>
          </w:p>
        </w:tc>
        <w:tc>
          <w:tcPr>
            <w:tcW w:w="946" w:type="dxa"/>
            <w:vAlign w:val="center"/>
          </w:tcPr>
          <w:p w14:paraId="61F75A42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2024-02-20</w:t>
            </w:r>
          </w:p>
        </w:tc>
        <w:tc>
          <w:tcPr>
            <w:tcW w:w="946" w:type="dxa"/>
            <w:vAlign w:val="center"/>
          </w:tcPr>
          <w:p w14:paraId="694E897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ZL202311419588.X</w:t>
            </w:r>
          </w:p>
        </w:tc>
        <w:tc>
          <w:tcPr>
            <w:tcW w:w="1303" w:type="dxa"/>
            <w:vAlign w:val="center"/>
          </w:tcPr>
          <w:p w14:paraId="04FB8A5F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重庆医科大学附属第二医院</w:t>
            </w:r>
          </w:p>
        </w:tc>
        <w:tc>
          <w:tcPr>
            <w:tcW w:w="1147" w:type="dxa"/>
            <w:vAlign w:val="center"/>
          </w:tcPr>
          <w:p w14:paraId="40F81B94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王娜,凌巧,李代毅,邱莎,雷筱梅,林铅凯,孙文清</w:t>
            </w:r>
          </w:p>
        </w:tc>
        <w:tc>
          <w:tcPr>
            <w:tcW w:w="1083" w:type="dxa"/>
            <w:vAlign w:val="center"/>
          </w:tcPr>
          <w:p w14:paraId="0946D808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</w:p>
        </w:tc>
      </w:tr>
      <w:tr w14:paraId="17432B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Align w:val="center"/>
          </w:tcPr>
          <w:p w14:paraId="14A8C7E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国家发明专利</w:t>
            </w:r>
          </w:p>
        </w:tc>
        <w:tc>
          <w:tcPr>
            <w:tcW w:w="1783" w:type="dxa"/>
            <w:vAlign w:val="center"/>
          </w:tcPr>
          <w:p w14:paraId="2A0A892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一种基于 SOA 的心衰患者用药评价方法和系统</w:t>
            </w:r>
          </w:p>
        </w:tc>
        <w:tc>
          <w:tcPr>
            <w:tcW w:w="946" w:type="dxa"/>
            <w:vAlign w:val="center"/>
          </w:tcPr>
          <w:p w14:paraId="713D07B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中国</w:t>
            </w:r>
          </w:p>
        </w:tc>
        <w:tc>
          <w:tcPr>
            <w:tcW w:w="946" w:type="dxa"/>
            <w:vAlign w:val="center"/>
          </w:tcPr>
          <w:p w14:paraId="4D5CFFAB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申请中</w:t>
            </w:r>
          </w:p>
        </w:tc>
        <w:tc>
          <w:tcPr>
            <w:tcW w:w="946" w:type="dxa"/>
            <w:vAlign w:val="center"/>
          </w:tcPr>
          <w:p w14:paraId="03C93265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-</w:t>
            </w:r>
          </w:p>
        </w:tc>
        <w:tc>
          <w:tcPr>
            <w:tcW w:w="946" w:type="dxa"/>
            <w:vAlign w:val="center"/>
          </w:tcPr>
          <w:p w14:paraId="589EF60D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-</w:t>
            </w:r>
          </w:p>
        </w:tc>
        <w:tc>
          <w:tcPr>
            <w:tcW w:w="1303" w:type="dxa"/>
            <w:vAlign w:val="center"/>
          </w:tcPr>
          <w:p w14:paraId="655234C0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重庆医科大学附属第二医院</w:t>
            </w:r>
          </w:p>
        </w:tc>
        <w:tc>
          <w:tcPr>
            <w:tcW w:w="1147" w:type="dxa"/>
            <w:vAlign w:val="center"/>
          </w:tcPr>
          <w:p w14:paraId="1DBE9666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钱妍,王娜,邱莎,李代毅,雷筱梅</w:t>
            </w:r>
          </w:p>
        </w:tc>
        <w:tc>
          <w:tcPr>
            <w:tcW w:w="1083" w:type="dxa"/>
            <w:vAlign w:val="center"/>
          </w:tcPr>
          <w:p w14:paraId="339C8911">
            <w:pPr>
              <w:pStyle w:val="3"/>
              <w:spacing w:line="280" w:lineRule="exact"/>
              <w:ind w:firstLine="0" w:firstLineChars="0"/>
              <w:jc w:val="center"/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</w:pPr>
            <w:r>
              <w:rPr>
                <w:rFonts w:hint="eastAsia" w:ascii="Times New Roman" w:hAnsi="Times New Roman" w:eastAsia="方正仿宋_GBK" w:cs="方正仿宋_GBK"/>
                <w:b w:val="0"/>
                <w:bCs w:val="0"/>
                <w:color w:val="000000"/>
                <w:kern w:val="2"/>
                <w:sz w:val="21"/>
                <w:szCs w:val="22"/>
              </w:rPr>
              <w:t>-</w:t>
            </w:r>
          </w:p>
        </w:tc>
      </w:tr>
    </w:tbl>
    <w:p w14:paraId="2ED50F35">
      <w:pPr>
        <w:spacing w:line="540" w:lineRule="exact"/>
        <w:rPr>
          <w:rFonts w:ascii="宋体" w:hAnsi="宋体" w:eastAsia="宋体"/>
          <w:b/>
          <w:bCs/>
          <w:color w:val="000000"/>
          <w:sz w:val="28"/>
          <w:szCs w:val="32"/>
        </w:rPr>
      </w:pPr>
    </w:p>
    <w:p w14:paraId="7BFBA3E3">
      <w:pPr>
        <w:spacing w:line="540" w:lineRule="exact"/>
        <w:rPr>
          <w:rFonts w:ascii="宋体" w:hAnsi="宋体" w:eastAsia="宋体"/>
          <w:color w:val="000000"/>
          <w:sz w:val="28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0C2801"/>
    <w:multiLevelType w:val="singleLevel"/>
    <w:tmpl w:val="920C280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NDNhMWY5YWJiNjdjYjE3YWQ1NGU0ZTQyNGQ5NWEifQ=="/>
  </w:docVars>
  <w:rsids>
    <w:rsidRoot w:val="00D305CD"/>
    <w:rsid w:val="00000B9A"/>
    <w:rsid w:val="000125E9"/>
    <w:rsid w:val="00015AEB"/>
    <w:rsid w:val="00037096"/>
    <w:rsid w:val="000375C6"/>
    <w:rsid w:val="000556A4"/>
    <w:rsid w:val="000562E9"/>
    <w:rsid w:val="0007334C"/>
    <w:rsid w:val="000862AF"/>
    <w:rsid w:val="00087D6B"/>
    <w:rsid w:val="00095ED5"/>
    <w:rsid w:val="000971F2"/>
    <w:rsid w:val="000A0D91"/>
    <w:rsid w:val="000A11F4"/>
    <w:rsid w:val="000B3BFA"/>
    <w:rsid w:val="000C1B48"/>
    <w:rsid w:val="000C2F2E"/>
    <w:rsid w:val="000C3033"/>
    <w:rsid w:val="000C452F"/>
    <w:rsid w:val="000C727F"/>
    <w:rsid w:val="000D59D3"/>
    <w:rsid w:val="000E288E"/>
    <w:rsid w:val="000E4F67"/>
    <w:rsid w:val="0010057F"/>
    <w:rsid w:val="00106004"/>
    <w:rsid w:val="00112237"/>
    <w:rsid w:val="00114A7F"/>
    <w:rsid w:val="001164BF"/>
    <w:rsid w:val="00126EA2"/>
    <w:rsid w:val="00132146"/>
    <w:rsid w:val="00134277"/>
    <w:rsid w:val="00150C3C"/>
    <w:rsid w:val="00152BEF"/>
    <w:rsid w:val="00165C02"/>
    <w:rsid w:val="00181A2F"/>
    <w:rsid w:val="00186FB9"/>
    <w:rsid w:val="00187487"/>
    <w:rsid w:val="001A2F1F"/>
    <w:rsid w:val="001A3440"/>
    <w:rsid w:val="001A43BB"/>
    <w:rsid w:val="001B4FF4"/>
    <w:rsid w:val="001B5B3B"/>
    <w:rsid w:val="001D013E"/>
    <w:rsid w:val="001D7DA9"/>
    <w:rsid w:val="001F3554"/>
    <w:rsid w:val="001F3C8A"/>
    <w:rsid w:val="0020613B"/>
    <w:rsid w:val="00206A92"/>
    <w:rsid w:val="0021395D"/>
    <w:rsid w:val="00221E01"/>
    <w:rsid w:val="002408A0"/>
    <w:rsid w:val="002425C8"/>
    <w:rsid w:val="00242ECC"/>
    <w:rsid w:val="00244385"/>
    <w:rsid w:val="002541C9"/>
    <w:rsid w:val="002577C8"/>
    <w:rsid w:val="00261E51"/>
    <w:rsid w:val="002725EC"/>
    <w:rsid w:val="0027280F"/>
    <w:rsid w:val="00282AA6"/>
    <w:rsid w:val="00285B1A"/>
    <w:rsid w:val="00287EC2"/>
    <w:rsid w:val="00295C4C"/>
    <w:rsid w:val="002979F4"/>
    <w:rsid w:val="002A1280"/>
    <w:rsid w:val="002A6CC2"/>
    <w:rsid w:val="002B31E0"/>
    <w:rsid w:val="002B4488"/>
    <w:rsid w:val="002C448D"/>
    <w:rsid w:val="002F55A3"/>
    <w:rsid w:val="003019D9"/>
    <w:rsid w:val="00307274"/>
    <w:rsid w:val="003075FA"/>
    <w:rsid w:val="0032548E"/>
    <w:rsid w:val="003313B1"/>
    <w:rsid w:val="00334F11"/>
    <w:rsid w:val="003411D7"/>
    <w:rsid w:val="00341F9E"/>
    <w:rsid w:val="00362D44"/>
    <w:rsid w:val="00374A39"/>
    <w:rsid w:val="0038314C"/>
    <w:rsid w:val="003A1224"/>
    <w:rsid w:val="003B0E59"/>
    <w:rsid w:val="003C2442"/>
    <w:rsid w:val="003D4ED8"/>
    <w:rsid w:val="003F4BCF"/>
    <w:rsid w:val="003F7314"/>
    <w:rsid w:val="0040088C"/>
    <w:rsid w:val="00403C64"/>
    <w:rsid w:val="004102A3"/>
    <w:rsid w:val="0042566B"/>
    <w:rsid w:val="0042630D"/>
    <w:rsid w:val="00431F39"/>
    <w:rsid w:val="00433F6F"/>
    <w:rsid w:val="004375B3"/>
    <w:rsid w:val="004421D0"/>
    <w:rsid w:val="00446144"/>
    <w:rsid w:val="00446BF3"/>
    <w:rsid w:val="0045208C"/>
    <w:rsid w:val="00457708"/>
    <w:rsid w:val="0046766B"/>
    <w:rsid w:val="00476F87"/>
    <w:rsid w:val="00482992"/>
    <w:rsid w:val="004A25BA"/>
    <w:rsid w:val="004A2ACA"/>
    <w:rsid w:val="004A5EFC"/>
    <w:rsid w:val="004B165D"/>
    <w:rsid w:val="004C08D7"/>
    <w:rsid w:val="004C5F0D"/>
    <w:rsid w:val="004E3573"/>
    <w:rsid w:val="004F319D"/>
    <w:rsid w:val="004F76F2"/>
    <w:rsid w:val="005132D0"/>
    <w:rsid w:val="005202C6"/>
    <w:rsid w:val="00543F1D"/>
    <w:rsid w:val="0056646F"/>
    <w:rsid w:val="0059647C"/>
    <w:rsid w:val="005C2AA4"/>
    <w:rsid w:val="005F10F8"/>
    <w:rsid w:val="00605A40"/>
    <w:rsid w:val="00607572"/>
    <w:rsid w:val="006134B1"/>
    <w:rsid w:val="00657FEB"/>
    <w:rsid w:val="006872C9"/>
    <w:rsid w:val="006D4EAB"/>
    <w:rsid w:val="006E50B0"/>
    <w:rsid w:val="006E5BD7"/>
    <w:rsid w:val="006F31F6"/>
    <w:rsid w:val="00712C56"/>
    <w:rsid w:val="00721D63"/>
    <w:rsid w:val="00725E7E"/>
    <w:rsid w:val="007334A5"/>
    <w:rsid w:val="007444C1"/>
    <w:rsid w:val="007559F3"/>
    <w:rsid w:val="0078508D"/>
    <w:rsid w:val="0078577C"/>
    <w:rsid w:val="00794517"/>
    <w:rsid w:val="007A405B"/>
    <w:rsid w:val="007A54F7"/>
    <w:rsid w:val="007B29C0"/>
    <w:rsid w:val="007C4419"/>
    <w:rsid w:val="007E5F2F"/>
    <w:rsid w:val="007E7BA4"/>
    <w:rsid w:val="007F1AE4"/>
    <w:rsid w:val="007F764A"/>
    <w:rsid w:val="008030C2"/>
    <w:rsid w:val="0080583A"/>
    <w:rsid w:val="00812E4D"/>
    <w:rsid w:val="00823BD3"/>
    <w:rsid w:val="00825C47"/>
    <w:rsid w:val="00826647"/>
    <w:rsid w:val="00836100"/>
    <w:rsid w:val="00846E6C"/>
    <w:rsid w:val="00851386"/>
    <w:rsid w:val="00856810"/>
    <w:rsid w:val="00862D0D"/>
    <w:rsid w:val="00864E3D"/>
    <w:rsid w:val="00866299"/>
    <w:rsid w:val="008718AA"/>
    <w:rsid w:val="00871B62"/>
    <w:rsid w:val="00873F7D"/>
    <w:rsid w:val="00876413"/>
    <w:rsid w:val="008A36ED"/>
    <w:rsid w:val="008A5C54"/>
    <w:rsid w:val="008B2707"/>
    <w:rsid w:val="008B3990"/>
    <w:rsid w:val="008D0937"/>
    <w:rsid w:val="008D3B8F"/>
    <w:rsid w:val="008F0729"/>
    <w:rsid w:val="008F6C03"/>
    <w:rsid w:val="00900092"/>
    <w:rsid w:val="00904D8E"/>
    <w:rsid w:val="00905C10"/>
    <w:rsid w:val="00921F52"/>
    <w:rsid w:val="009270F1"/>
    <w:rsid w:val="009333B7"/>
    <w:rsid w:val="00934214"/>
    <w:rsid w:val="00943CDC"/>
    <w:rsid w:val="00965005"/>
    <w:rsid w:val="009739FC"/>
    <w:rsid w:val="00976FB7"/>
    <w:rsid w:val="00983108"/>
    <w:rsid w:val="0099116B"/>
    <w:rsid w:val="0099745D"/>
    <w:rsid w:val="00997D14"/>
    <w:rsid w:val="009A19FE"/>
    <w:rsid w:val="009C4291"/>
    <w:rsid w:val="009E6C7A"/>
    <w:rsid w:val="00A11866"/>
    <w:rsid w:val="00A12FAF"/>
    <w:rsid w:val="00A328D9"/>
    <w:rsid w:val="00A50A8B"/>
    <w:rsid w:val="00A65786"/>
    <w:rsid w:val="00A70F49"/>
    <w:rsid w:val="00A73EA1"/>
    <w:rsid w:val="00A8244C"/>
    <w:rsid w:val="00A83AFE"/>
    <w:rsid w:val="00A840F5"/>
    <w:rsid w:val="00A856A3"/>
    <w:rsid w:val="00A86C7C"/>
    <w:rsid w:val="00A91CEA"/>
    <w:rsid w:val="00A93901"/>
    <w:rsid w:val="00AB1AA5"/>
    <w:rsid w:val="00AC0294"/>
    <w:rsid w:val="00AC102A"/>
    <w:rsid w:val="00AC2786"/>
    <w:rsid w:val="00AD0C32"/>
    <w:rsid w:val="00AD134F"/>
    <w:rsid w:val="00AD2C18"/>
    <w:rsid w:val="00AD2F1E"/>
    <w:rsid w:val="00AD3591"/>
    <w:rsid w:val="00AE23C8"/>
    <w:rsid w:val="00AE349C"/>
    <w:rsid w:val="00AE602D"/>
    <w:rsid w:val="00B141AD"/>
    <w:rsid w:val="00B207C2"/>
    <w:rsid w:val="00B207E7"/>
    <w:rsid w:val="00B20DD6"/>
    <w:rsid w:val="00B32B8C"/>
    <w:rsid w:val="00B32C8B"/>
    <w:rsid w:val="00B33E3F"/>
    <w:rsid w:val="00B40836"/>
    <w:rsid w:val="00B50922"/>
    <w:rsid w:val="00B52828"/>
    <w:rsid w:val="00B623BE"/>
    <w:rsid w:val="00B65FC8"/>
    <w:rsid w:val="00B67455"/>
    <w:rsid w:val="00B76626"/>
    <w:rsid w:val="00B778E3"/>
    <w:rsid w:val="00B85D03"/>
    <w:rsid w:val="00B915E2"/>
    <w:rsid w:val="00BB79F4"/>
    <w:rsid w:val="00BC0A1F"/>
    <w:rsid w:val="00BC63BA"/>
    <w:rsid w:val="00BD33E4"/>
    <w:rsid w:val="00BD3E5A"/>
    <w:rsid w:val="00BE16B8"/>
    <w:rsid w:val="00BE1C53"/>
    <w:rsid w:val="00BE43F5"/>
    <w:rsid w:val="00BE4FF9"/>
    <w:rsid w:val="00BE5E45"/>
    <w:rsid w:val="00BE6679"/>
    <w:rsid w:val="00BF00CF"/>
    <w:rsid w:val="00BF6B15"/>
    <w:rsid w:val="00C37141"/>
    <w:rsid w:val="00C45365"/>
    <w:rsid w:val="00C52800"/>
    <w:rsid w:val="00C56AB9"/>
    <w:rsid w:val="00C57F85"/>
    <w:rsid w:val="00C7111B"/>
    <w:rsid w:val="00C802B3"/>
    <w:rsid w:val="00C8129A"/>
    <w:rsid w:val="00CA0376"/>
    <w:rsid w:val="00CA0550"/>
    <w:rsid w:val="00CA6E0F"/>
    <w:rsid w:val="00CC4F2C"/>
    <w:rsid w:val="00D14B40"/>
    <w:rsid w:val="00D1575E"/>
    <w:rsid w:val="00D22DD8"/>
    <w:rsid w:val="00D271DF"/>
    <w:rsid w:val="00D305CD"/>
    <w:rsid w:val="00D46816"/>
    <w:rsid w:val="00D56DD5"/>
    <w:rsid w:val="00D620A6"/>
    <w:rsid w:val="00D628DB"/>
    <w:rsid w:val="00D6423D"/>
    <w:rsid w:val="00D6476B"/>
    <w:rsid w:val="00D720B8"/>
    <w:rsid w:val="00D73535"/>
    <w:rsid w:val="00D73E1C"/>
    <w:rsid w:val="00D81DB2"/>
    <w:rsid w:val="00D85F55"/>
    <w:rsid w:val="00D86BCB"/>
    <w:rsid w:val="00DA5D32"/>
    <w:rsid w:val="00DB14C8"/>
    <w:rsid w:val="00DB1FD7"/>
    <w:rsid w:val="00DB2A37"/>
    <w:rsid w:val="00DD1CDB"/>
    <w:rsid w:val="00DD5F55"/>
    <w:rsid w:val="00DE0993"/>
    <w:rsid w:val="00E056CE"/>
    <w:rsid w:val="00E229E5"/>
    <w:rsid w:val="00E2462D"/>
    <w:rsid w:val="00E24FEE"/>
    <w:rsid w:val="00E4462D"/>
    <w:rsid w:val="00E82CF9"/>
    <w:rsid w:val="00E8771C"/>
    <w:rsid w:val="00E92E46"/>
    <w:rsid w:val="00E94EB2"/>
    <w:rsid w:val="00E97B64"/>
    <w:rsid w:val="00EA378C"/>
    <w:rsid w:val="00EA66AF"/>
    <w:rsid w:val="00EB1FA8"/>
    <w:rsid w:val="00EC04D5"/>
    <w:rsid w:val="00EC264C"/>
    <w:rsid w:val="00EC463D"/>
    <w:rsid w:val="00EC4BCA"/>
    <w:rsid w:val="00ED7E8B"/>
    <w:rsid w:val="00F22FB9"/>
    <w:rsid w:val="00F447BF"/>
    <w:rsid w:val="00F461D4"/>
    <w:rsid w:val="00F53FE1"/>
    <w:rsid w:val="00FA1B27"/>
    <w:rsid w:val="00FB20CA"/>
    <w:rsid w:val="00FB2169"/>
    <w:rsid w:val="00FC3072"/>
    <w:rsid w:val="00FC5A9B"/>
    <w:rsid w:val="00FE3B4C"/>
    <w:rsid w:val="11DB01A5"/>
    <w:rsid w:val="15DD7879"/>
    <w:rsid w:val="19A67BFA"/>
    <w:rsid w:val="311F13A6"/>
    <w:rsid w:val="51986EB2"/>
    <w:rsid w:val="597B6C86"/>
    <w:rsid w:val="6B5D7B5C"/>
    <w:rsid w:val="6B973B60"/>
    <w:rsid w:val="790857BE"/>
    <w:rsid w:val="7D0C6791"/>
    <w:rsid w:val="7FB80F1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firstLine="0" w:firstLineChars="0"/>
      <w:textAlignment w:val="baseline"/>
    </w:pPr>
    <w:rPr>
      <w:rFonts w:cs="Times New Roman"/>
      <w:szCs w:val="24"/>
    </w:rPr>
  </w:style>
  <w:style w:type="paragraph" w:styleId="3">
    <w:name w:val="Plain Text"/>
    <w:basedOn w:val="1"/>
    <w:qFormat/>
    <w:uiPriority w:val="99"/>
    <w:pPr>
      <w:spacing w:line="360" w:lineRule="auto"/>
      <w:ind w:firstLine="480"/>
    </w:pPr>
    <w:rPr>
      <w:rFonts w:ascii="仿宋_GB2312" w:hAnsi="等线" w:eastAsia="等线"/>
      <w:kern w:val="0"/>
    </w:rPr>
  </w:style>
  <w:style w:type="paragraph" w:styleId="4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 w:line="360" w:lineRule="auto"/>
      <w:jc w:val="left"/>
    </w:pPr>
    <w:rPr>
      <w:rFonts w:ascii="宋体" w:hAnsi="宋体" w:eastAsia="宋体" w:cs="宋体"/>
      <w:kern w:val="0"/>
      <w:sz w:val="24"/>
      <w:szCs w:val="20"/>
    </w:rPr>
  </w:style>
  <w:style w:type="paragraph" w:styleId="8">
    <w:name w:val="Body Text First Indent"/>
    <w:basedOn w:val="2"/>
    <w:autoRedefine/>
    <w:qFormat/>
    <w:uiPriority w:val="99"/>
    <w:pPr>
      <w:spacing w:after="120" w:line="240" w:lineRule="auto"/>
      <w:ind w:firstLine="420" w:firstLineChars="100"/>
      <w:textAlignment w:val="auto"/>
    </w:pPr>
    <w:rPr>
      <w:rFonts w:ascii="Calibri" w:hAnsi="Calibri"/>
      <w:sz w:val="21"/>
    </w:rPr>
  </w:style>
  <w:style w:type="character" w:customStyle="1" w:styleId="11">
    <w:name w:val="批注框文本 Char"/>
    <w:basedOn w:val="10"/>
    <w:link w:val="4"/>
    <w:semiHidden/>
    <w:qFormat/>
    <w:uiPriority w:val="99"/>
    <w:rPr>
      <w:sz w:val="18"/>
      <w:szCs w:val="18"/>
    </w:rPr>
  </w:style>
  <w:style w:type="character" w:customStyle="1" w:styleId="12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5"/>
    <w:qFormat/>
    <w:uiPriority w:val="99"/>
    <w:rPr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paragraph" w:customStyle="1" w:styleId="15">
    <w:name w:val="表格内容"/>
    <w:basedOn w:val="1"/>
    <w:qFormat/>
    <w:uiPriority w:val="0"/>
    <w:pPr>
      <w:spacing w:line="240" w:lineRule="auto"/>
      <w:ind w:firstLine="0" w:firstLineChars="0"/>
      <w:jc w:val="center"/>
      <w:textAlignment w:val="baseline"/>
    </w:pPr>
    <w:rPr>
      <w:rFonts w:cs="Times New Roman"/>
      <w:sz w:val="21"/>
      <w:szCs w:val="28"/>
    </w:rPr>
  </w:style>
  <w:style w:type="paragraph" w:customStyle="1" w:styleId="16">
    <w:name w:val="Table Text"/>
    <w:basedOn w:val="1"/>
    <w:semiHidden/>
    <w:qFormat/>
    <w:uiPriority w:val="0"/>
    <w:rPr>
      <w:rFonts w:ascii="新宋体" w:hAnsi="新宋体" w:eastAsia="新宋体" w:cs="新宋体"/>
      <w:sz w:val="20"/>
      <w:szCs w:val="20"/>
      <w:lang w:val="en-US" w:eastAsia="en-US" w:bidi="ar-SA"/>
    </w:rPr>
  </w:style>
  <w:style w:type="table" w:customStyle="1" w:styleId="1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1875</Words>
  <Characters>2295</Characters>
  <Lines>9</Lines>
  <Paragraphs>2</Paragraphs>
  <TotalTime>1</TotalTime>
  <ScaleCrop>false</ScaleCrop>
  <LinksUpToDate>false</LinksUpToDate>
  <CharactersWithSpaces>2325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2021-07-10T03:54:00Z</dcterms:created>
  <dc:creator>tang lun</dc:creator>
  <cp:lastModifiedBy>Administrator</cp:lastModifiedBy>
  <cp:lastPrinted>2024-01-29T07:50:00Z</cp:lastPrinted>
  <dcterms:modified xsi:type="dcterms:W3CDTF">2025-02-25T06:37:59Z</dcterms:modified>
  <cp:revision>466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63E33D9A8CBE485CA8D1E20D7952A63B_13</vt:lpwstr>
  </property>
  <property fmtid="{D5CDD505-2E9C-101B-9397-08002B2CF9AE}" pid="4" name="KSOTemplateDocerSaveRecord">
    <vt:lpwstr>eyJoZGlkIjoiNDU4YjAxNDRlZDY0ZDJmNDE2ZGJhMDFhMTM3NmQwNDMifQ==</vt:lpwstr>
  </property>
</Properties>
</file>