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ACEE8C">
      <w:pPr>
        <w:jc w:val="center"/>
        <w:rPr>
          <w:rFonts w:ascii="黑体" w:hAnsi="黑体" w:eastAsia="黑体"/>
          <w:b/>
          <w:color w:val="000000"/>
          <w:sz w:val="44"/>
          <w:szCs w:val="48"/>
        </w:rPr>
      </w:pPr>
      <w:r>
        <w:rPr>
          <w:rFonts w:hint="eastAsia" w:ascii="黑体" w:hAnsi="黑体" w:eastAsia="黑体"/>
          <w:b/>
          <w:color w:val="000000"/>
          <w:sz w:val="44"/>
          <w:szCs w:val="48"/>
        </w:rPr>
        <w:t>重庆市科技进步奖公示</w:t>
      </w:r>
    </w:p>
    <w:p w14:paraId="35AB5DCA">
      <w:pPr>
        <w:keepNext w:val="0"/>
        <w:keepLines w:val="0"/>
        <w:widowControl/>
        <w:suppressLineNumbers w:val="0"/>
        <w:jc w:val="left"/>
      </w:pPr>
    </w:p>
    <w:p w14:paraId="40EC228A">
      <w:pPr>
        <w:numPr>
          <w:ilvl w:val="0"/>
          <w:numId w:val="1"/>
        </w:numPr>
        <w:spacing w:line="540" w:lineRule="exact"/>
        <w:rPr>
          <w:rFonts w:hint="default" w:ascii="宋体" w:hAnsi="宋体" w:eastAsia="宋体"/>
          <w:color w:val="000000"/>
          <w:sz w:val="28"/>
          <w:szCs w:val="32"/>
          <w:lang w:val="en-US" w:eastAsia="zh-CN"/>
        </w:rPr>
      </w:pPr>
      <w:r>
        <w:rPr>
          <w:rFonts w:hint="eastAsia" w:ascii="宋体" w:hAnsi="宋体" w:eastAsia="宋体"/>
          <w:b/>
          <w:color w:val="000000"/>
          <w:spacing w:val="-4"/>
          <w:sz w:val="28"/>
          <w:szCs w:val="32"/>
        </w:rPr>
        <w:t>项目名称</w:t>
      </w:r>
      <w:r>
        <w:rPr>
          <w:rFonts w:hint="eastAsia" w:ascii="宋体" w:hAnsi="宋体" w:eastAsia="宋体"/>
          <w:color w:val="000000"/>
          <w:spacing w:val="-4"/>
          <w:sz w:val="28"/>
          <w:szCs w:val="32"/>
        </w:rPr>
        <w:t>：</w:t>
      </w:r>
      <w:r>
        <w:rPr>
          <w:rFonts w:hint="eastAsia" w:ascii="宋体" w:hAnsi="宋体" w:eastAsia="宋体"/>
          <w:color w:val="000000"/>
          <w:sz w:val="28"/>
          <w:szCs w:val="32"/>
          <w:lang w:val="en-US" w:eastAsia="zh-CN"/>
        </w:rPr>
        <w:t>老年认知障专病科普教育体系建设和全程管理公益实践</w:t>
      </w:r>
    </w:p>
    <w:p w14:paraId="19B968E7">
      <w:pPr>
        <w:spacing w:line="540" w:lineRule="exact"/>
        <w:rPr>
          <w:rFonts w:hint="eastAsia" w:ascii="宋体" w:hAnsi="宋体" w:eastAsia="宋体"/>
          <w:color w:val="000000"/>
          <w:sz w:val="28"/>
          <w:szCs w:val="32"/>
          <w:lang w:eastAsia="zh-CN"/>
        </w:rPr>
      </w:pPr>
      <w:r>
        <w:rPr>
          <w:rFonts w:hint="eastAsia" w:ascii="宋体" w:hAnsi="宋体" w:eastAsia="宋体"/>
          <w:b/>
          <w:color w:val="000000"/>
          <w:sz w:val="28"/>
          <w:szCs w:val="32"/>
        </w:rPr>
        <w:t>二、提名单位：</w:t>
      </w:r>
      <w:r>
        <w:rPr>
          <w:rFonts w:hint="eastAsia" w:ascii="宋体" w:hAnsi="宋体" w:eastAsia="宋体"/>
          <w:color w:val="000000"/>
          <w:sz w:val="28"/>
          <w:szCs w:val="32"/>
        </w:rPr>
        <w:t>重庆市</w:t>
      </w:r>
      <w:r>
        <w:rPr>
          <w:rFonts w:hint="eastAsia" w:ascii="宋体" w:hAnsi="宋体" w:eastAsia="宋体"/>
          <w:color w:val="000000"/>
          <w:sz w:val="28"/>
          <w:szCs w:val="32"/>
          <w:lang w:val="en-US" w:eastAsia="zh-CN"/>
        </w:rPr>
        <w:t>渝中</w:t>
      </w:r>
      <w:r>
        <w:rPr>
          <w:rFonts w:hint="eastAsia" w:ascii="宋体" w:hAnsi="宋体" w:eastAsia="宋体"/>
          <w:color w:val="000000"/>
          <w:sz w:val="28"/>
          <w:szCs w:val="32"/>
        </w:rPr>
        <w:t>区</w:t>
      </w:r>
      <w:r>
        <w:rPr>
          <w:rFonts w:hint="eastAsia" w:ascii="宋体" w:hAnsi="宋体" w:eastAsia="宋体"/>
          <w:color w:val="000000"/>
          <w:sz w:val="28"/>
          <w:szCs w:val="32"/>
          <w:lang w:eastAsia="zh-CN"/>
        </w:rPr>
        <w:t>人民政府</w:t>
      </w:r>
    </w:p>
    <w:p w14:paraId="2D8214AE">
      <w:pPr>
        <w:spacing w:line="540" w:lineRule="exact"/>
        <w:rPr>
          <w:rFonts w:ascii="宋体" w:hAnsi="宋体" w:eastAsia="宋体"/>
          <w:color w:val="000000"/>
          <w:sz w:val="28"/>
          <w:szCs w:val="32"/>
        </w:rPr>
      </w:pPr>
      <w:r>
        <w:rPr>
          <w:rFonts w:hint="eastAsia" w:ascii="宋体" w:hAnsi="宋体" w:eastAsia="宋体"/>
          <w:b/>
          <w:color w:val="000000"/>
          <w:sz w:val="28"/>
          <w:szCs w:val="32"/>
        </w:rPr>
        <w:t>三、提名等级：</w:t>
      </w:r>
      <w:r>
        <w:rPr>
          <w:rFonts w:hint="eastAsia" w:ascii="宋体" w:hAnsi="宋体" w:eastAsia="宋体"/>
          <w:color w:val="000000"/>
          <w:sz w:val="28"/>
          <w:szCs w:val="32"/>
        </w:rPr>
        <w:t xml:space="preserve">重庆市科技进步奖 </w:t>
      </w:r>
      <w:r>
        <w:rPr>
          <w:rFonts w:hint="eastAsia" w:ascii="宋体" w:hAnsi="宋体" w:eastAsia="宋体"/>
          <w:color w:val="000000"/>
          <w:sz w:val="28"/>
          <w:szCs w:val="32"/>
          <w:lang w:eastAsia="zh-CN"/>
        </w:rPr>
        <w:t>二</w:t>
      </w:r>
      <w:r>
        <w:rPr>
          <w:rFonts w:hint="eastAsia" w:ascii="宋体" w:hAnsi="宋体" w:eastAsia="宋体"/>
          <w:color w:val="000000"/>
          <w:sz w:val="28"/>
          <w:szCs w:val="32"/>
        </w:rPr>
        <w:t>等奖</w:t>
      </w:r>
    </w:p>
    <w:p w14:paraId="7924900E">
      <w:pPr>
        <w:spacing w:line="540" w:lineRule="exact"/>
        <w:rPr>
          <w:rFonts w:hint="eastAsia" w:ascii="宋体" w:hAnsi="宋体" w:eastAsia="宋体"/>
          <w:b w:val="0"/>
          <w:bCs/>
          <w:color w:val="000000"/>
          <w:sz w:val="28"/>
          <w:szCs w:val="32"/>
        </w:rPr>
      </w:pPr>
      <w:r>
        <w:rPr>
          <w:rFonts w:hint="eastAsia" w:ascii="宋体" w:hAnsi="宋体" w:eastAsia="宋体"/>
          <w:b/>
          <w:color w:val="000000"/>
          <w:sz w:val="28"/>
          <w:szCs w:val="32"/>
        </w:rPr>
        <w:t>四、主要完成单位：</w:t>
      </w:r>
      <w:r>
        <w:rPr>
          <w:rFonts w:hint="eastAsia" w:ascii="宋体" w:hAnsi="宋体" w:eastAsia="宋体"/>
          <w:b w:val="0"/>
          <w:bCs/>
          <w:color w:val="000000"/>
          <w:sz w:val="28"/>
          <w:szCs w:val="32"/>
        </w:rPr>
        <w:t>重庆医科大学、</w:t>
      </w:r>
    </w:p>
    <w:p w14:paraId="789C6423">
      <w:pPr>
        <w:spacing w:line="540" w:lineRule="exact"/>
        <w:rPr>
          <w:rFonts w:hint="default" w:ascii="宋体" w:hAnsi="宋体" w:eastAsia="宋体"/>
          <w:color w:val="000000"/>
          <w:sz w:val="28"/>
          <w:szCs w:val="32"/>
          <w:lang w:val="en-US" w:eastAsia="zh-CN"/>
        </w:rPr>
      </w:pPr>
      <w:r>
        <w:rPr>
          <w:rFonts w:hint="eastAsia" w:ascii="宋体" w:hAnsi="宋体" w:eastAsia="宋体"/>
          <w:b/>
          <w:color w:val="000000"/>
          <w:sz w:val="28"/>
          <w:szCs w:val="32"/>
        </w:rPr>
        <w:t>五、主要完成人：</w:t>
      </w:r>
      <w:r>
        <w:rPr>
          <w:rFonts w:hint="eastAsia" w:ascii="宋体" w:hAnsi="宋体" w:eastAsia="宋体"/>
          <w:b w:val="0"/>
          <w:bCs/>
          <w:color w:val="000000"/>
          <w:sz w:val="28"/>
          <w:szCs w:val="32"/>
        </w:rPr>
        <w:t>吕洋、余维华、袁诗韵、何锡珍、张文博、寿建维、田琦、张佳、</w:t>
      </w:r>
      <w:bookmarkStart w:id="1" w:name="_GoBack"/>
      <w:bookmarkEnd w:id="1"/>
      <w:r>
        <w:rPr>
          <w:rFonts w:hint="eastAsia" w:ascii="宋体" w:hAnsi="宋体" w:eastAsia="宋体"/>
          <w:b w:val="0"/>
          <w:bCs/>
          <w:color w:val="000000"/>
          <w:sz w:val="28"/>
          <w:szCs w:val="32"/>
        </w:rPr>
        <w:t>段景喜、吴佳妮</w:t>
      </w:r>
    </w:p>
    <w:p w14:paraId="73C426A9">
      <w:pPr>
        <w:spacing w:line="460" w:lineRule="exact"/>
        <w:rPr>
          <w:rFonts w:ascii="宋体" w:hAnsi="宋体" w:eastAsia="宋体"/>
          <w:sz w:val="28"/>
          <w:szCs w:val="32"/>
        </w:rPr>
      </w:pPr>
      <w:r>
        <w:rPr>
          <w:rFonts w:hint="eastAsia" w:ascii="宋体" w:hAnsi="宋体" w:eastAsia="宋体"/>
          <w:b/>
          <w:color w:val="000000"/>
          <w:sz w:val="28"/>
          <w:szCs w:val="32"/>
        </w:rPr>
        <w:t>六、项目简介：</w:t>
      </w:r>
      <w:r>
        <w:rPr>
          <w:rFonts w:ascii="宋体" w:hAnsi="宋体" w:eastAsia="宋体"/>
          <w:sz w:val="28"/>
          <w:szCs w:val="32"/>
        </w:rPr>
        <w:t xml:space="preserve"> </w:t>
      </w:r>
    </w:p>
    <w:p w14:paraId="7330ED8C">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宋体" w:hAnsi="宋体" w:eastAsia="宋体"/>
          <w:sz w:val="28"/>
          <w:szCs w:val="32"/>
          <w:lang w:val="en-US" w:eastAsia="zh-CN"/>
        </w:rPr>
      </w:pPr>
      <w:r>
        <w:rPr>
          <w:rFonts w:hint="eastAsia" w:ascii="宋体" w:hAnsi="宋体" w:eastAsia="宋体"/>
          <w:sz w:val="28"/>
          <w:szCs w:val="32"/>
          <w:lang w:val="en-US" w:eastAsia="zh-CN"/>
        </w:rPr>
        <w:t>老年认知障碍和痴呆作为老年医学最复杂、最昂贵的增龄性综合征，是老年人第五大“杀手”和失能的重要原因，是“积极应对人口老龄化”国家战略的严峻挑战。项目组自2010年开始进行认知障碍专病公益服务，命名为“爱留忆”，旨在“用医护人员的爱留住老年人的记忆”，成立“重庆爱留忆红十字志愿服务队”。在15年的公益活动中，形成“爱留忆志愿服务队”、“知行合医实践队”公益实践品牌，“记忆同行”、“记忆之路”科普讲座品牌，“爱留忆”、“巴渝认知”科普图文品牌，建成集宣教、筛查、预防、干预一体化的认知障碍公益中心，全国知名和先进，为积极应对老龄化的国家战略赋能。</w:t>
      </w:r>
    </w:p>
    <w:p w14:paraId="7F117841">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宋体" w:hAnsi="宋体" w:eastAsia="宋体"/>
          <w:sz w:val="28"/>
          <w:szCs w:val="32"/>
          <w:lang w:val="en-US" w:eastAsia="zh-CN"/>
        </w:rPr>
      </w:pPr>
      <w:r>
        <w:rPr>
          <w:rFonts w:hint="eastAsia" w:ascii="宋体" w:hAnsi="宋体" w:eastAsia="宋体"/>
          <w:sz w:val="28"/>
          <w:szCs w:val="32"/>
          <w:lang w:val="en-US" w:eastAsia="zh-CN"/>
        </w:rPr>
        <w:t>项目组依托国家临床重点专科、国家卫健委高级认知障碍诊疗中心、教育部重大脑疾病与衰老重点实验室（培育）开展研发和科普工作，形成以下创新：①国内首创认知障碍识别筛查技术体系，赋能认知筛查，促进疾病早筛早防。通过项目组上万例数据库挖掘，发现老年人群认知障碍特异性的危险因素，包括增龄、受教育程度低、糖尿病、营养不良风险、抑郁、衰弱、口腔问题等，建成老年认知障碍特殊风险体系；通过数据挖掘，分析出与认知障碍发病最为相关的、适合自评的预测因子20个，建成认知障碍风险预测模型，可获得风险高低分类和风险概率估计，预测准确率高（AUC性能0.89）；此外，在记忆门诊和综合评估上万例数据库发现与认知障碍早期最为相关的记忆、情绪和能力15项症状，通过自主研发的自助式综合评估APP实现全民认知功能的自我筛查，快速获得专科医生的健康建议。②研制国内先进的符合地区特色的认知障碍预防干预技术体系，助力认知障碍和痴呆的全病程管理。结合国内外指南及本地实践，建立认知障碍三级预防技术、认知障碍综合干预方案，保障疾病的全病程规范管理。此外，制定了养老机构痴呆区域设置建议、双向转诊建议、医养结合模式的管理流程，规范养老机构对认知障碍老年人的照料。③建立国内先进的全平台整合式认知障碍专病科普体系并长期实践，促进疾病知识普及。建设全方位科普教育体系，包括传统媒体、讲座义诊、志愿服务、新媒体、患者关爱俱乐部，将项目组研发的筛查、预防、干预技术体系通过科普教育推广。</w:t>
      </w:r>
    </w:p>
    <w:p w14:paraId="5323EF14">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宋体" w:hAnsi="宋体" w:eastAsia="宋体"/>
          <w:sz w:val="28"/>
          <w:szCs w:val="32"/>
          <w:lang w:val="en-US" w:eastAsia="zh-CN"/>
        </w:rPr>
      </w:pPr>
      <w:r>
        <w:rPr>
          <w:rFonts w:hint="eastAsia" w:ascii="宋体" w:hAnsi="宋体" w:eastAsia="宋体"/>
          <w:sz w:val="28"/>
          <w:szCs w:val="32"/>
          <w:lang w:val="en-US" w:eastAsia="zh-CN"/>
        </w:rPr>
        <w:t>项目组发表相关论文25篇，包括SCI论文11篇、国家级、省部级杂志14篇；获得国家发明专利授权、公开各1项、软件著作权2项、作品登记版权2项；主编重庆市优秀科普图书1部，参编科普相关专著2部；参与相关指南共识12篇；获得中国国际“互联网+”大学生创新创业大赛国赛铜奖2项/市赛金奖2项，第七届中国青年志愿服务项目大赛国赛铜奖1项，“挑战杯”中国大学生创业计划竞赛市赛银奖1项，世界职业院校技能大赛总决赛争夺赛银奖1项；获得科普相关奖励、荣誉10人次以上。连续15年举行老年认知障碍专病义诊帮扶，完成社区认知筛查20000余例，服务30余个社区和养老机构，开展专业健康教育和技能培训，累计受益人群突破180万人次。</w:t>
      </w:r>
    </w:p>
    <w:p w14:paraId="7D1C1352">
      <w:pPr>
        <w:numPr>
          <w:ilvl w:val="0"/>
          <w:numId w:val="0"/>
        </w:numPr>
        <w:spacing w:line="540" w:lineRule="exact"/>
      </w:pPr>
      <w:r>
        <w:rPr>
          <w:rFonts w:hint="eastAsia" w:ascii="宋体" w:hAnsi="宋体" w:eastAsia="宋体"/>
          <w:b/>
          <w:color w:val="000000"/>
          <w:sz w:val="28"/>
          <w:szCs w:val="32"/>
          <w:lang w:val="en-US" w:eastAsia="zh-CN"/>
        </w:rPr>
        <w:t>七、</w:t>
      </w:r>
      <w:r>
        <w:rPr>
          <w:rFonts w:hint="eastAsia" w:ascii="宋体" w:hAnsi="宋体" w:eastAsia="宋体"/>
          <w:b/>
          <w:color w:val="000000"/>
          <w:sz w:val="28"/>
          <w:szCs w:val="32"/>
        </w:rPr>
        <w:t>主要知识产权和标准规范等目录：</w:t>
      </w:r>
    </w:p>
    <w:tbl>
      <w:tblPr>
        <w:tblStyle w:val="10"/>
        <w:tblW w:w="922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260"/>
        <w:gridCol w:w="1022"/>
        <w:gridCol w:w="849"/>
        <w:gridCol w:w="992"/>
        <w:gridCol w:w="1134"/>
        <w:gridCol w:w="850"/>
        <w:gridCol w:w="851"/>
        <w:gridCol w:w="1183"/>
      </w:tblGrid>
      <w:tr w14:paraId="795128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88" w:type="dxa"/>
            <w:vAlign w:val="center"/>
          </w:tcPr>
          <w:p w14:paraId="14264BB9">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知识产权（标准）类别</w:t>
            </w:r>
          </w:p>
        </w:tc>
        <w:tc>
          <w:tcPr>
            <w:tcW w:w="1260" w:type="dxa"/>
            <w:vAlign w:val="center"/>
          </w:tcPr>
          <w:p w14:paraId="1C33C78F">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知识产权（标准）</w:t>
            </w:r>
          </w:p>
          <w:p w14:paraId="097B7A24">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具体名称</w:t>
            </w:r>
          </w:p>
        </w:tc>
        <w:tc>
          <w:tcPr>
            <w:tcW w:w="1022" w:type="dxa"/>
            <w:vAlign w:val="center"/>
          </w:tcPr>
          <w:p w14:paraId="61096B9A">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国家</w:t>
            </w:r>
          </w:p>
          <w:p w14:paraId="4171D973">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（地区）</w:t>
            </w:r>
          </w:p>
        </w:tc>
        <w:tc>
          <w:tcPr>
            <w:tcW w:w="849" w:type="dxa"/>
            <w:vAlign w:val="center"/>
          </w:tcPr>
          <w:p w14:paraId="47AFD6D6">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授权号（标准编号）</w:t>
            </w:r>
          </w:p>
        </w:tc>
        <w:tc>
          <w:tcPr>
            <w:tcW w:w="992" w:type="dxa"/>
            <w:vAlign w:val="center"/>
          </w:tcPr>
          <w:p w14:paraId="3FD1A336">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授权（标准发布）日期</w:t>
            </w:r>
          </w:p>
        </w:tc>
        <w:tc>
          <w:tcPr>
            <w:tcW w:w="1134" w:type="dxa"/>
            <w:vAlign w:val="center"/>
          </w:tcPr>
          <w:p w14:paraId="686F35CB">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证书编号</w:t>
            </w:r>
            <w:r>
              <w:rPr>
                <w:rFonts w:hint="eastAsia" w:ascii="Times New Roman" w:hAnsi="Times New Roman" w:eastAsia="方正仿宋_GBK" w:cs="方正仿宋_GBK"/>
                <w:b/>
                <w:bCs/>
                <w:color w:val="000000"/>
                <w:kern w:val="2"/>
                <w:sz w:val="21"/>
                <w:szCs w:val="22"/>
              </w:rPr>
              <w:br w:type="textWrapping"/>
            </w:r>
            <w:r>
              <w:rPr>
                <w:rFonts w:hint="eastAsia" w:ascii="Times New Roman" w:hAnsi="Times New Roman" w:eastAsia="方正仿宋_GBK" w:cs="方正仿宋_GBK"/>
                <w:b/>
                <w:bCs/>
                <w:color w:val="000000"/>
                <w:kern w:val="2"/>
                <w:sz w:val="21"/>
                <w:szCs w:val="22"/>
              </w:rPr>
              <w:t>（标准批准发布部门）</w:t>
            </w:r>
          </w:p>
        </w:tc>
        <w:tc>
          <w:tcPr>
            <w:tcW w:w="850" w:type="dxa"/>
            <w:vAlign w:val="center"/>
          </w:tcPr>
          <w:p w14:paraId="0D6F8B29">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权利人（标准起草单位）</w:t>
            </w:r>
          </w:p>
        </w:tc>
        <w:tc>
          <w:tcPr>
            <w:tcW w:w="851" w:type="dxa"/>
            <w:vAlign w:val="center"/>
          </w:tcPr>
          <w:p w14:paraId="0B3A5247">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发明人（标准起草人）</w:t>
            </w:r>
          </w:p>
        </w:tc>
        <w:tc>
          <w:tcPr>
            <w:tcW w:w="1183" w:type="dxa"/>
            <w:vAlign w:val="center"/>
          </w:tcPr>
          <w:p w14:paraId="577331FA">
            <w:pPr>
              <w:pStyle w:val="3"/>
              <w:spacing w:line="280" w:lineRule="exact"/>
              <w:ind w:firstLine="0" w:firstLineChars="0"/>
              <w:jc w:val="center"/>
              <w:rPr>
                <w:rFonts w:ascii="Times New Roman" w:hAnsi="Times New Roman" w:eastAsia="方正仿宋_GBK" w:cs="方正仿宋_GBK"/>
                <w:b/>
                <w:bCs/>
                <w:color w:val="000000"/>
                <w:kern w:val="2"/>
                <w:sz w:val="21"/>
                <w:szCs w:val="22"/>
              </w:rPr>
            </w:pPr>
            <w:r>
              <w:rPr>
                <w:rFonts w:hint="eastAsia" w:ascii="Times New Roman" w:hAnsi="Times New Roman" w:eastAsia="方正仿宋_GBK" w:cs="方正仿宋_GBK"/>
                <w:b/>
                <w:bCs/>
                <w:color w:val="000000"/>
                <w:kern w:val="2"/>
                <w:sz w:val="21"/>
                <w:szCs w:val="22"/>
              </w:rPr>
              <w:t>发明专利（标准）有效状态</w:t>
            </w:r>
          </w:p>
        </w:tc>
      </w:tr>
      <w:tr w14:paraId="5AE23D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088" w:type="dxa"/>
          </w:tcPr>
          <w:p w14:paraId="399ADAAB">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发明专利</w:t>
            </w:r>
          </w:p>
        </w:tc>
        <w:tc>
          <w:tcPr>
            <w:tcW w:w="1260" w:type="dxa"/>
          </w:tcPr>
          <w:p w14:paraId="04C3A72B">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自助式老年综合评估系统</w:t>
            </w:r>
          </w:p>
        </w:tc>
        <w:tc>
          <w:tcPr>
            <w:tcW w:w="1022" w:type="dxa"/>
          </w:tcPr>
          <w:p w14:paraId="60F0D650">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中国</w:t>
            </w:r>
          </w:p>
        </w:tc>
        <w:tc>
          <w:tcPr>
            <w:tcW w:w="849" w:type="dxa"/>
          </w:tcPr>
          <w:p w14:paraId="125AB606">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ZL201710228307.05</w:t>
            </w:r>
          </w:p>
        </w:tc>
        <w:tc>
          <w:tcPr>
            <w:tcW w:w="992" w:type="dxa"/>
          </w:tcPr>
          <w:p w14:paraId="3D05BA6E">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2021．01.26</w:t>
            </w:r>
          </w:p>
        </w:tc>
        <w:tc>
          <w:tcPr>
            <w:tcW w:w="1134" w:type="dxa"/>
          </w:tcPr>
          <w:p w14:paraId="1FCDD4EC">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 xml:space="preserve">4315667 </w:t>
            </w:r>
          </w:p>
        </w:tc>
        <w:tc>
          <w:tcPr>
            <w:tcW w:w="850" w:type="dxa"/>
          </w:tcPr>
          <w:p w14:paraId="366E15BC">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重庆医科大学</w:t>
            </w:r>
          </w:p>
        </w:tc>
        <w:tc>
          <w:tcPr>
            <w:tcW w:w="851" w:type="dxa"/>
          </w:tcPr>
          <w:p w14:paraId="3D22F782">
            <w:pPr>
              <w:widowControl/>
              <w:snapToGrid w:val="0"/>
              <w:spacing w:line="240" w:lineRule="auto"/>
              <w:ind w:firstLine="0" w:firstLineChars="0"/>
              <w:jc w:val="left"/>
              <w:rPr>
                <w:rFonts w:eastAsia="方正仿宋_GBK" w:cs="方正仿宋_GBK"/>
                <w:color w:val="FF0000"/>
                <w:sz w:val="18"/>
                <w:szCs w:val="18"/>
              </w:rPr>
            </w:pPr>
            <w:r>
              <w:rPr>
                <w:rFonts w:hint="eastAsia" w:ascii="方正仿宋_GBK" w:hAnsi="方正仿宋_GBK" w:eastAsia="方正仿宋_GBK" w:cs="方正仿宋_GBK"/>
                <w:color w:val="000000"/>
                <w:sz w:val="18"/>
                <w:szCs w:val="18"/>
              </w:rPr>
              <w:t>吕洋</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肖明朝</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文莎</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卢烨邓永涛</w:t>
            </w:r>
            <w:r>
              <w:rPr>
                <w:rFonts w:ascii="方正仿宋_GBK" w:hAnsi="方正仿宋_GBK" w:eastAsia="方正仿宋_GBK" w:cs="方正仿宋_GBK"/>
                <w:color w:val="000000"/>
                <w:sz w:val="18"/>
                <w:szCs w:val="18"/>
              </w:rPr>
              <w:t xml:space="preserve">, </w:t>
            </w:r>
            <w:r>
              <w:rPr>
                <w:rFonts w:hint="eastAsia" w:ascii="方正仿宋_GBK" w:hAnsi="方正仿宋_GBK" w:eastAsia="方正仿宋_GBK" w:cs="方正仿宋_GBK"/>
                <w:color w:val="000000"/>
                <w:sz w:val="18"/>
                <w:szCs w:val="18"/>
              </w:rPr>
              <w:t>段景喜</w:t>
            </w:r>
            <w:r>
              <w:rPr>
                <w:rFonts w:ascii="方正仿宋_GBK" w:hAnsi="方正仿宋_GBK" w:eastAsia="方正仿宋_GBK" w:cs="方正仿宋_GBK"/>
                <w:color w:val="000000"/>
                <w:sz w:val="18"/>
                <w:szCs w:val="18"/>
              </w:rPr>
              <w:t xml:space="preserve">, </w:t>
            </w:r>
            <w:r>
              <w:rPr>
                <w:rFonts w:hint="eastAsia" w:ascii="方正仿宋_GBK" w:hAnsi="方正仿宋_GBK" w:eastAsia="方正仿宋_GBK" w:cs="方正仿宋_GBK"/>
                <w:color w:val="000000"/>
                <w:sz w:val="18"/>
                <w:szCs w:val="18"/>
              </w:rPr>
              <w:t>刘欣彤</w:t>
            </w:r>
            <w:r>
              <w:rPr>
                <w:rFonts w:ascii="方正仿宋_GBK" w:hAnsi="方正仿宋_GBK" w:eastAsia="方正仿宋_GBK" w:cs="方正仿宋_GBK"/>
                <w:color w:val="000000"/>
                <w:sz w:val="18"/>
                <w:szCs w:val="18"/>
              </w:rPr>
              <w:t xml:space="preserve">, </w:t>
            </w:r>
            <w:r>
              <w:rPr>
                <w:rFonts w:hint="eastAsia" w:ascii="方正仿宋_GBK" w:hAnsi="方正仿宋_GBK" w:eastAsia="方正仿宋_GBK" w:cs="方正仿宋_GBK"/>
                <w:color w:val="000000"/>
                <w:sz w:val="18"/>
                <w:szCs w:val="18"/>
              </w:rPr>
              <w:t>谢华剑</w:t>
            </w:r>
          </w:p>
        </w:tc>
        <w:tc>
          <w:tcPr>
            <w:tcW w:w="1183" w:type="dxa"/>
          </w:tcPr>
          <w:p w14:paraId="017E0714">
            <w:pPr>
              <w:widowControl/>
              <w:snapToGrid w:val="0"/>
              <w:spacing w:line="240" w:lineRule="auto"/>
              <w:ind w:firstLine="0" w:firstLineChars="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有效</w:t>
            </w:r>
          </w:p>
        </w:tc>
      </w:tr>
      <w:tr w14:paraId="2A5E91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088" w:type="dxa"/>
          </w:tcPr>
          <w:p w14:paraId="34591458">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发明专利</w:t>
            </w:r>
          </w:p>
        </w:tc>
        <w:tc>
          <w:tcPr>
            <w:tcW w:w="1260" w:type="dxa"/>
          </w:tcPr>
          <w:p w14:paraId="586E4710">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 xml:space="preserve">构建认知障碍智能预测方法. </w:t>
            </w:r>
          </w:p>
        </w:tc>
        <w:tc>
          <w:tcPr>
            <w:tcW w:w="1022" w:type="dxa"/>
          </w:tcPr>
          <w:p w14:paraId="19A91B83">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中国</w:t>
            </w:r>
          </w:p>
        </w:tc>
        <w:tc>
          <w:tcPr>
            <w:tcW w:w="849" w:type="dxa"/>
          </w:tcPr>
          <w:p w14:paraId="07913D3F">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ascii="方正仿宋_GBK" w:hAnsi="方正仿宋_GBK" w:eastAsia="方正仿宋_GBK" w:cs="方正仿宋_GBK"/>
                <w:color w:val="000000"/>
                <w:sz w:val="21"/>
                <w:szCs w:val="21"/>
              </w:rPr>
              <w:t>202110596294.9</w:t>
            </w:r>
            <w:r>
              <w:rPr>
                <w:rFonts w:hint="eastAsia" w:ascii="方正仿宋_GBK" w:hAnsi="方正仿宋_GBK" w:eastAsia="方正仿宋_GBK" w:cs="方正仿宋_GBK"/>
                <w:color w:val="000000"/>
                <w:sz w:val="21"/>
                <w:szCs w:val="21"/>
              </w:rPr>
              <w:t>.</w:t>
            </w:r>
          </w:p>
        </w:tc>
        <w:tc>
          <w:tcPr>
            <w:tcW w:w="992" w:type="dxa"/>
          </w:tcPr>
          <w:p w14:paraId="69E74664">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公开</w:t>
            </w:r>
          </w:p>
        </w:tc>
        <w:tc>
          <w:tcPr>
            <w:tcW w:w="1134" w:type="dxa"/>
          </w:tcPr>
          <w:p w14:paraId="6884667B">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p>
        </w:tc>
        <w:tc>
          <w:tcPr>
            <w:tcW w:w="850" w:type="dxa"/>
          </w:tcPr>
          <w:p w14:paraId="3A5C7C10">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重庆医科大学</w:t>
            </w:r>
          </w:p>
        </w:tc>
        <w:tc>
          <w:tcPr>
            <w:tcW w:w="851" w:type="dxa"/>
          </w:tcPr>
          <w:p w14:paraId="09104390">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吕洋</w:t>
            </w:r>
            <w:r>
              <w:rPr>
                <w:rFonts w:ascii="方正仿宋_GBK" w:hAnsi="方正仿宋_GBK" w:eastAsia="方正仿宋_GBK" w:cs="方正仿宋_GBK"/>
                <w:color w:val="000000"/>
                <w:sz w:val="21"/>
                <w:szCs w:val="21"/>
              </w:rPr>
              <w:t>,</w:t>
            </w:r>
            <w:r>
              <w:rPr>
                <w:rFonts w:hint="eastAsia" w:ascii="方正仿宋_GBK" w:hAnsi="方正仿宋_GBK" w:eastAsia="方正仿宋_GBK" w:cs="方正仿宋_GBK"/>
                <w:color w:val="000000"/>
                <w:sz w:val="21"/>
                <w:szCs w:val="21"/>
              </w:rPr>
              <w:t>张佳</w:t>
            </w:r>
          </w:p>
        </w:tc>
        <w:tc>
          <w:tcPr>
            <w:tcW w:w="1183" w:type="dxa"/>
          </w:tcPr>
          <w:p w14:paraId="4FFCA54E">
            <w:pPr>
              <w:widowControl/>
              <w:snapToGrid w:val="0"/>
              <w:spacing w:line="240" w:lineRule="auto"/>
              <w:ind w:firstLine="0" w:firstLineChars="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公开</w:t>
            </w:r>
          </w:p>
        </w:tc>
      </w:tr>
      <w:tr w14:paraId="713C0D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088" w:type="dxa"/>
          </w:tcPr>
          <w:p w14:paraId="090C57F7">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软件著作权</w:t>
            </w:r>
          </w:p>
        </w:tc>
        <w:tc>
          <w:tcPr>
            <w:tcW w:w="1260" w:type="dxa"/>
          </w:tcPr>
          <w:p w14:paraId="39976730">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认知障碍风险筛查软件V1.0</w:t>
            </w:r>
          </w:p>
        </w:tc>
        <w:tc>
          <w:tcPr>
            <w:tcW w:w="1022" w:type="dxa"/>
          </w:tcPr>
          <w:p w14:paraId="005E68B8">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中国</w:t>
            </w:r>
          </w:p>
        </w:tc>
        <w:tc>
          <w:tcPr>
            <w:tcW w:w="849" w:type="dxa"/>
          </w:tcPr>
          <w:p w14:paraId="40E40AE0">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2023SR0945267.</w:t>
            </w:r>
          </w:p>
        </w:tc>
        <w:tc>
          <w:tcPr>
            <w:tcW w:w="992" w:type="dxa"/>
          </w:tcPr>
          <w:p w14:paraId="0781F76A">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2018.1.9</w:t>
            </w:r>
          </w:p>
        </w:tc>
        <w:tc>
          <w:tcPr>
            <w:tcW w:w="1134" w:type="dxa"/>
          </w:tcPr>
          <w:p w14:paraId="1FFD5CAD">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11532440</w:t>
            </w:r>
          </w:p>
        </w:tc>
        <w:tc>
          <w:tcPr>
            <w:tcW w:w="850" w:type="dxa"/>
          </w:tcPr>
          <w:p w14:paraId="55D9110B">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重庆医科大学附属第一医院</w:t>
            </w:r>
          </w:p>
        </w:tc>
        <w:tc>
          <w:tcPr>
            <w:tcW w:w="851" w:type="dxa"/>
          </w:tcPr>
          <w:p w14:paraId="036FB5AE">
            <w:pPr>
              <w:widowControl/>
              <w:snapToGrid w:val="0"/>
              <w:spacing w:line="240" w:lineRule="auto"/>
              <w:ind w:firstLine="0" w:firstLineChars="0"/>
              <w:jc w:val="left"/>
              <w:rPr>
                <w:rFonts w:hint="eastAsia" w:ascii="方正仿宋_GBK" w:hAnsi="方正仿宋_GBK" w:eastAsia="方正仿宋_GBK" w:cs="方正仿宋_GBK"/>
                <w:color w:val="000000"/>
                <w:sz w:val="18"/>
                <w:szCs w:val="18"/>
              </w:rPr>
            </w:pPr>
            <w:r>
              <w:rPr>
                <w:rFonts w:hint="eastAsia" w:ascii="方正仿宋_GBK" w:hAnsi="方正仿宋_GBK" w:eastAsia="方正仿宋_GBK" w:cs="方正仿宋_GBK"/>
                <w:color w:val="000000"/>
                <w:sz w:val="18"/>
                <w:szCs w:val="18"/>
              </w:rPr>
              <w:t>张佳</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吕洋，张享周，任晓霞,罗涛,</w:t>
            </w:r>
          </w:p>
        </w:tc>
        <w:tc>
          <w:tcPr>
            <w:tcW w:w="1183" w:type="dxa"/>
          </w:tcPr>
          <w:p w14:paraId="6F999027">
            <w:pPr>
              <w:pStyle w:val="3"/>
              <w:snapToGrid w:val="0"/>
              <w:spacing w:line="240" w:lineRule="auto"/>
              <w:ind w:firstLine="0" w:firstLineChars="0"/>
              <w:jc w:val="center"/>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sz w:val="21"/>
                <w:szCs w:val="21"/>
              </w:rPr>
              <w:t>有效</w:t>
            </w:r>
          </w:p>
        </w:tc>
      </w:tr>
      <w:tr w14:paraId="0C41A9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088" w:type="dxa"/>
          </w:tcPr>
          <w:p w14:paraId="27F1C3C8">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bookmarkStart w:id="0" w:name="OLE_LINK17"/>
            <w:r>
              <w:rPr>
                <w:rFonts w:hint="eastAsia" w:ascii="方正仿宋_GBK" w:hAnsi="方正仿宋_GBK" w:eastAsia="方正仿宋_GBK" w:cs="方正仿宋_GBK"/>
                <w:color w:val="000000"/>
                <w:kern w:val="2"/>
                <w:sz w:val="21"/>
                <w:szCs w:val="21"/>
              </w:rPr>
              <w:t>软件著作权</w:t>
            </w:r>
            <w:bookmarkEnd w:id="0"/>
          </w:p>
        </w:tc>
        <w:tc>
          <w:tcPr>
            <w:tcW w:w="1260" w:type="dxa"/>
          </w:tcPr>
          <w:p w14:paraId="00F0A8E6">
            <w:pPr>
              <w:widowControl/>
              <w:snapToGrid w:val="0"/>
              <w:spacing w:line="240" w:lineRule="auto"/>
              <w:ind w:firstLine="0" w:firstLineChars="0"/>
              <w:jc w:val="left"/>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记忆障碍风险预测APP V1.0</w:t>
            </w:r>
          </w:p>
        </w:tc>
        <w:tc>
          <w:tcPr>
            <w:tcW w:w="1022" w:type="dxa"/>
          </w:tcPr>
          <w:p w14:paraId="2B8C3FD8">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中国</w:t>
            </w:r>
          </w:p>
        </w:tc>
        <w:tc>
          <w:tcPr>
            <w:tcW w:w="849" w:type="dxa"/>
          </w:tcPr>
          <w:p w14:paraId="3E7A1577">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sz w:val="21"/>
                <w:szCs w:val="21"/>
              </w:rPr>
              <w:t>2020SR0488113</w:t>
            </w:r>
          </w:p>
        </w:tc>
        <w:tc>
          <w:tcPr>
            <w:tcW w:w="992" w:type="dxa"/>
          </w:tcPr>
          <w:p w14:paraId="6C964CF5">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sz w:val="21"/>
                <w:szCs w:val="21"/>
              </w:rPr>
              <w:t>2020.3.30</w:t>
            </w:r>
          </w:p>
        </w:tc>
        <w:tc>
          <w:tcPr>
            <w:tcW w:w="1134" w:type="dxa"/>
          </w:tcPr>
          <w:p w14:paraId="5D13498A">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sz w:val="21"/>
                <w:szCs w:val="21"/>
              </w:rPr>
              <w:t>5366809</w:t>
            </w:r>
          </w:p>
        </w:tc>
        <w:tc>
          <w:tcPr>
            <w:tcW w:w="850" w:type="dxa"/>
          </w:tcPr>
          <w:p w14:paraId="47F91AC2">
            <w:pPr>
              <w:pStyle w:val="3"/>
              <w:snapToGrid w:val="0"/>
              <w:spacing w:line="240" w:lineRule="auto"/>
              <w:ind w:firstLine="0" w:firstLineChars="0"/>
              <w:jc w:val="left"/>
              <w:rPr>
                <w:rFonts w:hint="eastAsia" w:ascii="方正仿宋_GBK" w:hAnsi="方正仿宋_GBK" w:eastAsia="方正仿宋_GBK" w:cs="方正仿宋_GBK"/>
                <w:color w:val="000000"/>
                <w:kern w:val="2"/>
                <w:sz w:val="21"/>
                <w:szCs w:val="21"/>
              </w:rPr>
            </w:pPr>
          </w:p>
        </w:tc>
        <w:tc>
          <w:tcPr>
            <w:tcW w:w="851" w:type="dxa"/>
          </w:tcPr>
          <w:p w14:paraId="3A846655">
            <w:pPr>
              <w:widowControl/>
              <w:snapToGrid w:val="0"/>
              <w:spacing w:line="240" w:lineRule="auto"/>
              <w:ind w:firstLine="0" w:firstLineChars="0"/>
              <w:jc w:val="left"/>
              <w:rPr>
                <w:rFonts w:hint="eastAsia" w:ascii="方正仿宋_GBK" w:hAnsi="方正仿宋_GBK" w:eastAsia="方正仿宋_GBK" w:cs="方正仿宋_GBK"/>
                <w:color w:val="000000"/>
                <w:sz w:val="18"/>
                <w:szCs w:val="18"/>
              </w:rPr>
            </w:pPr>
            <w:r>
              <w:rPr>
                <w:rFonts w:hint="eastAsia" w:ascii="方正仿宋_GBK" w:hAnsi="方正仿宋_GBK" w:eastAsia="方正仿宋_GBK" w:cs="方正仿宋_GBK"/>
                <w:color w:val="000000"/>
                <w:sz w:val="18"/>
                <w:szCs w:val="18"/>
              </w:rPr>
              <w:t>吕洋</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张佳</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张享周</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秦张瑾</w:t>
            </w:r>
            <w:r>
              <w:rPr>
                <w:rFonts w:ascii="方正仿宋_GBK" w:hAnsi="方正仿宋_GBK" w:eastAsia="方正仿宋_GBK" w:cs="方正仿宋_GBK"/>
                <w:color w:val="000000"/>
                <w:sz w:val="18"/>
                <w:szCs w:val="18"/>
              </w:rPr>
              <w:t>,</w:t>
            </w:r>
            <w:r>
              <w:rPr>
                <w:rFonts w:hint="eastAsia" w:ascii="方正仿宋_GBK" w:hAnsi="方正仿宋_GBK" w:eastAsia="方正仿宋_GBK" w:cs="方正仿宋_GBK"/>
                <w:color w:val="000000"/>
                <w:sz w:val="18"/>
                <w:szCs w:val="18"/>
              </w:rPr>
              <w:t>杨文凯.</w:t>
            </w:r>
          </w:p>
        </w:tc>
        <w:tc>
          <w:tcPr>
            <w:tcW w:w="1183" w:type="dxa"/>
          </w:tcPr>
          <w:p w14:paraId="0456AD44">
            <w:pPr>
              <w:pStyle w:val="3"/>
              <w:snapToGrid w:val="0"/>
              <w:spacing w:line="240" w:lineRule="auto"/>
              <w:ind w:firstLine="0" w:firstLineChars="0"/>
              <w:jc w:val="center"/>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sz w:val="21"/>
                <w:szCs w:val="21"/>
              </w:rPr>
              <w:t>有效</w:t>
            </w:r>
          </w:p>
        </w:tc>
      </w:tr>
      <w:tr w14:paraId="70D6BE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088" w:type="dxa"/>
          </w:tcPr>
          <w:p w14:paraId="4E1AE0E1">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Times New Roman" w:hAnsi="Times New Roman" w:eastAsia="方正仿宋_GBK" w:cs="方正仿宋_GBK"/>
                <w:color w:val="000000"/>
                <w:kern w:val="2"/>
                <w:szCs w:val="22"/>
              </w:rPr>
              <w:t>作品登记证书</w:t>
            </w:r>
          </w:p>
        </w:tc>
        <w:tc>
          <w:tcPr>
            <w:tcW w:w="1260" w:type="dxa"/>
          </w:tcPr>
          <w:p w14:paraId="7831EA4E">
            <w:pPr>
              <w:pStyle w:val="3"/>
              <w:spacing w:line="390" w:lineRule="exact"/>
              <w:ind w:firstLine="0" w:firstLineChars="0"/>
              <w:jc w:val="left"/>
              <w:rPr>
                <w:rFonts w:hint="eastAsia" w:ascii="方正仿宋_GBK" w:hAnsi="方正仿宋_GBK" w:eastAsia="方正仿宋_GBK" w:cs="方正仿宋_GBK"/>
                <w:color w:val="000000"/>
                <w:kern w:val="2"/>
                <w:sz w:val="21"/>
                <w:szCs w:val="21"/>
              </w:rPr>
            </w:pPr>
            <w:r>
              <w:rPr>
                <w:rFonts w:ascii="方正仿宋_GBK" w:hAnsi="方正仿宋_GBK" w:eastAsia="方正仿宋_GBK" w:cs="方正仿宋_GBK"/>
                <w:color w:val="000000"/>
                <w:kern w:val="2"/>
                <w:sz w:val="21"/>
                <w:szCs w:val="21"/>
              </w:rPr>
              <w:t>重医版认知障碍疾病标准病历</w:t>
            </w:r>
          </w:p>
        </w:tc>
        <w:tc>
          <w:tcPr>
            <w:tcW w:w="1022" w:type="dxa"/>
          </w:tcPr>
          <w:p w14:paraId="2DF6B8FC">
            <w:pPr>
              <w:pStyle w:val="3"/>
              <w:spacing w:line="390" w:lineRule="exact"/>
              <w:ind w:firstLine="0" w:firstLineChars="0"/>
              <w:jc w:val="left"/>
              <w:rPr>
                <w:rFonts w:hint="eastAsia" w:ascii="方正仿宋_GBK" w:hAnsi="方正仿宋_GBK" w:eastAsia="方正仿宋_GBK" w:cs="方正仿宋_GBK"/>
                <w:color w:val="000000"/>
                <w:kern w:val="2"/>
                <w:sz w:val="21"/>
                <w:szCs w:val="21"/>
              </w:rPr>
            </w:pPr>
            <w:r>
              <w:rPr>
                <w:rFonts w:hint="eastAsia" w:ascii="方正仿宋_GBK" w:hAnsi="方正仿宋_GBK" w:eastAsia="方正仿宋_GBK" w:cs="方正仿宋_GBK"/>
                <w:color w:val="000000"/>
                <w:kern w:val="2"/>
                <w:sz w:val="21"/>
                <w:szCs w:val="21"/>
              </w:rPr>
              <w:t>中国</w:t>
            </w:r>
          </w:p>
        </w:tc>
        <w:tc>
          <w:tcPr>
            <w:tcW w:w="849" w:type="dxa"/>
          </w:tcPr>
          <w:p w14:paraId="6D235EC1">
            <w:pPr>
              <w:pStyle w:val="3"/>
              <w:spacing w:line="240" w:lineRule="auto"/>
              <w:ind w:firstLine="0" w:firstLineChars="0"/>
              <w:jc w:val="left"/>
              <w:rPr>
                <w:rFonts w:hint="eastAsia" w:ascii="方正仿宋_GBK" w:hAnsi="方正仿宋_GBK" w:eastAsia="方正仿宋_GBK" w:cs="方正仿宋_GBK"/>
                <w:color w:val="000000"/>
                <w:kern w:val="2"/>
                <w:sz w:val="18"/>
                <w:szCs w:val="18"/>
              </w:rPr>
            </w:pPr>
            <w:r>
              <w:rPr>
                <w:rFonts w:ascii="方正仿宋_GBK" w:hAnsi="方正仿宋_GBK" w:eastAsia="方正仿宋_GBK" w:cs="方正仿宋_GBK"/>
                <w:color w:val="000000"/>
                <w:kern w:val="2"/>
                <w:sz w:val="18"/>
                <w:szCs w:val="18"/>
              </w:rPr>
              <w:t>国作登字</w:t>
            </w:r>
            <w:r>
              <w:rPr>
                <w:rFonts w:hint="eastAsia" w:ascii="方正仿宋_GBK" w:hAnsi="方正仿宋_GBK" w:eastAsia="方正仿宋_GBK" w:cs="方正仿宋_GBK"/>
                <w:color w:val="000000"/>
                <w:kern w:val="2"/>
                <w:sz w:val="18"/>
                <w:szCs w:val="18"/>
              </w:rPr>
              <w:t>-</w:t>
            </w:r>
            <w:r>
              <w:rPr>
                <w:rFonts w:ascii="方正仿宋_GBK" w:hAnsi="方正仿宋_GBK" w:eastAsia="方正仿宋_GBK" w:cs="方正仿宋_GBK"/>
                <w:color w:val="000000"/>
                <w:kern w:val="2"/>
                <w:sz w:val="18"/>
                <w:szCs w:val="18"/>
              </w:rPr>
              <w:t>2021</w:t>
            </w:r>
            <w:r>
              <w:rPr>
                <w:rFonts w:hint="eastAsia" w:ascii="方正仿宋_GBK" w:hAnsi="方正仿宋_GBK" w:eastAsia="方正仿宋_GBK" w:cs="方正仿宋_GBK"/>
                <w:color w:val="000000"/>
                <w:kern w:val="2"/>
                <w:sz w:val="18"/>
                <w:szCs w:val="18"/>
              </w:rPr>
              <w:t>-</w:t>
            </w:r>
            <w:r>
              <w:rPr>
                <w:rFonts w:ascii="方正仿宋_GBK" w:hAnsi="方正仿宋_GBK" w:eastAsia="方正仿宋_GBK" w:cs="方正仿宋_GBK"/>
                <w:color w:val="000000"/>
                <w:kern w:val="2"/>
                <w:sz w:val="18"/>
                <w:szCs w:val="18"/>
              </w:rPr>
              <w:t>A</w:t>
            </w:r>
            <w:r>
              <w:rPr>
                <w:rFonts w:hint="eastAsia" w:ascii="方正仿宋_GBK" w:hAnsi="方正仿宋_GBK" w:eastAsia="方正仿宋_GBK" w:cs="方正仿宋_GBK"/>
                <w:color w:val="000000"/>
                <w:kern w:val="2"/>
                <w:sz w:val="18"/>
                <w:szCs w:val="18"/>
              </w:rPr>
              <w:t>-</w:t>
            </w:r>
            <w:r>
              <w:rPr>
                <w:rFonts w:ascii="方正仿宋_GBK" w:hAnsi="方正仿宋_GBK" w:eastAsia="方正仿宋_GBK" w:cs="方正仿宋_GBK"/>
                <w:color w:val="000000"/>
                <w:kern w:val="2"/>
                <w:sz w:val="18"/>
                <w:szCs w:val="18"/>
              </w:rPr>
              <w:t>00269597</w:t>
            </w:r>
          </w:p>
        </w:tc>
        <w:tc>
          <w:tcPr>
            <w:tcW w:w="992" w:type="dxa"/>
          </w:tcPr>
          <w:p w14:paraId="00F70FB3">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sz w:val="21"/>
                <w:szCs w:val="21"/>
              </w:rPr>
              <w:t>2021.1.3</w:t>
            </w:r>
          </w:p>
        </w:tc>
        <w:tc>
          <w:tcPr>
            <w:tcW w:w="1134" w:type="dxa"/>
          </w:tcPr>
          <w:p w14:paraId="2121E3A0">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Times New Roman" w:hAnsi="Times New Roman" w:eastAsia="方正仿宋_GBK" w:cs="方正仿宋_GBK"/>
                <w:color w:val="000000"/>
                <w:kern w:val="2"/>
                <w:szCs w:val="22"/>
              </w:rPr>
              <w:t>01506234</w:t>
            </w:r>
          </w:p>
        </w:tc>
        <w:tc>
          <w:tcPr>
            <w:tcW w:w="850" w:type="dxa"/>
          </w:tcPr>
          <w:p w14:paraId="2C26414D">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kern w:val="2"/>
                <w:sz w:val="21"/>
                <w:szCs w:val="21"/>
              </w:rPr>
              <w:t>重庆医科大学</w:t>
            </w:r>
          </w:p>
        </w:tc>
        <w:tc>
          <w:tcPr>
            <w:tcW w:w="851" w:type="dxa"/>
          </w:tcPr>
          <w:p w14:paraId="52A3F396">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sz w:val="21"/>
                <w:szCs w:val="21"/>
              </w:rPr>
              <w:t>吕洋</w:t>
            </w:r>
          </w:p>
        </w:tc>
        <w:tc>
          <w:tcPr>
            <w:tcW w:w="1183" w:type="dxa"/>
          </w:tcPr>
          <w:p w14:paraId="76C4A40F">
            <w:pPr>
              <w:pStyle w:val="3"/>
              <w:spacing w:line="390" w:lineRule="exact"/>
              <w:ind w:firstLine="0" w:firstLineChars="0"/>
              <w:jc w:val="center"/>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sz w:val="21"/>
                <w:szCs w:val="21"/>
              </w:rPr>
              <w:t>有效</w:t>
            </w:r>
          </w:p>
        </w:tc>
      </w:tr>
      <w:tr w14:paraId="4747C1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088" w:type="dxa"/>
          </w:tcPr>
          <w:p w14:paraId="5EE6A643">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Times New Roman" w:hAnsi="Times New Roman" w:eastAsia="方正仿宋_GBK" w:cs="方正仿宋_GBK"/>
                <w:color w:val="000000"/>
                <w:kern w:val="2"/>
                <w:szCs w:val="22"/>
              </w:rPr>
              <w:t>作品登记证书</w:t>
            </w:r>
          </w:p>
        </w:tc>
        <w:tc>
          <w:tcPr>
            <w:tcW w:w="1260" w:type="dxa"/>
          </w:tcPr>
          <w:p w14:paraId="518539F8">
            <w:pPr>
              <w:pStyle w:val="3"/>
              <w:spacing w:line="390" w:lineRule="exact"/>
              <w:ind w:firstLine="0" w:firstLineChars="0"/>
              <w:jc w:val="left"/>
              <w:rPr>
                <w:rFonts w:hint="eastAsia" w:ascii="方正仿宋_GBK" w:hAnsi="方正仿宋_GBK" w:eastAsia="方正仿宋_GBK" w:cs="方正仿宋_GBK"/>
                <w:color w:val="000000"/>
                <w:kern w:val="2"/>
                <w:sz w:val="21"/>
                <w:szCs w:val="21"/>
              </w:rPr>
            </w:pPr>
            <w:r>
              <w:rPr>
                <w:rFonts w:ascii="方正仿宋_GBK" w:hAnsi="方正仿宋_GBK" w:eastAsia="方正仿宋_GBK" w:cs="方正仿宋_GBK"/>
                <w:color w:val="000000"/>
                <w:kern w:val="2"/>
                <w:sz w:val="21"/>
                <w:szCs w:val="21"/>
              </w:rPr>
              <w:t>重医版严重</w:t>
            </w:r>
            <w:r>
              <w:rPr>
                <w:rFonts w:hint="eastAsia" w:ascii="方正仿宋_GBK" w:hAnsi="方正仿宋_GBK" w:eastAsia="方正仿宋_GBK" w:cs="方正仿宋_GBK"/>
                <w:color w:val="000000"/>
                <w:kern w:val="2"/>
                <w:sz w:val="21"/>
                <w:szCs w:val="21"/>
              </w:rPr>
              <w:t>精神状态量表</w:t>
            </w:r>
          </w:p>
        </w:tc>
        <w:tc>
          <w:tcPr>
            <w:tcW w:w="1022" w:type="dxa"/>
          </w:tcPr>
          <w:p w14:paraId="7F0DD2EE">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kern w:val="2"/>
                <w:sz w:val="21"/>
                <w:szCs w:val="21"/>
              </w:rPr>
              <w:t>中国</w:t>
            </w:r>
          </w:p>
        </w:tc>
        <w:tc>
          <w:tcPr>
            <w:tcW w:w="849" w:type="dxa"/>
          </w:tcPr>
          <w:p w14:paraId="5061ED9F">
            <w:pPr>
              <w:pStyle w:val="3"/>
              <w:spacing w:line="390" w:lineRule="exact"/>
              <w:ind w:firstLine="0" w:firstLineChars="0"/>
              <w:jc w:val="left"/>
              <w:rPr>
                <w:rFonts w:ascii="Times New Roman" w:hAnsi="Times New Roman" w:eastAsia="方正仿宋_GBK" w:cs="方正仿宋_GBK"/>
                <w:color w:val="000000"/>
                <w:kern w:val="2"/>
                <w:szCs w:val="22"/>
              </w:rPr>
            </w:pPr>
            <w:r>
              <w:rPr>
                <w:rFonts w:ascii="方正仿宋_GBK" w:hAnsi="方正仿宋_GBK" w:eastAsia="方正仿宋_GBK" w:cs="方正仿宋_GBK"/>
                <w:color w:val="000000"/>
                <w:kern w:val="2"/>
                <w:sz w:val="18"/>
                <w:szCs w:val="18"/>
              </w:rPr>
              <w:t>国作登字</w:t>
            </w:r>
            <w:r>
              <w:rPr>
                <w:rFonts w:hint="eastAsia" w:ascii="方正仿宋_GBK" w:hAnsi="方正仿宋_GBK" w:eastAsia="方正仿宋_GBK" w:cs="方正仿宋_GBK"/>
                <w:color w:val="000000"/>
                <w:kern w:val="2"/>
                <w:sz w:val="18"/>
                <w:szCs w:val="18"/>
              </w:rPr>
              <w:t>-</w:t>
            </w:r>
            <w:r>
              <w:rPr>
                <w:rFonts w:ascii="方正仿宋_GBK" w:hAnsi="方正仿宋_GBK" w:eastAsia="方正仿宋_GBK" w:cs="方正仿宋_GBK"/>
                <w:color w:val="000000"/>
                <w:kern w:val="2"/>
                <w:sz w:val="18"/>
                <w:szCs w:val="18"/>
              </w:rPr>
              <w:t>2021</w:t>
            </w:r>
            <w:r>
              <w:rPr>
                <w:rFonts w:hint="eastAsia" w:ascii="方正仿宋_GBK" w:hAnsi="方正仿宋_GBK" w:eastAsia="方正仿宋_GBK" w:cs="方正仿宋_GBK"/>
                <w:color w:val="000000"/>
                <w:kern w:val="2"/>
                <w:sz w:val="18"/>
                <w:szCs w:val="18"/>
              </w:rPr>
              <w:t>-</w:t>
            </w:r>
            <w:r>
              <w:rPr>
                <w:rFonts w:ascii="方正仿宋_GBK" w:hAnsi="方正仿宋_GBK" w:eastAsia="方正仿宋_GBK" w:cs="方正仿宋_GBK"/>
                <w:color w:val="000000"/>
                <w:kern w:val="2"/>
                <w:sz w:val="18"/>
                <w:szCs w:val="18"/>
              </w:rPr>
              <w:t>A</w:t>
            </w:r>
            <w:r>
              <w:rPr>
                <w:rFonts w:hint="eastAsia" w:ascii="方正仿宋_GBK" w:hAnsi="方正仿宋_GBK" w:eastAsia="方正仿宋_GBK" w:cs="方正仿宋_GBK"/>
                <w:color w:val="000000"/>
                <w:kern w:val="2"/>
                <w:sz w:val="18"/>
                <w:szCs w:val="18"/>
              </w:rPr>
              <w:t>-</w:t>
            </w:r>
            <w:r>
              <w:rPr>
                <w:rFonts w:ascii="方正仿宋_GBK" w:hAnsi="方正仿宋_GBK" w:eastAsia="方正仿宋_GBK" w:cs="方正仿宋_GBK"/>
                <w:color w:val="000000"/>
                <w:kern w:val="2"/>
                <w:sz w:val="18"/>
                <w:szCs w:val="18"/>
              </w:rPr>
              <w:t>0026959</w:t>
            </w:r>
            <w:r>
              <w:rPr>
                <w:rFonts w:hint="eastAsia" w:ascii="方正仿宋_GBK" w:hAnsi="方正仿宋_GBK" w:eastAsia="方正仿宋_GBK" w:cs="方正仿宋_GBK"/>
                <w:color w:val="000000"/>
                <w:kern w:val="2"/>
                <w:sz w:val="18"/>
                <w:szCs w:val="18"/>
              </w:rPr>
              <w:t>8</w:t>
            </w:r>
          </w:p>
        </w:tc>
        <w:tc>
          <w:tcPr>
            <w:tcW w:w="992" w:type="dxa"/>
          </w:tcPr>
          <w:p w14:paraId="57E5BBA9">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sz w:val="21"/>
                <w:szCs w:val="21"/>
              </w:rPr>
              <w:t>2021.1.3</w:t>
            </w:r>
          </w:p>
        </w:tc>
        <w:tc>
          <w:tcPr>
            <w:tcW w:w="1134" w:type="dxa"/>
          </w:tcPr>
          <w:p w14:paraId="235D2680">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Times New Roman" w:hAnsi="Times New Roman" w:eastAsia="方正仿宋_GBK" w:cs="方正仿宋_GBK"/>
                <w:color w:val="000000"/>
                <w:kern w:val="2"/>
                <w:szCs w:val="22"/>
              </w:rPr>
              <w:t>01506235</w:t>
            </w:r>
          </w:p>
        </w:tc>
        <w:tc>
          <w:tcPr>
            <w:tcW w:w="850" w:type="dxa"/>
          </w:tcPr>
          <w:p w14:paraId="479AC9C0">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kern w:val="2"/>
                <w:sz w:val="21"/>
                <w:szCs w:val="21"/>
              </w:rPr>
              <w:t>重庆医科大学</w:t>
            </w:r>
          </w:p>
        </w:tc>
        <w:tc>
          <w:tcPr>
            <w:tcW w:w="851" w:type="dxa"/>
          </w:tcPr>
          <w:p w14:paraId="183AAF02">
            <w:pPr>
              <w:pStyle w:val="3"/>
              <w:spacing w:line="390" w:lineRule="exact"/>
              <w:ind w:firstLine="0" w:firstLineChars="0"/>
              <w:jc w:val="left"/>
              <w:rPr>
                <w:rFonts w:ascii="Times New Roman" w:hAnsi="Times New Roman" w:eastAsia="方正仿宋_GBK" w:cs="方正仿宋_GBK"/>
                <w:color w:val="000000"/>
                <w:kern w:val="2"/>
                <w:szCs w:val="22"/>
              </w:rPr>
            </w:pPr>
            <w:r>
              <w:rPr>
                <w:rFonts w:hint="eastAsia" w:ascii="方正仿宋_GBK" w:hAnsi="方正仿宋_GBK" w:eastAsia="方正仿宋_GBK" w:cs="方正仿宋_GBK"/>
                <w:color w:val="000000"/>
                <w:sz w:val="21"/>
                <w:szCs w:val="21"/>
              </w:rPr>
              <w:t>吕洋</w:t>
            </w:r>
          </w:p>
        </w:tc>
        <w:tc>
          <w:tcPr>
            <w:tcW w:w="1183" w:type="dxa"/>
          </w:tcPr>
          <w:p w14:paraId="1E58948E">
            <w:pPr>
              <w:pStyle w:val="3"/>
              <w:spacing w:line="390" w:lineRule="exact"/>
              <w:ind w:firstLine="0" w:firstLineChars="0"/>
              <w:jc w:val="center"/>
              <w:rPr>
                <w:rFonts w:hint="eastAsia" w:ascii="方正仿宋_GBK" w:hAnsi="方正仿宋_GBK" w:eastAsia="方正仿宋_GBK" w:cs="方正仿宋_GBK"/>
                <w:color w:val="000000"/>
                <w:sz w:val="21"/>
                <w:szCs w:val="21"/>
              </w:rPr>
            </w:pPr>
            <w:r>
              <w:rPr>
                <w:rFonts w:hint="eastAsia" w:ascii="方正仿宋_GBK" w:hAnsi="方正仿宋_GBK" w:eastAsia="方正仿宋_GBK" w:cs="方正仿宋_GBK"/>
                <w:color w:val="000000"/>
                <w:sz w:val="21"/>
                <w:szCs w:val="21"/>
              </w:rPr>
              <w:t>有效</w:t>
            </w:r>
          </w:p>
        </w:tc>
      </w:tr>
    </w:tbl>
    <w:p w14:paraId="62B064AD">
      <w:pPr>
        <w:spacing w:line="540" w:lineRule="exact"/>
        <w:rPr>
          <w:rFonts w:ascii="宋体" w:hAnsi="宋体" w:eastAsia="宋体"/>
          <w:color w:val="000000"/>
          <w:sz w:val="28"/>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方正仿宋_GBK">
    <w:panose1 w:val="02000000000000000000"/>
    <w:charset w:val="86"/>
    <w:family w:val="script"/>
    <w:pitch w:val="default"/>
    <w:sig w:usb0="A00002BF" w:usb1="38CF7CFA" w:usb2="00082016" w:usb3="00000000" w:csb0="00040001" w:csb1="00000000"/>
  </w:font>
  <w:font w:name="等线">
    <w:altName w:val="微软雅黑"/>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0C2801"/>
    <w:multiLevelType w:val="singleLevel"/>
    <w:tmpl w:val="920C28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iNDNhMWY5YWJiNjdjYjE3YWQ1NGU0ZTQyNGQ5NWEifQ=="/>
  </w:docVars>
  <w:rsids>
    <w:rsidRoot w:val="00D305CD"/>
    <w:rsid w:val="00000B9A"/>
    <w:rsid w:val="000125E9"/>
    <w:rsid w:val="00015AEB"/>
    <w:rsid w:val="00037096"/>
    <w:rsid w:val="000375C6"/>
    <w:rsid w:val="000556A4"/>
    <w:rsid w:val="000562E9"/>
    <w:rsid w:val="0007334C"/>
    <w:rsid w:val="000862AF"/>
    <w:rsid w:val="00087D6B"/>
    <w:rsid w:val="00095ED5"/>
    <w:rsid w:val="000971F2"/>
    <w:rsid w:val="000A0D91"/>
    <w:rsid w:val="000A11F4"/>
    <w:rsid w:val="000B3BFA"/>
    <w:rsid w:val="000C1B48"/>
    <w:rsid w:val="000C2F2E"/>
    <w:rsid w:val="000C3033"/>
    <w:rsid w:val="000C452F"/>
    <w:rsid w:val="000C727F"/>
    <w:rsid w:val="000D59D3"/>
    <w:rsid w:val="000E288E"/>
    <w:rsid w:val="000E4F67"/>
    <w:rsid w:val="0010057F"/>
    <w:rsid w:val="00106004"/>
    <w:rsid w:val="00112237"/>
    <w:rsid w:val="00114A7F"/>
    <w:rsid w:val="001164BF"/>
    <w:rsid w:val="00126EA2"/>
    <w:rsid w:val="00132146"/>
    <w:rsid w:val="00134277"/>
    <w:rsid w:val="00150C3C"/>
    <w:rsid w:val="00152BEF"/>
    <w:rsid w:val="00165C02"/>
    <w:rsid w:val="00181A2F"/>
    <w:rsid w:val="00186FB9"/>
    <w:rsid w:val="00187487"/>
    <w:rsid w:val="001A2F1F"/>
    <w:rsid w:val="001A3440"/>
    <w:rsid w:val="001A43BB"/>
    <w:rsid w:val="001B4FF4"/>
    <w:rsid w:val="001B5B3B"/>
    <w:rsid w:val="001D013E"/>
    <w:rsid w:val="001D7DA9"/>
    <w:rsid w:val="001F3554"/>
    <w:rsid w:val="001F3C8A"/>
    <w:rsid w:val="0020613B"/>
    <w:rsid w:val="00206A92"/>
    <w:rsid w:val="0021395D"/>
    <w:rsid w:val="00221E01"/>
    <w:rsid w:val="002408A0"/>
    <w:rsid w:val="002425C8"/>
    <w:rsid w:val="00242ECC"/>
    <w:rsid w:val="00244385"/>
    <w:rsid w:val="002541C9"/>
    <w:rsid w:val="002577C8"/>
    <w:rsid w:val="00261E51"/>
    <w:rsid w:val="002725EC"/>
    <w:rsid w:val="0027280F"/>
    <w:rsid w:val="00282AA6"/>
    <w:rsid w:val="00285B1A"/>
    <w:rsid w:val="00287EC2"/>
    <w:rsid w:val="00295C4C"/>
    <w:rsid w:val="002979F4"/>
    <w:rsid w:val="002A1280"/>
    <w:rsid w:val="002A6CC2"/>
    <w:rsid w:val="002B31E0"/>
    <w:rsid w:val="002B4488"/>
    <w:rsid w:val="002C448D"/>
    <w:rsid w:val="002F55A3"/>
    <w:rsid w:val="003019D9"/>
    <w:rsid w:val="00307274"/>
    <w:rsid w:val="003075FA"/>
    <w:rsid w:val="0032548E"/>
    <w:rsid w:val="003313B1"/>
    <w:rsid w:val="00334F11"/>
    <w:rsid w:val="003411D7"/>
    <w:rsid w:val="00341F9E"/>
    <w:rsid w:val="00362D44"/>
    <w:rsid w:val="00374A39"/>
    <w:rsid w:val="0038314C"/>
    <w:rsid w:val="003A1224"/>
    <w:rsid w:val="003B0E59"/>
    <w:rsid w:val="003C2442"/>
    <w:rsid w:val="003D4ED8"/>
    <w:rsid w:val="003F4BCF"/>
    <w:rsid w:val="003F7314"/>
    <w:rsid w:val="0040088C"/>
    <w:rsid w:val="00403C64"/>
    <w:rsid w:val="004102A3"/>
    <w:rsid w:val="0042566B"/>
    <w:rsid w:val="0042630D"/>
    <w:rsid w:val="00431F39"/>
    <w:rsid w:val="00433F6F"/>
    <w:rsid w:val="004375B3"/>
    <w:rsid w:val="004421D0"/>
    <w:rsid w:val="00446144"/>
    <w:rsid w:val="00446BF3"/>
    <w:rsid w:val="0045208C"/>
    <w:rsid w:val="00457708"/>
    <w:rsid w:val="0046766B"/>
    <w:rsid w:val="00476F87"/>
    <w:rsid w:val="00482992"/>
    <w:rsid w:val="004A25BA"/>
    <w:rsid w:val="004A2ACA"/>
    <w:rsid w:val="004A5EFC"/>
    <w:rsid w:val="004B165D"/>
    <w:rsid w:val="004C08D7"/>
    <w:rsid w:val="004C5F0D"/>
    <w:rsid w:val="004E3573"/>
    <w:rsid w:val="004F319D"/>
    <w:rsid w:val="004F76F2"/>
    <w:rsid w:val="005132D0"/>
    <w:rsid w:val="005202C6"/>
    <w:rsid w:val="00543F1D"/>
    <w:rsid w:val="0056646F"/>
    <w:rsid w:val="0059647C"/>
    <w:rsid w:val="005C2AA4"/>
    <w:rsid w:val="005F10F8"/>
    <w:rsid w:val="00605A40"/>
    <w:rsid w:val="00607572"/>
    <w:rsid w:val="006134B1"/>
    <w:rsid w:val="00657FEB"/>
    <w:rsid w:val="006872C9"/>
    <w:rsid w:val="006D4EAB"/>
    <w:rsid w:val="006E50B0"/>
    <w:rsid w:val="006E5BD7"/>
    <w:rsid w:val="006F31F6"/>
    <w:rsid w:val="00712C56"/>
    <w:rsid w:val="00721D63"/>
    <w:rsid w:val="00725E7E"/>
    <w:rsid w:val="007334A5"/>
    <w:rsid w:val="007444C1"/>
    <w:rsid w:val="007559F3"/>
    <w:rsid w:val="0078508D"/>
    <w:rsid w:val="0078577C"/>
    <w:rsid w:val="00794517"/>
    <w:rsid w:val="007A405B"/>
    <w:rsid w:val="007A54F7"/>
    <w:rsid w:val="007B29C0"/>
    <w:rsid w:val="007C4419"/>
    <w:rsid w:val="007E5F2F"/>
    <w:rsid w:val="007E7BA4"/>
    <w:rsid w:val="007F1AE4"/>
    <w:rsid w:val="007F764A"/>
    <w:rsid w:val="008030C2"/>
    <w:rsid w:val="0080583A"/>
    <w:rsid w:val="00812E4D"/>
    <w:rsid w:val="00823BD3"/>
    <w:rsid w:val="00825C47"/>
    <w:rsid w:val="00826647"/>
    <w:rsid w:val="00836100"/>
    <w:rsid w:val="00846E6C"/>
    <w:rsid w:val="00851386"/>
    <w:rsid w:val="00856810"/>
    <w:rsid w:val="00862D0D"/>
    <w:rsid w:val="00864E3D"/>
    <w:rsid w:val="00866299"/>
    <w:rsid w:val="008718AA"/>
    <w:rsid w:val="00871B62"/>
    <w:rsid w:val="00873F7D"/>
    <w:rsid w:val="00876413"/>
    <w:rsid w:val="008A36ED"/>
    <w:rsid w:val="008A5C54"/>
    <w:rsid w:val="008B2707"/>
    <w:rsid w:val="008B3990"/>
    <w:rsid w:val="008D0937"/>
    <w:rsid w:val="008D3B8F"/>
    <w:rsid w:val="008F0729"/>
    <w:rsid w:val="008F6C03"/>
    <w:rsid w:val="00900092"/>
    <w:rsid w:val="00904D8E"/>
    <w:rsid w:val="00905C10"/>
    <w:rsid w:val="00921F52"/>
    <w:rsid w:val="009270F1"/>
    <w:rsid w:val="009333B7"/>
    <w:rsid w:val="00934214"/>
    <w:rsid w:val="00943CDC"/>
    <w:rsid w:val="00965005"/>
    <w:rsid w:val="009739FC"/>
    <w:rsid w:val="00976FB7"/>
    <w:rsid w:val="00983108"/>
    <w:rsid w:val="0099116B"/>
    <w:rsid w:val="0099745D"/>
    <w:rsid w:val="00997D14"/>
    <w:rsid w:val="009A19FE"/>
    <w:rsid w:val="009C4291"/>
    <w:rsid w:val="009E6C7A"/>
    <w:rsid w:val="00A11866"/>
    <w:rsid w:val="00A12FAF"/>
    <w:rsid w:val="00A328D9"/>
    <w:rsid w:val="00A50A8B"/>
    <w:rsid w:val="00A65786"/>
    <w:rsid w:val="00A70F49"/>
    <w:rsid w:val="00A73EA1"/>
    <w:rsid w:val="00A8244C"/>
    <w:rsid w:val="00A83AFE"/>
    <w:rsid w:val="00A840F5"/>
    <w:rsid w:val="00A856A3"/>
    <w:rsid w:val="00A86C7C"/>
    <w:rsid w:val="00A91CEA"/>
    <w:rsid w:val="00A93901"/>
    <w:rsid w:val="00AB1AA5"/>
    <w:rsid w:val="00AC0294"/>
    <w:rsid w:val="00AC102A"/>
    <w:rsid w:val="00AC2786"/>
    <w:rsid w:val="00AD0C32"/>
    <w:rsid w:val="00AD134F"/>
    <w:rsid w:val="00AD2C18"/>
    <w:rsid w:val="00AD2F1E"/>
    <w:rsid w:val="00AD3591"/>
    <w:rsid w:val="00AE23C8"/>
    <w:rsid w:val="00AE349C"/>
    <w:rsid w:val="00AE602D"/>
    <w:rsid w:val="00B141AD"/>
    <w:rsid w:val="00B207C2"/>
    <w:rsid w:val="00B207E7"/>
    <w:rsid w:val="00B20DD6"/>
    <w:rsid w:val="00B32B8C"/>
    <w:rsid w:val="00B32C8B"/>
    <w:rsid w:val="00B33E3F"/>
    <w:rsid w:val="00B40836"/>
    <w:rsid w:val="00B50922"/>
    <w:rsid w:val="00B52828"/>
    <w:rsid w:val="00B623BE"/>
    <w:rsid w:val="00B65FC8"/>
    <w:rsid w:val="00B67455"/>
    <w:rsid w:val="00B76626"/>
    <w:rsid w:val="00B778E3"/>
    <w:rsid w:val="00B85D03"/>
    <w:rsid w:val="00B915E2"/>
    <w:rsid w:val="00BB79F4"/>
    <w:rsid w:val="00BC0A1F"/>
    <w:rsid w:val="00BC63BA"/>
    <w:rsid w:val="00BD33E4"/>
    <w:rsid w:val="00BD3E5A"/>
    <w:rsid w:val="00BE16B8"/>
    <w:rsid w:val="00BE1C53"/>
    <w:rsid w:val="00BE43F5"/>
    <w:rsid w:val="00BE4FF9"/>
    <w:rsid w:val="00BE5E45"/>
    <w:rsid w:val="00BE6679"/>
    <w:rsid w:val="00BF00CF"/>
    <w:rsid w:val="00BF6B15"/>
    <w:rsid w:val="00C37141"/>
    <w:rsid w:val="00C45365"/>
    <w:rsid w:val="00C52800"/>
    <w:rsid w:val="00C56AB9"/>
    <w:rsid w:val="00C57F85"/>
    <w:rsid w:val="00C7111B"/>
    <w:rsid w:val="00C802B3"/>
    <w:rsid w:val="00C8129A"/>
    <w:rsid w:val="00CA0376"/>
    <w:rsid w:val="00CA0550"/>
    <w:rsid w:val="00CA6E0F"/>
    <w:rsid w:val="00CC4F2C"/>
    <w:rsid w:val="00D14B40"/>
    <w:rsid w:val="00D1575E"/>
    <w:rsid w:val="00D22DD8"/>
    <w:rsid w:val="00D271DF"/>
    <w:rsid w:val="00D305CD"/>
    <w:rsid w:val="00D46816"/>
    <w:rsid w:val="00D56DD5"/>
    <w:rsid w:val="00D620A6"/>
    <w:rsid w:val="00D628DB"/>
    <w:rsid w:val="00D6423D"/>
    <w:rsid w:val="00D6476B"/>
    <w:rsid w:val="00D720B8"/>
    <w:rsid w:val="00D73535"/>
    <w:rsid w:val="00D73E1C"/>
    <w:rsid w:val="00D81DB2"/>
    <w:rsid w:val="00D85F55"/>
    <w:rsid w:val="00D86BCB"/>
    <w:rsid w:val="00DA5D32"/>
    <w:rsid w:val="00DB14C8"/>
    <w:rsid w:val="00DB1FD7"/>
    <w:rsid w:val="00DB2A37"/>
    <w:rsid w:val="00DD1CDB"/>
    <w:rsid w:val="00DD5F55"/>
    <w:rsid w:val="00DE0993"/>
    <w:rsid w:val="00E056CE"/>
    <w:rsid w:val="00E229E5"/>
    <w:rsid w:val="00E2462D"/>
    <w:rsid w:val="00E24FEE"/>
    <w:rsid w:val="00E4462D"/>
    <w:rsid w:val="00E82CF9"/>
    <w:rsid w:val="00E8771C"/>
    <w:rsid w:val="00E92E46"/>
    <w:rsid w:val="00E94EB2"/>
    <w:rsid w:val="00E97B64"/>
    <w:rsid w:val="00EA378C"/>
    <w:rsid w:val="00EA66AF"/>
    <w:rsid w:val="00EB1FA8"/>
    <w:rsid w:val="00EC04D5"/>
    <w:rsid w:val="00EC264C"/>
    <w:rsid w:val="00EC463D"/>
    <w:rsid w:val="00EC4BCA"/>
    <w:rsid w:val="00ED7E8B"/>
    <w:rsid w:val="00F22FB9"/>
    <w:rsid w:val="00F447BF"/>
    <w:rsid w:val="00F461D4"/>
    <w:rsid w:val="00F53FE1"/>
    <w:rsid w:val="00FA1B27"/>
    <w:rsid w:val="00FB20CA"/>
    <w:rsid w:val="00FB2169"/>
    <w:rsid w:val="00FC3072"/>
    <w:rsid w:val="00FC5A9B"/>
    <w:rsid w:val="00FE3B4C"/>
    <w:rsid w:val="11DB01A5"/>
    <w:rsid w:val="19A67BFA"/>
    <w:rsid w:val="1CD85D31"/>
    <w:rsid w:val="311F13A6"/>
    <w:rsid w:val="4B7E16EB"/>
    <w:rsid w:val="51986EB2"/>
    <w:rsid w:val="553B0E40"/>
    <w:rsid w:val="597B6C86"/>
    <w:rsid w:val="5B690CF8"/>
    <w:rsid w:val="6B5D7B5C"/>
    <w:rsid w:val="6B973B60"/>
    <w:rsid w:val="6D1E1AA6"/>
    <w:rsid w:val="790857BE"/>
    <w:rsid w:val="7D0C6791"/>
    <w:rsid w:val="7FB80F1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pPr>
      <w:ind w:firstLine="0" w:firstLineChars="0"/>
      <w:textAlignment w:val="baseline"/>
    </w:pPr>
    <w:rPr>
      <w:rFonts w:cs="Times New Roman"/>
      <w:szCs w:val="24"/>
    </w:rPr>
  </w:style>
  <w:style w:type="paragraph" w:styleId="3">
    <w:name w:val="Plain Text"/>
    <w:basedOn w:val="1"/>
    <w:qFormat/>
    <w:uiPriority w:val="99"/>
    <w:pPr>
      <w:spacing w:line="360" w:lineRule="auto"/>
      <w:ind w:firstLine="480"/>
    </w:pPr>
    <w:rPr>
      <w:rFonts w:ascii="仿宋_GB2312" w:hAnsi="等线" w:eastAsia="等线"/>
      <w:kern w:val="0"/>
    </w:rPr>
  </w:style>
  <w:style w:type="paragraph" w:styleId="4">
    <w:name w:val="Balloon Text"/>
    <w:basedOn w:val="1"/>
    <w:link w:val="12"/>
    <w:semiHidden/>
    <w:unhideWhenUsed/>
    <w:qFormat/>
    <w:uiPriority w:val="99"/>
    <w:rPr>
      <w:sz w:val="18"/>
      <w:szCs w:val="18"/>
    </w:rPr>
  </w:style>
  <w:style w:type="paragraph" w:styleId="5">
    <w:name w:val="footer"/>
    <w:basedOn w:val="1"/>
    <w:next w:val="6"/>
    <w:link w:val="14"/>
    <w:unhideWhenUsed/>
    <w:qFormat/>
    <w:uiPriority w:val="99"/>
    <w:pPr>
      <w:tabs>
        <w:tab w:val="center" w:pos="4153"/>
        <w:tab w:val="right" w:pos="8306"/>
      </w:tabs>
      <w:snapToGrid w:val="0"/>
      <w:jc w:val="left"/>
    </w:pPr>
    <w:rPr>
      <w:sz w:val="18"/>
      <w:szCs w:val="18"/>
    </w:rPr>
  </w:style>
  <w:style w:type="paragraph" w:customStyle="1" w:styleId="6">
    <w:name w:val="索引 51"/>
    <w:basedOn w:val="1"/>
    <w:next w:val="1"/>
    <w:qFormat/>
    <w:uiPriority w:val="0"/>
    <w:pPr>
      <w:ind w:left="1680"/>
    </w:pPr>
  </w:style>
  <w:style w:type="paragraph" w:styleId="7">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widowControl/>
      <w:spacing w:before="100" w:beforeAutospacing="1" w:after="100" w:afterAutospacing="1" w:line="360" w:lineRule="auto"/>
      <w:jc w:val="left"/>
    </w:pPr>
    <w:rPr>
      <w:rFonts w:ascii="宋体" w:hAnsi="宋体" w:eastAsia="宋体" w:cs="宋体"/>
      <w:kern w:val="0"/>
      <w:sz w:val="24"/>
      <w:szCs w:val="20"/>
    </w:rPr>
  </w:style>
  <w:style w:type="paragraph" w:styleId="9">
    <w:name w:val="Body Text First Indent"/>
    <w:basedOn w:val="2"/>
    <w:autoRedefine/>
    <w:qFormat/>
    <w:uiPriority w:val="99"/>
    <w:pPr>
      <w:spacing w:after="120" w:line="240" w:lineRule="auto"/>
      <w:ind w:firstLine="420" w:firstLineChars="100"/>
      <w:textAlignment w:val="auto"/>
    </w:pPr>
    <w:rPr>
      <w:rFonts w:ascii="Calibri" w:hAnsi="Calibri"/>
      <w:sz w:val="21"/>
    </w:rPr>
  </w:style>
  <w:style w:type="character" w:customStyle="1" w:styleId="12">
    <w:name w:val="批注框文本 Char"/>
    <w:basedOn w:val="11"/>
    <w:link w:val="4"/>
    <w:semiHidden/>
    <w:qFormat/>
    <w:uiPriority w:val="99"/>
    <w:rPr>
      <w:sz w:val="18"/>
      <w:szCs w:val="18"/>
    </w:rPr>
  </w:style>
  <w:style w:type="character" w:customStyle="1" w:styleId="13">
    <w:name w:val="页眉 Char"/>
    <w:basedOn w:val="11"/>
    <w:link w:val="7"/>
    <w:qFormat/>
    <w:uiPriority w:val="99"/>
    <w:rPr>
      <w:sz w:val="18"/>
      <w:szCs w:val="18"/>
    </w:rPr>
  </w:style>
  <w:style w:type="character" w:customStyle="1" w:styleId="14">
    <w:name w:val="页脚 Char"/>
    <w:basedOn w:val="11"/>
    <w:link w:val="5"/>
    <w:qFormat/>
    <w:uiPriority w:val="99"/>
    <w:rPr>
      <w:sz w:val="18"/>
      <w:szCs w:val="18"/>
    </w:rPr>
  </w:style>
  <w:style w:type="paragraph" w:styleId="15">
    <w:name w:val="List Paragraph"/>
    <w:basedOn w:val="1"/>
    <w:qFormat/>
    <w:uiPriority w:val="34"/>
    <w:pPr>
      <w:ind w:firstLine="420" w:firstLineChars="200"/>
    </w:pPr>
  </w:style>
  <w:style w:type="paragraph" w:customStyle="1" w:styleId="16">
    <w:name w:val="表格内容"/>
    <w:basedOn w:val="1"/>
    <w:qFormat/>
    <w:uiPriority w:val="0"/>
    <w:pPr>
      <w:spacing w:line="240" w:lineRule="auto"/>
      <w:ind w:firstLine="0" w:firstLineChars="0"/>
      <w:jc w:val="center"/>
      <w:textAlignment w:val="baseline"/>
    </w:pPr>
    <w:rPr>
      <w:rFonts w:cs="Times New Roman"/>
      <w:sz w:val="21"/>
      <w:szCs w:val="28"/>
    </w:rPr>
  </w:style>
  <w:style w:type="paragraph" w:customStyle="1" w:styleId="17">
    <w:name w:val="Table Text"/>
    <w:basedOn w:val="1"/>
    <w:semiHidden/>
    <w:qFormat/>
    <w:uiPriority w:val="0"/>
    <w:rPr>
      <w:rFonts w:ascii="新宋体" w:hAnsi="新宋体" w:eastAsia="新宋体" w:cs="新宋体"/>
      <w:sz w:val="20"/>
      <w:szCs w:val="20"/>
      <w:lang w:val="en-US" w:eastAsia="en-US" w:bidi="ar-SA"/>
    </w:rPr>
  </w:style>
  <w:style w:type="table" w:customStyle="1" w:styleId="1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1674</Words>
  <Characters>1864</Characters>
  <Lines>9</Lines>
  <Paragraphs>2</Paragraphs>
  <TotalTime>0</TotalTime>
  <ScaleCrop>false</ScaleCrop>
  <LinksUpToDate>false</LinksUpToDate>
  <CharactersWithSpaces>1872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2021-07-10T03:54:00Z</dcterms:created>
  <dc:creator>tang lun</dc:creator>
  <cp:lastModifiedBy>Administrator</cp:lastModifiedBy>
  <cp:lastPrinted>2024-01-29T07:50:00Z</cp:lastPrinted>
  <dcterms:modified xsi:type="dcterms:W3CDTF">2025-02-26T02:17:51Z</dcterms:modified>
  <cp:revision>466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4DAA52FFE76E41EC93D34477398BEF42_13</vt:lpwstr>
  </property>
  <property fmtid="{D5CDD505-2E9C-101B-9397-08002B2CF9AE}" pid="4" name="KSOTemplateDocerSaveRecord">
    <vt:lpwstr>eyJoZGlkIjoiNDU4YjAxNDRlZDY0ZDJmNDE2ZGJhMDFhMTM3NmQwNDMifQ==</vt:lpwstr>
  </property>
</Properties>
</file>