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低强度超声对骨关节炎的康复策略研究及应用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BDAB45D">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重庆医科大学、上海交通大学医学院附属瑞金医院、重庆融海超声医学工程研究中心有限公司</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白定群、韩晓宇、朱莹、王娟、王帆、崔文国、谭智彬、易威威</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7547CFF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骨关节炎（Osteoarthritis，OA）是最常见的肌肉骨骼系统退行性疾病，全球有超过 5 亿人受其影响，我国 OA 患者超 1.3 亿，已成为致残的主要疾病之一。然而到目前为止，除了止痛等对症治疗外，仍无有效改善 OA 进展的非手术治疗策略，亟需开发无创、安全并且有效的治疗措施。本团队多年来在国家重点研发计划子课题、国家自然科学基金等课题的支持下，聚焦于低强度超声的研究，致力于骨关节炎康复新机制及新策略的探索，研发具有自主知识产权的低强度超声治疗仪并进行推广应用，实现了基础理论和临床诊治技术的创新。</w:t>
      </w:r>
    </w:p>
    <w:p w14:paraId="71C061A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1.首次揭示了低强度超声通过抑制软骨细胞VEGFA分泌延缓软骨退变；通过Wnt/β-catenin信号通路抑制了滑膜成纤维细胞的增殖和过度活化，从而减轻OA小鼠关节滑膜纤维化，为低强度超声治疗OA提供了理论基础。</w:t>
      </w:r>
    </w:p>
    <w:p w14:paraId="6D55FF8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创新性的开发了纳米微泡化超声透药耦合剂，在国际上首次实现真皮层无创经皮给药；同时，开发出诊疗一体的超声造影微球，在超声作用下微球能够实现靶向和控制药物传递，有效破坏OA滑膜恶性炎症循环，为低强度超声治疗OA的联合增效开辟了新的途径。</w:t>
      </w:r>
    </w:p>
    <w:p w14:paraId="4DD758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3.自主研发低强度超声骨关节治疗仪，发明了长焦距的超声换能器和绑带式的超声治疗装置，</w:t>
      </w:r>
    </w:p>
    <w:p w14:paraId="017DFFF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该仪器所发射的超声波经超声传导单元后聚集在超声波声轴线上并沿轴线方向延伸，形成了长条形的聚焦声场，有效增大了焦域面积，使得低强度超声治疗更加精准、安全、便捷。</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   该项目共计发表论文26篇，包括在Advanced Materials、Advanced Functional Materials、Journal of Orthopaedic Translation等 SCI期刊发表论文15篇，其中IF&gt;10的论文10篇。受邀在Advanced Functional Materials，Nano Today ，Advanced Healthcare Materials等期刊发表低强度超声系列综述。获得授权发明专利2项、软著1项，参编指南1部、教材1部。依托本项目成果获得中国国际大学生创新大赛国际赛区银奖，中国国际大学生创新大赛重庆赛区中荣获金奖，重庆市医学科技创新成果转化大赛三等奖。主办中国医师协会康复医师分会年会1次，国家级继续教育3次，市级继续教育5次，培训人员1500人次。受邀在国际大会做主题报告1次，全国性学术会议报告37次。培养国家博士后创新人才1名，重庆市优秀博士1名，博/硕士103名，进修生146名。本研究成果在国内110家医院推广应用，覆盖包括上海、四川、重庆等23个地市。本项目通过积极的成果推广，提高了OA康复治疗水平，降低了医疗费用支出，创造了巨大的社会和社会效益。</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1"/>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70"/>
        <w:gridCol w:w="709"/>
        <w:gridCol w:w="1134"/>
        <w:gridCol w:w="851"/>
        <w:gridCol w:w="708"/>
        <w:gridCol w:w="1134"/>
        <w:gridCol w:w="1701"/>
        <w:gridCol w:w="734"/>
      </w:tblGrid>
      <w:tr w14:paraId="4B2B6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6D9CC4CF">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170" w:type="dxa"/>
            <w:vAlign w:val="center"/>
          </w:tcPr>
          <w:p w14:paraId="0BF22B61">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542A0D19">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709" w:type="dxa"/>
            <w:vAlign w:val="center"/>
          </w:tcPr>
          <w:p w14:paraId="0BA787BB">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544E7B88">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1134" w:type="dxa"/>
            <w:vAlign w:val="center"/>
          </w:tcPr>
          <w:p w14:paraId="20EE01AA">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851" w:type="dxa"/>
            <w:vAlign w:val="center"/>
          </w:tcPr>
          <w:p w14:paraId="33813A5B">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708" w:type="dxa"/>
            <w:vAlign w:val="center"/>
          </w:tcPr>
          <w:p w14:paraId="38ABAFC7">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1134" w:type="dxa"/>
            <w:vAlign w:val="center"/>
          </w:tcPr>
          <w:p w14:paraId="575FDA84">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1701" w:type="dxa"/>
            <w:vAlign w:val="center"/>
          </w:tcPr>
          <w:p w14:paraId="4BC1431A">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734" w:type="dxa"/>
            <w:vAlign w:val="center"/>
          </w:tcPr>
          <w:p w14:paraId="0E00D142">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32D8C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4EFBEA6F">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bookmarkStart w:id="0" w:name="OLE_LINK5"/>
            <w:r>
              <w:rPr>
                <w:rFonts w:hint="eastAsia" w:ascii="方正仿宋_GBK" w:hAnsi="方正仿宋_GBK" w:eastAsia="方正仿宋_GBK" w:cs="方正仿宋_GBK"/>
                <w:b/>
                <w:bCs/>
                <w:color w:val="000000"/>
                <w:kern w:val="2"/>
                <w:sz w:val="21"/>
                <w:szCs w:val="21"/>
              </w:rPr>
              <w:t>发明专利</w:t>
            </w:r>
            <w:bookmarkEnd w:id="0"/>
          </w:p>
        </w:tc>
        <w:tc>
          <w:tcPr>
            <w:tcW w:w="1170" w:type="dxa"/>
          </w:tcPr>
          <w:p w14:paraId="1BFFA274">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绑带式超声波治疗装置</w:t>
            </w:r>
          </w:p>
        </w:tc>
        <w:tc>
          <w:tcPr>
            <w:tcW w:w="709" w:type="dxa"/>
          </w:tcPr>
          <w:p w14:paraId="6FDF5FEB">
            <w:pPr>
              <w:pStyle w:val="4"/>
              <w:snapToGrid w:val="0"/>
              <w:spacing w:line="240" w:lineRule="auto"/>
              <w:ind w:firstLine="0" w:firstLineChars="0"/>
              <w:jc w:val="left"/>
              <w:rPr>
                <w:rFonts w:hint="eastAsia" w:ascii="方正仿宋_GBK" w:hAnsi="方正仿宋_GBK" w:eastAsia="方正仿宋_GBK" w:cs="方正仿宋_GBK"/>
                <w:b/>
                <w:bCs/>
                <w:kern w:val="2"/>
                <w:sz w:val="21"/>
                <w:szCs w:val="21"/>
              </w:rPr>
            </w:pPr>
            <w:bookmarkStart w:id="1" w:name="OLE_LINK6"/>
            <w:r>
              <w:rPr>
                <w:rFonts w:hint="eastAsia" w:ascii="方正仿宋_GBK" w:hAnsi="方正仿宋_GBK" w:eastAsia="方正仿宋_GBK" w:cs="方正仿宋_GBK"/>
                <w:b/>
                <w:bCs/>
                <w:kern w:val="2"/>
                <w:sz w:val="21"/>
                <w:szCs w:val="21"/>
              </w:rPr>
              <w:t>中国</w:t>
            </w:r>
            <w:bookmarkEnd w:id="1"/>
          </w:p>
        </w:tc>
        <w:tc>
          <w:tcPr>
            <w:tcW w:w="1134" w:type="dxa"/>
          </w:tcPr>
          <w:p w14:paraId="4EFF3D26">
            <w:pPr>
              <w:pStyle w:val="4"/>
              <w:snapToGrid w:val="0"/>
              <w:spacing w:line="240" w:lineRule="auto"/>
              <w:ind w:firstLine="0" w:firstLineChars="0"/>
              <w:jc w:val="left"/>
              <w:rPr>
                <w:rFonts w:hint="eastAsia" w:ascii="方正仿宋_GBK" w:hAnsi="方正仿宋_GBK" w:eastAsia="方正仿宋_GBK" w:cs="方正仿宋_GBK"/>
                <w:b/>
                <w:bCs/>
                <w:kern w:val="2"/>
                <w:sz w:val="21"/>
                <w:szCs w:val="21"/>
              </w:rPr>
            </w:pPr>
            <w:r>
              <w:rPr>
                <w:rFonts w:ascii="方正仿宋_GBK" w:hAnsi="方正仿宋_GBK" w:eastAsia="方正仿宋_GBK" w:cs="方正仿宋_GBK"/>
                <w:b/>
                <w:bCs/>
                <w:kern w:val="2"/>
                <w:sz w:val="21"/>
                <w:szCs w:val="21"/>
              </w:rPr>
              <w:t>ZL200910226281.1</w:t>
            </w:r>
          </w:p>
        </w:tc>
        <w:tc>
          <w:tcPr>
            <w:tcW w:w="851" w:type="dxa"/>
          </w:tcPr>
          <w:p w14:paraId="2B4E2CF6">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2015-04-22</w:t>
            </w:r>
          </w:p>
        </w:tc>
        <w:tc>
          <w:tcPr>
            <w:tcW w:w="708" w:type="dxa"/>
          </w:tcPr>
          <w:p w14:paraId="5634B53E">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1644488</w:t>
            </w:r>
          </w:p>
        </w:tc>
        <w:tc>
          <w:tcPr>
            <w:tcW w:w="1134" w:type="dxa"/>
          </w:tcPr>
          <w:p w14:paraId="5A497B07">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bookmarkStart w:id="2" w:name="OLE_LINK7"/>
            <w:r>
              <w:rPr>
                <w:rFonts w:hint="eastAsia" w:ascii="方正仿宋_GBK" w:hAnsi="方正仿宋_GBK" w:eastAsia="方正仿宋_GBK" w:cs="方正仿宋_GBK"/>
                <w:b/>
                <w:bCs/>
                <w:color w:val="000000"/>
                <w:kern w:val="2"/>
                <w:sz w:val="21"/>
                <w:szCs w:val="21"/>
              </w:rPr>
              <w:t>重庆融海超声医学工程研究中心有限公司</w:t>
            </w:r>
            <w:bookmarkEnd w:id="2"/>
          </w:p>
        </w:tc>
        <w:tc>
          <w:tcPr>
            <w:tcW w:w="1701" w:type="dxa"/>
          </w:tcPr>
          <w:p w14:paraId="39FE0C9A">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王智彪;谭智彬:陈文直;曾德平;陈生平:李东;黄光华；杨黎;周仕</w:t>
            </w:r>
          </w:p>
        </w:tc>
        <w:tc>
          <w:tcPr>
            <w:tcW w:w="734" w:type="dxa"/>
          </w:tcPr>
          <w:p w14:paraId="70435E62">
            <w:pPr>
              <w:widowControl/>
              <w:snapToGrid w:val="0"/>
              <w:spacing w:line="240" w:lineRule="auto"/>
              <w:ind w:firstLine="0" w:firstLineChars="0"/>
              <w:jc w:val="left"/>
              <w:rPr>
                <w:rFonts w:hint="eastAsia" w:ascii="方正仿宋_GBK" w:hAnsi="方正仿宋_GBK" w:eastAsia="方正仿宋_GBK" w:cs="方正仿宋_GBK"/>
                <w:b/>
                <w:bCs/>
                <w:color w:val="000000"/>
                <w:sz w:val="21"/>
                <w:szCs w:val="21"/>
              </w:rPr>
            </w:pPr>
            <w:bookmarkStart w:id="3" w:name="OLE_LINK8"/>
            <w:r>
              <w:rPr>
                <w:rFonts w:hint="eastAsia" w:ascii="方正仿宋_GBK" w:hAnsi="方正仿宋_GBK" w:eastAsia="方正仿宋_GBK" w:cs="方正仿宋_GBK"/>
                <w:b/>
                <w:bCs/>
                <w:color w:val="000000"/>
                <w:sz w:val="21"/>
                <w:szCs w:val="21"/>
              </w:rPr>
              <w:t>有效</w:t>
            </w:r>
            <w:bookmarkEnd w:id="3"/>
          </w:p>
        </w:tc>
      </w:tr>
      <w:tr w14:paraId="57D8C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4EA2E1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170" w:type="dxa"/>
          </w:tcPr>
          <w:p w14:paraId="667850A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一种超声换能器</w:t>
            </w:r>
          </w:p>
        </w:tc>
        <w:tc>
          <w:tcPr>
            <w:tcW w:w="709" w:type="dxa"/>
          </w:tcPr>
          <w:p w14:paraId="13B62357">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1134" w:type="dxa"/>
          </w:tcPr>
          <w:p w14:paraId="334150A5">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ZL201010299244.6</w:t>
            </w:r>
          </w:p>
        </w:tc>
        <w:tc>
          <w:tcPr>
            <w:tcW w:w="851" w:type="dxa"/>
          </w:tcPr>
          <w:p w14:paraId="1F36663F">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2014-07-02</w:t>
            </w:r>
          </w:p>
        </w:tc>
        <w:tc>
          <w:tcPr>
            <w:tcW w:w="708" w:type="dxa"/>
          </w:tcPr>
          <w:p w14:paraId="669FE2B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1433581</w:t>
            </w:r>
          </w:p>
        </w:tc>
        <w:tc>
          <w:tcPr>
            <w:tcW w:w="1134" w:type="dxa"/>
          </w:tcPr>
          <w:p w14:paraId="34FA1574">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重庆融海超声医学工程研究中心有限公司</w:t>
            </w:r>
          </w:p>
        </w:tc>
        <w:tc>
          <w:tcPr>
            <w:tcW w:w="1701" w:type="dxa"/>
          </w:tcPr>
          <w:p w14:paraId="44A2490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王华;曾德平:王智彪;黄光华;谭智彬</w:t>
            </w:r>
          </w:p>
        </w:tc>
        <w:tc>
          <w:tcPr>
            <w:tcW w:w="734" w:type="dxa"/>
          </w:tcPr>
          <w:p w14:paraId="0D18E88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r w14:paraId="083A3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674516B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计算机软件著作权</w:t>
            </w:r>
          </w:p>
        </w:tc>
        <w:tc>
          <w:tcPr>
            <w:tcW w:w="1170" w:type="dxa"/>
          </w:tcPr>
          <w:p w14:paraId="64469B5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lang w:eastAsia="zh-Hans"/>
              </w:rPr>
            </w:pPr>
            <w:r>
              <w:rPr>
                <w:rFonts w:hint="eastAsia" w:ascii="方正仿宋_GBK" w:hAnsi="方正仿宋_GBK" w:eastAsia="方正仿宋_GBK" w:cs="方正仿宋_GBK"/>
                <w:b/>
                <w:bCs/>
                <w:color w:val="000000"/>
                <w:kern w:val="2"/>
                <w:sz w:val="21"/>
                <w:szCs w:val="21"/>
                <w:lang w:eastAsia="zh-Hans"/>
              </w:rPr>
              <w:t>智能康复辅具设计中心软件V1.0</w:t>
            </w:r>
          </w:p>
        </w:tc>
        <w:tc>
          <w:tcPr>
            <w:tcW w:w="709" w:type="dxa"/>
          </w:tcPr>
          <w:p w14:paraId="52B4C37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1134" w:type="dxa"/>
          </w:tcPr>
          <w:p w14:paraId="7107971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2022SR06049</w:t>
            </w:r>
          </w:p>
          <w:p w14:paraId="5648BCE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75</w:t>
            </w:r>
          </w:p>
        </w:tc>
        <w:tc>
          <w:tcPr>
            <w:tcW w:w="851" w:type="dxa"/>
          </w:tcPr>
          <w:p w14:paraId="34ECA59E">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ascii="方正仿宋_GBK" w:hAnsi="方正仿宋_GBK" w:eastAsia="方正仿宋_GBK" w:cs="方正仿宋_GBK"/>
                <w:b/>
                <w:bCs/>
                <w:color w:val="000000"/>
                <w:kern w:val="2"/>
                <w:sz w:val="21"/>
                <w:szCs w:val="21"/>
              </w:rPr>
              <w:t>2022-03-01</w:t>
            </w:r>
          </w:p>
        </w:tc>
        <w:tc>
          <w:tcPr>
            <w:tcW w:w="708" w:type="dxa"/>
          </w:tcPr>
          <w:p w14:paraId="04461DC1">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lang w:eastAsia="zh-Hans"/>
              </w:rPr>
            </w:pPr>
            <w:r>
              <w:rPr>
                <w:rFonts w:ascii="方正仿宋_GBK" w:hAnsi="方正仿宋_GBK" w:eastAsia="方正仿宋_GBK" w:cs="方正仿宋_GBK"/>
                <w:b/>
                <w:bCs/>
                <w:color w:val="000000"/>
                <w:kern w:val="2"/>
                <w:sz w:val="21"/>
                <w:szCs w:val="21"/>
                <w:lang w:eastAsia="zh-Hans"/>
              </w:rPr>
              <w:t>10738128</w:t>
            </w:r>
          </w:p>
        </w:tc>
        <w:tc>
          <w:tcPr>
            <w:tcW w:w="1134" w:type="dxa"/>
          </w:tcPr>
          <w:p w14:paraId="3F805B43">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lang w:eastAsia="zh-Hans"/>
              </w:rPr>
            </w:pPr>
            <w:r>
              <w:rPr>
                <w:rFonts w:hint="eastAsia" w:ascii="方正仿宋_GBK" w:hAnsi="方正仿宋_GBK" w:eastAsia="方正仿宋_GBK" w:cs="方正仿宋_GBK"/>
                <w:b/>
                <w:bCs/>
                <w:color w:val="000000"/>
                <w:kern w:val="2"/>
                <w:sz w:val="21"/>
                <w:szCs w:val="21"/>
              </w:rPr>
              <w:t>韩晓宇;白定群；张斯妍；牛雅娟；陈一溶；姜奕康</w:t>
            </w:r>
          </w:p>
        </w:tc>
        <w:tc>
          <w:tcPr>
            <w:tcW w:w="1701" w:type="dxa"/>
          </w:tcPr>
          <w:p w14:paraId="26F2755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韩晓宇;白定</w:t>
            </w:r>
          </w:p>
          <w:p w14:paraId="55E2E40D">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群；张斯妍</w:t>
            </w:r>
          </w:p>
          <w:p w14:paraId="52A2F490">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；牛雅娟</w:t>
            </w:r>
          </w:p>
          <w:p w14:paraId="0A0919F7">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；陈一溶</w:t>
            </w:r>
          </w:p>
          <w:p w14:paraId="00F257B1">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；姜奕康</w:t>
            </w:r>
          </w:p>
        </w:tc>
        <w:tc>
          <w:tcPr>
            <w:tcW w:w="734" w:type="dxa"/>
          </w:tcPr>
          <w:p w14:paraId="6677E0DA">
            <w:pPr>
              <w:pStyle w:val="4"/>
              <w:snapToGrid w:val="0"/>
              <w:spacing w:line="240" w:lineRule="auto"/>
              <w:ind w:firstLine="0" w:firstLineChars="0"/>
              <w:jc w:val="left"/>
              <w:rPr>
                <w:rFonts w:hint="eastAsia"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sz w:val="21"/>
                <w:szCs w:val="21"/>
              </w:rPr>
              <w:t>有效</w:t>
            </w:r>
          </w:p>
        </w:tc>
      </w:tr>
    </w:tbl>
    <w:p w14:paraId="60E34EDE">
      <w:pPr>
        <w:spacing w:line="540" w:lineRule="exact"/>
        <w:rPr>
          <w:rFonts w:hint="eastAsia" w:ascii="宋体" w:hAnsi="宋体" w:eastAsia="宋体"/>
          <w:color w:val="000000"/>
          <w:sz w:val="28"/>
          <w:szCs w:val="32"/>
          <w:lang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31973DA"/>
    <w:rsid w:val="099074D1"/>
    <w:rsid w:val="0AE26C87"/>
    <w:rsid w:val="0F96368D"/>
    <w:rsid w:val="11DB01A5"/>
    <w:rsid w:val="18DC0D8B"/>
    <w:rsid w:val="190F0CF7"/>
    <w:rsid w:val="19A67BFA"/>
    <w:rsid w:val="1A672764"/>
    <w:rsid w:val="1EAA53DA"/>
    <w:rsid w:val="21F27DFA"/>
    <w:rsid w:val="2C482942"/>
    <w:rsid w:val="311F13A6"/>
    <w:rsid w:val="38464CE3"/>
    <w:rsid w:val="398F29D5"/>
    <w:rsid w:val="3FBC0569"/>
    <w:rsid w:val="49D84A24"/>
    <w:rsid w:val="4B7E16EB"/>
    <w:rsid w:val="51183703"/>
    <w:rsid w:val="51986EB2"/>
    <w:rsid w:val="534053B7"/>
    <w:rsid w:val="553B0E40"/>
    <w:rsid w:val="597B6C86"/>
    <w:rsid w:val="5B4D0671"/>
    <w:rsid w:val="5B690CF8"/>
    <w:rsid w:val="5F614678"/>
    <w:rsid w:val="64C53EC6"/>
    <w:rsid w:val="688113BA"/>
    <w:rsid w:val="6A6652AB"/>
    <w:rsid w:val="6B5D7B5C"/>
    <w:rsid w:val="6B973B60"/>
    <w:rsid w:val="6D1E1AA6"/>
    <w:rsid w:val="6D233CCC"/>
    <w:rsid w:val="75B84160"/>
    <w:rsid w:val="790857BE"/>
    <w:rsid w:val="7D0C6791"/>
    <w:rsid w:val="7E9939E2"/>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firstLine="0" w:firstLineChars="0"/>
      <w:textAlignment w:val="baseline"/>
    </w:pPr>
    <w:rPr>
      <w:rFonts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3"/>
    <w:semiHidden/>
    <w:unhideWhenUsed/>
    <w:qFormat/>
    <w:uiPriority w:val="99"/>
    <w:rPr>
      <w:sz w:val="18"/>
      <w:szCs w:val="18"/>
    </w:rPr>
  </w:style>
  <w:style w:type="paragraph" w:styleId="6">
    <w:name w:val="footer"/>
    <w:basedOn w:val="1"/>
    <w:next w:val="7"/>
    <w:link w:val="15"/>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0">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3">
    <w:name w:val="批注框文本 Char"/>
    <w:basedOn w:val="12"/>
    <w:link w:val="5"/>
    <w:semiHidden/>
    <w:qFormat/>
    <w:uiPriority w:val="99"/>
    <w:rPr>
      <w:sz w:val="18"/>
      <w:szCs w:val="18"/>
    </w:rPr>
  </w:style>
  <w:style w:type="character" w:customStyle="1" w:styleId="14">
    <w:name w:val="页眉 Char"/>
    <w:basedOn w:val="12"/>
    <w:link w:val="8"/>
    <w:qFormat/>
    <w:uiPriority w:val="99"/>
    <w:rPr>
      <w:sz w:val="18"/>
      <w:szCs w:val="18"/>
    </w:rPr>
  </w:style>
  <w:style w:type="character" w:customStyle="1" w:styleId="15">
    <w:name w:val="页脚 Char"/>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2025-02-25T07:25:52Z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5A35B48BD57142BAA510DFD5493DC6E2_13</vt:lpwstr>
  </property>
  <property fmtid="{D5CDD505-2E9C-101B-9397-08002B2CF9AE}" pid="4" name="KSOTemplateDocerSaveRecord">
    <vt:lpwstr>eyJoZGlkIjoiNDU4YjAxNDRlZDY0ZDJmNDE2ZGJhMDFhMTM3NmQwNDMifQ==</vt:lpwstr>
  </property>
</Properties>
</file>