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ACEE8C">
      <w:pPr>
        <w:jc w:val="center"/>
        <w:rPr>
          <w:rFonts w:ascii="黑体" w:hAnsi="黑体" w:eastAsia="黑体"/>
          <w:b/>
          <w:color w:val="000000"/>
          <w:sz w:val="44"/>
          <w:szCs w:val="48"/>
        </w:rPr>
      </w:pPr>
      <w:r>
        <w:rPr>
          <w:rFonts w:hint="eastAsia" w:ascii="黑体" w:hAnsi="黑体" w:eastAsia="黑体"/>
          <w:b/>
          <w:color w:val="000000"/>
          <w:sz w:val="44"/>
          <w:szCs w:val="48"/>
        </w:rPr>
        <w:t>重庆市科技进步奖公示</w:t>
      </w:r>
    </w:p>
    <w:p w14:paraId="35AB5DCA">
      <w:pPr>
        <w:keepNext w:val="0"/>
        <w:keepLines w:val="0"/>
        <w:widowControl/>
        <w:suppressLineNumbers w:val="0"/>
        <w:jc w:val="left"/>
      </w:pPr>
    </w:p>
    <w:p w14:paraId="40EC228A">
      <w:pPr>
        <w:numPr>
          <w:ilvl w:val="0"/>
          <w:numId w:val="1"/>
        </w:numPr>
        <w:spacing w:line="540" w:lineRule="exact"/>
        <w:rPr>
          <w:rFonts w:hint="default" w:ascii="宋体" w:hAnsi="宋体" w:eastAsia="宋体"/>
          <w:color w:val="000000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b/>
          <w:color w:val="000000"/>
          <w:spacing w:val="-4"/>
          <w:sz w:val="28"/>
          <w:szCs w:val="32"/>
        </w:rPr>
        <w:t>项目名称</w:t>
      </w:r>
      <w:r>
        <w:rPr>
          <w:rFonts w:hint="eastAsia" w:ascii="宋体" w:hAnsi="宋体" w:eastAsia="宋体"/>
          <w:color w:val="000000"/>
          <w:spacing w:val="-4"/>
          <w:sz w:val="28"/>
          <w:szCs w:val="32"/>
        </w:rPr>
        <w:t>：</w:t>
      </w:r>
      <w:r>
        <w:rPr>
          <w:rFonts w:hint="eastAsia" w:ascii="宋体" w:hAnsi="宋体" w:eastAsia="宋体"/>
          <w:color w:val="000000"/>
          <w:sz w:val="28"/>
          <w:szCs w:val="32"/>
          <w:lang w:val="en-US" w:eastAsia="zh-CN"/>
        </w:rPr>
        <w:t>基于发育期癫痫病因学的临床精准诊疗</w:t>
      </w:r>
    </w:p>
    <w:p w14:paraId="19B968E7">
      <w:pPr>
        <w:spacing w:line="540" w:lineRule="exact"/>
        <w:rPr>
          <w:rFonts w:hint="eastAsia" w:ascii="宋体" w:hAnsi="宋体" w:eastAsia="宋体"/>
          <w:color w:val="000000"/>
          <w:sz w:val="28"/>
          <w:szCs w:val="32"/>
          <w:lang w:eastAsia="zh-CN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二、提名单位：</w:t>
      </w:r>
      <w:r>
        <w:rPr>
          <w:rFonts w:hint="eastAsia" w:ascii="宋体" w:hAnsi="宋体" w:eastAsia="宋体"/>
          <w:color w:val="000000"/>
          <w:sz w:val="28"/>
          <w:szCs w:val="32"/>
        </w:rPr>
        <w:t>重庆市</w:t>
      </w:r>
      <w:r>
        <w:rPr>
          <w:rFonts w:hint="eastAsia" w:ascii="宋体" w:hAnsi="宋体" w:eastAsia="宋体"/>
          <w:color w:val="000000"/>
          <w:sz w:val="28"/>
          <w:szCs w:val="32"/>
          <w:lang w:val="en-US" w:eastAsia="zh-CN"/>
        </w:rPr>
        <w:t>渝中</w:t>
      </w:r>
      <w:r>
        <w:rPr>
          <w:rFonts w:hint="eastAsia" w:ascii="宋体" w:hAnsi="宋体" w:eastAsia="宋体"/>
          <w:color w:val="000000"/>
          <w:sz w:val="28"/>
          <w:szCs w:val="32"/>
        </w:rPr>
        <w:t>区</w:t>
      </w:r>
      <w:r>
        <w:rPr>
          <w:rFonts w:hint="eastAsia" w:ascii="宋体" w:hAnsi="宋体" w:eastAsia="宋体"/>
          <w:color w:val="000000"/>
          <w:sz w:val="28"/>
          <w:szCs w:val="32"/>
          <w:lang w:eastAsia="zh-CN"/>
        </w:rPr>
        <w:t>人民政府</w:t>
      </w:r>
    </w:p>
    <w:p w14:paraId="2D8214AE">
      <w:pPr>
        <w:spacing w:line="540" w:lineRule="exact"/>
        <w:rPr>
          <w:rFonts w:ascii="宋体" w:hAnsi="宋体" w:eastAsia="宋体"/>
          <w:color w:val="000000"/>
          <w:sz w:val="28"/>
          <w:szCs w:val="32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三、提名等级：</w:t>
      </w:r>
      <w:r>
        <w:rPr>
          <w:rFonts w:hint="eastAsia" w:ascii="宋体" w:hAnsi="宋体" w:eastAsia="宋体"/>
          <w:color w:val="000000"/>
          <w:sz w:val="28"/>
          <w:szCs w:val="32"/>
        </w:rPr>
        <w:t xml:space="preserve">重庆市科技进步奖 </w:t>
      </w:r>
      <w:r>
        <w:rPr>
          <w:rFonts w:hint="eastAsia" w:ascii="宋体" w:hAnsi="宋体" w:eastAsia="宋体"/>
          <w:color w:val="000000"/>
          <w:sz w:val="28"/>
          <w:szCs w:val="32"/>
          <w:lang w:eastAsia="zh-CN"/>
        </w:rPr>
        <w:t>二</w:t>
      </w:r>
      <w:r>
        <w:rPr>
          <w:rFonts w:hint="eastAsia" w:ascii="宋体" w:hAnsi="宋体" w:eastAsia="宋体"/>
          <w:color w:val="000000"/>
          <w:sz w:val="28"/>
          <w:szCs w:val="32"/>
        </w:rPr>
        <w:t>等奖</w:t>
      </w:r>
    </w:p>
    <w:p w14:paraId="607D16FE">
      <w:pPr>
        <w:spacing w:line="540" w:lineRule="exact"/>
        <w:rPr>
          <w:rFonts w:hint="eastAsia" w:ascii="宋体" w:hAnsi="宋体" w:eastAsia="宋体"/>
          <w:b w:val="0"/>
          <w:bCs/>
          <w:color w:val="000000"/>
          <w:sz w:val="28"/>
          <w:szCs w:val="32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四、主要完成单位：</w:t>
      </w:r>
      <w:r>
        <w:rPr>
          <w:rFonts w:hint="eastAsia" w:ascii="宋体" w:hAnsi="宋体" w:eastAsia="宋体"/>
          <w:b w:val="0"/>
          <w:bCs/>
          <w:color w:val="000000"/>
          <w:sz w:val="28"/>
          <w:szCs w:val="32"/>
        </w:rPr>
        <w:t>重庆医科大学</w:t>
      </w:r>
    </w:p>
    <w:p w14:paraId="789C6423">
      <w:pPr>
        <w:spacing w:line="540" w:lineRule="exact"/>
        <w:rPr>
          <w:rFonts w:hint="eastAsia" w:ascii="宋体" w:hAnsi="宋体" w:eastAsia="宋体"/>
          <w:b w:val="0"/>
          <w:bCs/>
          <w:color w:val="000000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五、主要完成人：</w:t>
      </w:r>
      <w:r>
        <w:rPr>
          <w:rFonts w:hint="eastAsia" w:ascii="宋体" w:hAnsi="宋体" w:eastAsia="宋体"/>
          <w:b w:val="0"/>
          <w:bCs/>
          <w:color w:val="000000"/>
          <w:sz w:val="28"/>
          <w:szCs w:val="32"/>
        </w:rPr>
        <w:t>蒋莉、胡越、翟瑄、洪思琦、陈锦、宋晓洁、谢玲玲、吴鹏、郭艺 、韩慰</w:t>
      </w:r>
    </w:p>
    <w:p w14:paraId="73C426A9">
      <w:pPr>
        <w:spacing w:line="460" w:lineRule="exact"/>
        <w:rPr>
          <w:rFonts w:ascii="宋体" w:hAnsi="宋体" w:eastAsia="宋体"/>
          <w:sz w:val="28"/>
          <w:szCs w:val="32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六、项目简介：</w:t>
      </w:r>
      <w:r>
        <w:rPr>
          <w:rFonts w:ascii="宋体" w:hAnsi="宋体" w:eastAsia="宋体"/>
          <w:sz w:val="28"/>
          <w:szCs w:val="32"/>
        </w:rPr>
        <w:t xml:space="preserve"> </w:t>
      </w:r>
    </w:p>
    <w:p w14:paraId="139B6D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癫痫的临床表现及病因学皆有高度异质性，病因学研究为癫痫精准治疗奠定基础。儿童脑发育不成熟，癫痫患病率高，反复惊厥发作导致脑损伤，成为癫痫发生的结构性病因；除脑损伤致痫外，遗传性病因也系儿童癫痫的重要原因。为此，探究发育期癫痫病因及致痫机制、寻找预测脑损伤和癫痫发生的因素、进行针对性干预，对合理防治儿童癫痫重大意义。</w:t>
      </w:r>
    </w:p>
    <w:p w14:paraId="02CB4F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本项目在26项科研基金（国家自然科学基金12项）资助下，历时20年，围绕发育期惊厥性脑损伤、遗传等癫痫病因，探索改善惊厥后脑结构与功能损伤的机制，进而提出儿童癫痫精准治疗策略。获得成果：1、惊厥持续状态导致发育期脑损伤，为儿童癫痫结构性病因之一；2、建立完备的癫痫临床及生物数据库，形成 SCN1A 、KCNQ2、PRRT2等8个遗传性癫痫队列，提出相应基因型-表型特征，指导临床早期诊断。3、筛选出癫痫发作和难治性癫痫相关生物标志物（包括发作期脑电图高频振荡定量监测、外周血 NSE、热休克蛋白、miR-146a-5p、miR-23a-3p、P-gp 等），指导临床规范化监测惊厥后脑损伤；4、提出减少惊厥性脑损伤，干预癫痫形成的有效途径。包括调控脑内 CREB/BDNF 表达，启动神经元内在保护性机制；调控AMIGO3 表达、Rho/ROCK信号、Lingo-1表达、ADK/腺苷系统，抑制其它细胞异常活化，维持脑内稳态维环境；5、实施遗传性癫痫精准治疗，包括基于机制的靶向替代、矫正离子通道功能异常、矫正突触功能异常、基于变异致病机制的“老药新用”治疗。6、发现针对性阻断GJ可能系抗癫痫发作药物作用的新靶点。发表相关论文93篇，其中SCI 52篇，被引用959次。</w:t>
      </w:r>
    </w:p>
    <w:p w14:paraId="5323EF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研究成果推进建立完善的癫痫诊断体系及精准治疗，提升癫痫脑损伤及共病的早期诊治。使本中心20余万例癫痫患儿治疗有效率达70-80%；获中国抗癫痫协会三级综合癫痫中心，脑电图培训基地。连续5年进入STEM排名全国神经专业100强，全国小儿神经病学第二或第三名。不断推广应用研究成果 ,包括参与制定5项国内儿童癫痫诊治规范/共识；举办国家级/市级继教项目、接受进修和交流访学；基层定点帮扶；实施市卫生适宜技术推广项目“儿童惊厥的急诊处置和病因识别技术”、“儿童癫痫规范化诊断与治疗”；国内外学术会议交流等，推进实现小儿惊厥及癫痫规范化分级管理，取得良好社会和经济效益。</w:t>
      </w:r>
    </w:p>
    <w:p w14:paraId="7D1C1352">
      <w:pPr>
        <w:numPr>
          <w:ilvl w:val="0"/>
          <w:numId w:val="0"/>
        </w:numPr>
        <w:spacing w:line="540" w:lineRule="exact"/>
      </w:pPr>
      <w:r>
        <w:rPr>
          <w:rFonts w:hint="eastAsia" w:ascii="宋体" w:hAnsi="宋体" w:eastAsia="宋体"/>
          <w:b/>
          <w:color w:val="000000"/>
          <w:sz w:val="28"/>
          <w:szCs w:val="32"/>
          <w:lang w:val="en-US" w:eastAsia="zh-CN"/>
        </w:rPr>
        <w:t>七、</w:t>
      </w:r>
      <w:r>
        <w:rPr>
          <w:rFonts w:hint="eastAsia" w:ascii="宋体" w:hAnsi="宋体" w:eastAsia="宋体"/>
          <w:b/>
          <w:color w:val="000000"/>
          <w:sz w:val="28"/>
          <w:szCs w:val="32"/>
        </w:rPr>
        <w:t>主要知识产权和标准规范等目录：</w:t>
      </w:r>
    </w:p>
    <w:tbl>
      <w:tblPr>
        <w:tblStyle w:val="10"/>
        <w:tblW w:w="922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8"/>
        <w:gridCol w:w="1260"/>
        <w:gridCol w:w="1022"/>
        <w:gridCol w:w="849"/>
        <w:gridCol w:w="992"/>
        <w:gridCol w:w="1134"/>
        <w:gridCol w:w="850"/>
        <w:gridCol w:w="851"/>
        <w:gridCol w:w="1183"/>
      </w:tblGrid>
      <w:tr w14:paraId="63F2D98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88" w:type="dxa"/>
            <w:vAlign w:val="center"/>
          </w:tcPr>
          <w:p w14:paraId="0A23A366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知识产权（标准）类别</w:t>
            </w:r>
          </w:p>
        </w:tc>
        <w:tc>
          <w:tcPr>
            <w:tcW w:w="1260" w:type="dxa"/>
            <w:vAlign w:val="center"/>
          </w:tcPr>
          <w:p w14:paraId="22084F7A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知识产权（标准）</w:t>
            </w:r>
          </w:p>
          <w:p w14:paraId="4A52BAAE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具体名称</w:t>
            </w:r>
          </w:p>
        </w:tc>
        <w:tc>
          <w:tcPr>
            <w:tcW w:w="1022" w:type="dxa"/>
            <w:vAlign w:val="center"/>
          </w:tcPr>
          <w:p w14:paraId="762C6E1E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国家</w:t>
            </w:r>
          </w:p>
          <w:p w14:paraId="638171CC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（地区）</w:t>
            </w:r>
          </w:p>
        </w:tc>
        <w:tc>
          <w:tcPr>
            <w:tcW w:w="849" w:type="dxa"/>
            <w:vAlign w:val="center"/>
          </w:tcPr>
          <w:p w14:paraId="06EB8C6B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授权号（标准编号）</w:t>
            </w:r>
          </w:p>
        </w:tc>
        <w:tc>
          <w:tcPr>
            <w:tcW w:w="992" w:type="dxa"/>
            <w:vAlign w:val="center"/>
          </w:tcPr>
          <w:p w14:paraId="52EAB7E1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授权（标准发布）日期</w:t>
            </w:r>
          </w:p>
        </w:tc>
        <w:tc>
          <w:tcPr>
            <w:tcW w:w="1134" w:type="dxa"/>
            <w:vAlign w:val="center"/>
          </w:tcPr>
          <w:p w14:paraId="01635E27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证书编号</w:t>
            </w: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br w:type="textWrapping"/>
            </w: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（标准批准发布部门）</w:t>
            </w:r>
          </w:p>
        </w:tc>
        <w:tc>
          <w:tcPr>
            <w:tcW w:w="850" w:type="dxa"/>
            <w:vAlign w:val="center"/>
          </w:tcPr>
          <w:p w14:paraId="08FC65AA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权利人（标准起草单位）</w:t>
            </w:r>
          </w:p>
        </w:tc>
        <w:tc>
          <w:tcPr>
            <w:tcW w:w="851" w:type="dxa"/>
            <w:vAlign w:val="center"/>
          </w:tcPr>
          <w:p w14:paraId="27016CDE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发明人（标准起草人）</w:t>
            </w:r>
          </w:p>
        </w:tc>
        <w:tc>
          <w:tcPr>
            <w:tcW w:w="1183" w:type="dxa"/>
            <w:vAlign w:val="center"/>
          </w:tcPr>
          <w:p w14:paraId="1B215149">
            <w:pPr>
              <w:pStyle w:val="3"/>
              <w:spacing w:line="280" w:lineRule="exact"/>
              <w:ind w:firstLine="0" w:firstLineChars="0"/>
              <w:jc w:val="center"/>
              <w:rPr>
                <w:rFonts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发明专利（标准）有效状态</w:t>
            </w:r>
          </w:p>
        </w:tc>
      </w:tr>
      <w:tr w14:paraId="1813A7E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8" w:type="dxa"/>
          </w:tcPr>
          <w:p w14:paraId="46C3556C">
            <w:pPr>
              <w:pStyle w:val="3"/>
              <w:snapToGrid w:val="0"/>
              <w:spacing w:line="240" w:lineRule="auto"/>
              <w:ind w:firstLine="0" w:firstLineChars="0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kern w:val="2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2"/>
                <w:sz w:val="21"/>
                <w:szCs w:val="21"/>
              </w:rPr>
              <w:t>无</w:t>
            </w:r>
          </w:p>
        </w:tc>
        <w:tc>
          <w:tcPr>
            <w:tcW w:w="1260" w:type="dxa"/>
          </w:tcPr>
          <w:p w14:paraId="580CF25E">
            <w:pPr>
              <w:pStyle w:val="3"/>
              <w:snapToGrid w:val="0"/>
              <w:spacing w:line="240" w:lineRule="auto"/>
              <w:ind w:firstLine="0" w:firstLineChars="0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22" w:type="dxa"/>
          </w:tcPr>
          <w:p w14:paraId="40D828A2">
            <w:pPr>
              <w:pStyle w:val="3"/>
              <w:snapToGrid w:val="0"/>
              <w:spacing w:line="240" w:lineRule="auto"/>
              <w:ind w:firstLine="0" w:firstLineChars="0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849" w:type="dxa"/>
          </w:tcPr>
          <w:p w14:paraId="6324186B">
            <w:pPr>
              <w:pStyle w:val="3"/>
              <w:snapToGrid w:val="0"/>
              <w:spacing w:line="240" w:lineRule="auto"/>
              <w:ind w:firstLine="0" w:firstLineChars="0"/>
              <w:jc w:val="left"/>
              <w:rPr>
                <w:rFonts w:ascii="方正仿宋_GBK" w:hAnsi="方正仿宋_GBK" w:eastAsia="方正仿宋_GBK" w:cs="方正仿宋_GBK"/>
                <w:b/>
                <w:bCs/>
                <w:color w:val="FF0000"/>
                <w:kern w:val="2"/>
                <w:sz w:val="21"/>
                <w:szCs w:val="21"/>
              </w:rPr>
            </w:pPr>
          </w:p>
        </w:tc>
        <w:tc>
          <w:tcPr>
            <w:tcW w:w="992" w:type="dxa"/>
          </w:tcPr>
          <w:p w14:paraId="45431A09">
            <w:pPr>
              <w:widowControl/>
              <w:snapToGrid w:val="0"/>
              <w:spacing w:line="240" w:lineRule="auto"/>
              <w:ind w:firstLine="422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</w:tcPr>
          <w:p w14:paraId="1BA330D5">
            <w:pPr>
              <w:pStyle w:val="3"/>
              <w:snapToGrid w:val="0"/>
              <w:spacing w:line="240" w:lineRule="auto"/>
              <w:ind w:firstLine="0" w:firstLineChars="0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850" w:type="dxa"/>
          </w:tcPr>
          <w:p w14:paraId="7C557F3A">
            <w:pPr>
              <w:pStyle w:val="3"/>
              <w:snapToGrid w:val="0"/>
              <w:spacing w:line="240" w:lineRule="auto"/>
              <w:ind w:firstLine="0" w:firstLineChars="0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851" w:type="dxa"/>
          </w:tcPr>
          <w:p w14:paraId="33910420"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183" w:type="dxa"/>
          </w:tcPr>
          <w:p w14:paraId="302D46BE">
            <w:pPr>
              <w:widowControl/>
              <w:snapToGrid w:val="0"/>
              <w:spacing w:line="240" w:lineRule="auto"/>
              <w:ind w:firstLine="422"/>
              <w:jc w:val="left"/>
              <w:rPr>
                <w:rFonts w:ascii="方正仿宋_GBK" w:hAnsi="方正仿宋_GBK" w:eastAsia="方正仿宋_GBK" w:cs="方正仿宋_GBK"/>
                <w:b/>
                <w:bCs/>
                <w:color w:val="000000"/>
                <w:sz w:val="21"/>
                <w:szCs w:val="21"/>
              </w:rPr>
            </w:pPr>
          </w:p>
        </w:tc>
      </w:tr>
    </w:tbl>
    <w:p w14:paraId="51D6E263">
      <w:pPr>
        <w:spacing w:line="540" w:lineRule="exact"/>
        <w:rPr>
          <w:rFonts w:hint="eastAsia" w:ascii="宋体" w:hAnsi="宋体" w:eastAsia="宋体"/>
          <w:color w:val="000000"/>
          <w:sz w:val="28"/>
          <w:szCs w:val="32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modern"/>
    <w:pitch w:val="default"/>
    <w:sig w:usb0="00000000" w:usb1="00000000" w:usb2="00000000" w:usb3="00000000" w:csb0="00040000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DengXian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0C2801"/>
    <w:multiLevelType w:val="singleLevel"/>
    <w:tmpl w:val="920C280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iNDNhMWY5YWJiNjdjYjE3YWQ1NGU0ZTQyNGQ5NWEifQ=="/>
  </w:docVars>
  <w:rsids>
    <w:rsidRoot w:val="00D305CD"/>
    <w:rsid w:val="00000B9A"/>
    <w:rsid w:val="000125E9"/>
    <w:rsid w:val="00015AEB"/>
    <w:rsid w:val="00037096"/>
    <w:rsid w:val="000375C6"/>
    <w:rsid w:val="000556A4"/>
    <w:rsid w:val="000562E9"/>
    <w:rsid w:val="0007334C"/>
    <w:rsid w:val="000862AF"/>
    <w:rsid w:val="00087D6B"/>
    <w:rsid w:val="00095ED5"/>
    <w:rsid w:val="000971F2"/>
    <w:rsid w:val="000A0D91"/>
    <w:rsid w:val="000A11F4"/>
    <w:rsid w:val="000B3BFA"/>
    <w:rsid w:val="000C1B48"/>
    <w:rsid w:val="000C2F2E"/>
    <w:rsid w:val="000C3033"/>
    <w:rsid w:val="000C452F"/>
    <w:rsid w:val="000C727F"/>
    <w:rsid w:val="000D59D3"/>
    <w:rsid w:val="000E288E"/>
    <w:rsid w:val="000E4F67"/>
    <w:rsid w:val="0010057F"/>
    <w:rsid w:val="00106004"/>
    <w:rsid w:val="00112237"/>
    <w:rsid w:val="00114A7F"/>
    <w:rsid w:val="001164BF"/>
    <w:rsid w:val="00126EA2"/>
    <w:rsid w:val="00132146"/>
    <w:rsid w:val="00134277"/>
    <w:rsid w:val="00150C3C"/>
    <w:rsid w:val="00152BEF"/>
    <w:rsid w:val="00165C02"/>
    <w:rsid w:val="00181A2F"/>
    <w:rsid w:val="00186FB9"/>
    <w:rsid w:val="00187487"/>
    <w:rsid w:val="001A2F1F"/>
    <w:rsid w:val="001A3440"/>
    <w:rsid w:val="001A43BB"/>
    <w:rsid w:val="001B4FF4"/>
    <w:rsid w:val="001B5B3B"/>
    <w:rsid w:val="001D013E"/>
    <w:rsid w:val="001D7DA9"/>
    <w:rsid w:val="001F3554"/>
    <w:rsid w:val="001F3C8A"/>
    <w:rsid w:val="0020613B"/>
    <w:rsid w:val="00206A92"/>
    <w:rsid w:val="0021395D"/>
    <w:rsid w:val="00221E01"/>
    <w:rsid w:val="002408A0"/>
    <w:rsid w:val="002425C8"/>
    <w:rsid w:val="00242ECC"/>
    <w:rsid w:val="00244385"/>
    <w:rsid w:val="002541C9"/>
    <w:rsid w:val="002577C8"/>
    <w:rsid w:val="00261E51"/>
    <w:rsid w:val="002725EC"/>
    <w:rsid w:val="0027280F"/>
    <w:rsid w:val="00282AA6"/>
    <w:rsid w:val="00285B1A"/>
    <w:rsid w:val="00287EC2"/>
    <w:rsid w:val="00295C4C"/>
    <w:rsid w:val="002979F4"/>
    <w:rsid w:val="002A1280"/>
    <w:rsid w:val="002A6CC2"/>
    <w:rsid w:val="002B31E0"/>
    <w:rsid w:val="002B4488"/>
    <w:rsid w:val="002C448D"/>
    <w:rsid w:val="002F55A3"/>
    <w:rsid w:val="003019D9"/>
    <w:rsid w:val="00307274"/>
    <w:rsid w:val="003075FA"/>
    <w:rsid w:val="0032548E"/>
    <w:rsid w:val="003313B1"/>
    <w:rsid w:val="00334F11"/>
    <w:rsid w:val="003411D7"/>
    <w:rsid w:val="00341F9E"/>
    <w:rsid w:val="00362D44"/>
    <w:rsid w:val="00374A39"/>
    <w:rsid w:val="0038314C"/>
    <w:rsid w:val="003A1224"/>
    <w:rsid w:val="003B0E59"/>
    <w:rsid w:val="003C2442"/>
    <w:rsid w:val="003D4ED8"/>
    <w:rsid w:val="003F4BCF"/>
    <w:rsid w:val="003F7314"/>
    <w:rsid w:val="0040088C"/>
    <w:rsid w:val="00403C64"/>
    <w:rsid w:val="004102A3"/>
    <w:rsid w:val="0042566B"/>
    <w:rsid w:val="0042630D"/>
    <w:rsid w:val="00431F39"/>
    <w:rsid w:val="00433F6F"/>
    <w:rsid w:val="004375B3"/>
    <w:rsid w:val="004421D0"/>
    <w:rsid w:val="00446144"/>
    <w:rsid w:val="00446BF3"/>
    <w:rsid w:val="0045208C"/>
    <w:rsid w:val="00457708"/>
    <w:rsid w:val="0046766B"/>
    <w:rsid w:val="00476F87"/>
    <w:rsid w:val="00482992"/>
    <w:rsid w:val="004A25BA"/>
    <w:rsid w:val="004A2ACA"/>
    <w:rsid w:val="004A5EFC"/>
    <w:rsid w:val="004B165D"/>
    <w:rsid w:val="004C08D7"/>
    <w:rsid w:val="004C5F0D"/>
    <w:rsid w:val="004E3573"/>
    <w:rsid w:val="004F319D"/>
    <w:rsid w:val="004F76F2"/>
    <w:rsid w:val="005132D0"/>
    <w:rsid w:val="005202C6"/>
    <w:rsid w:val="00543F1D"/>
    <w:rsid w:val="0056646F"/>
    <w:rsid w:val="0059647C"/>
    <w:rsid w:val="005C2AA4"/>
    <w:rsid w:val="005F10F8"/>
    <w:rsid w:val="00605A40"/>
    <w:rsid w:val="00607572"/>
    <w:rsid w:val="006134B1"/>
    <w:rsid w:val="00657FEB"/>
    <w:rsid w:val="006872C9"/>
    <w:rsid w:val="006D4EAB"/>
    <w:rsid w:val="006E50B0"/>
    <w:rsid w:val="006E5BD7"/>
    <w:rsid w:val="006F31F6"/>
    <w:rsid w:val="00712C56"/>
    <w:rsid w:val="00721D63"/>
    <w:rsid w:val="00725E7E"/>
    <w:rsid w:val="007334A5"/>
    <w:rsid w:val="007444C1"/>
    <w:rsid w:val="007559F3"/>
    <w:rsid w:val="0078508D"/>
    <w:rsid w:val="0078577C"/>
    <w:rsid w:val="00794517"/>
    <w:rsid w:val="007A405B"/>
    <w:rsid w:val="007A54F7"/>
    <w:rsid w:val="007B29C0"/>
    <w:rsid w:val="007C4419"/>
    <w:rsid w:val="007E5F2F"/>
    <w:rsid w:val="007E7BA4"/>
    <w:rsid w:val="007F1AE4"/>
    <w:rsid w:val="007F764A"/>
    <w:rsid w:val="008030C2"/>
    <w:rsid w:val="0080583A"/>
    <w:rsid w:val="00812E4D"/>
    <w:rsid w:val="00823BD3"/>
    <w:rsid w:val="00825C47"/>
    <w:rsid w:val="00826647"/>
    <w:rsid w:val="00836100"/>
    <w:rsid w:val="00846E6C"/>
    <w:rsid w:val="00851386"/>
    <w:rsid w:val="00856810"/>
    <w:rsid w:val="00862D0D"/>
    <w:rsid w:val="00864E3D"/>
    <w:rsid w:val="00866299"/>
    <w:rsid w:val="008718AA"/>
    <w:rsid w:val="00871B62"/>
    <w:rsid w:val="00873F7D"/>
    <w:rsid w:val="00876413"/>
    <w:rsid w:val="008A36ED"/>
    <w:rsid w:val="008A5C54"/>
    <w:rsid w:val="008B2707"/>
    <w:rsid w:val="008B3990"/>
    <w:rsid w:val="008D0937"/>
    <w:rsid w:val="008D3B8F"/>
    <w:rsid w:val="008F0729"/>
    <w:rsid w:val="008F6C03"/>
    <w:rsid w:val="00900092"/>
    <w:rsid w:val="00904D8E"/>
    <w:rsid w:val="00905C10"/>
    <w:rsid w:val="00921F52"/>
    <w:rsid w:val="009270F1"/>
    <w:rsid w:val="009333B7"/>
    <w:rsid w:val="00934214"/>
    <w:rsid w:val="00943CDC"/>
    <w:rsid w:val="00965005"/>
    <w:rsid w:val="009739FC"/>
    <w:rsid w:val="00976FB7"/>
    <w:rsid w:val="00983108"/>
    <w:rsid w:val="0099116B"/>
    <w:rsid w:val="0099745D"/>
    <w:rsid w:val="00997D14"/>
    <w:rsid w:val="009A19FE"/>
    <w:rsid w:val="009C4291"/>
    <w:rsid w:val="009E6C7A"/>
    <w:rsid w:val="00A11866"/>
    <w:rsid w:val="00A12FAF"/>
    <w:rsid w:val="00A328D9"/>
    <w:rsid w:val="00A50A8B"/>
    <w:rsid w:val="00A65786"/>
    <w:rsid w:val="00A70F49"/>
    <w:rsid w:val="00A73EA1"/>
    <w:rsid w:val="00A8244C"/>
    <w:rsid w:val="00A83AFE"/>
    <w:rsid w:val="00A840F5"/>
    <w:rsid w:val="00A856A3"/>
    <w:rsid w:val="00A86C7C"/>
    <w:rsid w:val="00A91CEA"/>
    <w:rsid w:val="00A93901"/>
    <w:rsid w:val="00AB1AA5"/>
    <w:rsid w:val="00AC0294"/>
    <w:rsid w:val="00AC102A"/>
    <w:rsid w:val="00AC2786"/>
    <w:rsid w:val="00AD0C32"/>
    <w:rsid w:val="00AD134F"/>
    <w:rsid w:val="00AD2C18"/>
    <w:rsid w:val="00AD2F1E"/>
    <w:rsid w:val="00AD3591"/>
    <w:rsid w:val="00AE23C8"/>
    <w:rsid w:val="00AE349C"/>
    <w:rsid w:val="00AE602D"/>
    <w:rsid w:val="00B141AD"/>
    <w:rsid w:val="00B207C2"/>
    <w:rsid w:val="00B207E7"/>
    <w:rsid w:val="00B20DD6"/>
    <w:rsid w:val="00B32B8C"/>
    <w:rsid w:val="00B32C8B"/>
    <w:rsid w:val="00B33E3F"/>
    <w:rsid w:val="00B40836"/>
    <w:rsid w:val="00B50922"/>
    <w:rsid w:val="00B52828"/>
    <w:rsid w:val="00B623BE"/>
    <w:rsid w:val="00B65FC8"/>
    <w:rsid w:val="00B67455"/>
    <w:rsid w:val="00B76626"/>
    <w:rsid w:val="00B778E3"/>
    <w:rsid w:val="00B85D03"/>
    <w:rsid w:val="00B915E2"/>
    <w:rsid w:val="00BB79F4"/>
    <w:rsid w:val="00BC0A1F"/>
    <w:rsid w:val="00BC63BA"/>
    <w:rsid w:val="00BD33E4"/>
    <w:rsid w:val="00BD3E5A"/>
    <w:rsid w:val="00BE16B8"/>
    <w:rsid w:val="00BE1C53"/>
    <w:rsid w:val="00BE43F5"/>
    <w:rsid w:val="00BE4FF9"/>
    <w:rsid w:val="00BE5E45"/>
    <w:rsid w:val="00BE6679"/>
    <w:rsid w:val="00BF00CF"/>
    <w:rsid w:val="00BF6B15"/>
    <w:rsid w:val="00C37141"/>
    <w:rsid w:val="00C45365"/>
    <w:rsid w:val="00C52800"/>
    <w:rsid w:val="00C56AB9"/>
    <w:rsid w:val="00C57F85"/>
    <w:rsid w:val="00C7111B"/>
    <w:rsid w:val="00C802B3"/>
    <w:rsid w:val="00C8129A"/>
    <w:rsid w:val="00CA0376"/>
    <w:rsid w:val="00CA0550"/>
    <w:rsid w:val="00CA6E0F"/>
    <w:rsid w:val="00CC4F2C"/>
    <w:rsid w:val="00D14B40"/>
    <w:rsid w:val="00D1575E"/>
    <w:rsid w:val="00D22DD8"/>
    <w:rsid w:val="00D271DF"/>
    <w:rsid w:val="00D305CD"/>
    <w:rsid w:val="00D46816"/>
    <w:rsid w:val="00D56DD5"/>
    <w:rsid w:val="00D620A6"/>
    <w:rsid w:val="00D628DB"/>
    <w:rsid w:val="00D6423D"/>
    <w:rsid w:val="00D6476B"/>
    <w:rsid w:val="00D720B8"/>
    <w:rsid w:val="00D73535"/>
    <w:rsid w:val="00D73E1C"/>
    <w:rsid w:val="00D81DB2"/>
    <w:rsid w:val="00D85F55"/>
    <w:rsid w:val="00D86BCB"/>
    <w:rsid w:val="00DA5D32"/>
    <w:rsid w:val="00DB14C8"/>
    <w:rsid w:val="00DB1FD7"/>
    <w:rsid w:val="00DB2A37"/>
    <w:rsid w:val="00DD1CDB"/>
    <w:rsid w:val="00DD5F55"/>
    <w:rsid w:val="00DE0993"/>
    <w:rsid w:val="00E056CE"/>
    <w:rsid w:val="00E229E5"/>
    <w:rsid w:val="00E2462D"/>
    <w:rsid w:val="00E24FEE"/>
    <w:rsid w:val="00E4462D"/>
    <w:rsid w:val="00E82CF9"/>
    <w:rsid w:val="00E8771C"/>
    <w:rsid w:val="00E92E46"/>
    <w:rsid w:val="00E94EB2"/>
    <w:rsid w:val="00E97B64"/>
    <w:rsid w:val="00EA378C"/>
    <w:rsid w:val="00EA66AF"/>
    <w:rsid w:val="00EB1FA8"/>
    <w:rsid w:val="00EC04D5"/>
    <w:rsid w:val="00EC264C"/>
    <w:rsid w:val="00EC463D"/>
    <w:rsid w:val="00EC4BCA"/>
    <w:rsid w:val="00ED7E8B"/>
    <w:rsid w:val="00F22FB9"/>
    <w:rsid w:val="00F447BF"/>
    <w:rsid w:val="00F461D4"/>
    <w:rsid w:val="00F53FE1"/>
    <w:rsid w:val="00FA1B27"/>
    <w:rsid w:val="00FB20CA"/>
    <w:rsid w:val="00FB2169"/>
    <w:rsid w:val="00FC3072"/>
    <w:rsid w:val="00FC5A9B"/>
    <w:rsid w:val="00FE3B4C"/>
    <w:rsid w:val="01097D2F"/>
    <w:rsid w:val="01853E11"/>
    <w:rsid w:val="027A7612"/>
    <w:rsid w:val="031973DA"/>
    <w:rsid w:val="099074D1"/>
    <w:rsid w:val="0AE26C87"/>
    <w:rsid w:val="0B4B43AF"/>
    <w:rsid w:val="0F96368D"/>
    <w:rsid w:val="11DB01A5"/>
    <w:rsid w:val="17686265"/>
    <w:rsid w:val="18DC0D8B"/>
    <w:rsid w:val="190F0CF7"/>
    <w:rsid w:val="19A67BFA"/>
    <w:rsid w:val="1A672764"/>
    <w:rsid w:val="1EAA53DA"/>
    <w:rsid w:val="1F2F1C7B"/>
    <w:rsid w:val="21F27DFA"/>
    <w:rsid w:val="23754AA7"/>
    <w:rsid w:val="2C482942"/>
    <w:rsid w:val="2FB63264"/>
    <w:rsid w:val="311F13A6"/>
    <w:rsid w:val="37985945"/>
    <w:rsid w:val="38464CE3"/>
    <w:rsid w:val="398F29D5"/>
    <w:rsid w:val="39A4364F"/>
    <w:rsid w:val="3FBC0569"/>
    <w:rsid w:val="42A362F2"/>
    <w:rsid w:val="43A85B37"/>
    <w:rsid w:val="44B813D4"/>
    <w:rsid w:val="489F6B33"/>
    <w:rsid w:val="48B37EEB"/>
    <w:rsid w:val="49D84A24"/>
    <w:rsid w:val="4B7E16EB"/>
    <w:rsid w:val="51183703"/>
    <w:rsid w:val="51986EB2"/>
    <w:rsid w:val="534053B7"/>
    <w:rsid w:val="553B0E40"/>
    <w:rsid w:val="55A03EEB"/>
    <w:rsid w:val="597B6C86"/>
    <w:rsid w:val="5B4D0671"/>
    <w:rsid w:val="5B690CF8"/>
    <w:rsid w:val="5F614678"/>
    <w:rsid w:val="5F80283E"/>
    <w:rsid w:val="6065020A"/>
    <w:rsid w:val="63846BFA"/>
    <w:rsid w:val="64C53EC6"/>
    <w:rsid w:val="688113BA"/>
    <w:rsid w:val="6A6652AB"/>
    <w:rsid w:val="6B5D7B5C"/>
    <w:rsid w:val="6B973B60"/>
    <w:rsid w:val="6C1D31AD"/>
    <w:rsid w:val="6D1E1AA6"/>
    <w:rsid w:val="6D233CCC"/>
    <w:rsid w:val="709366CE"/>
    <w:rsid w:val="74B82BA7"/>
    <w:rsid w:val="75B84160"/>
    <w:rsid w:val="77825766"/>
    <w:rsid w:val="790857BE"/>
    <w:rsid w:val="79D833A4"/>
    <w:rsid w:val="79DD4A2E"/>
    <w:rsid w:val="7D0C6791"/>
    <w:rsid w:val="7D9A415B"/>
    <w:rsid w:val="7E9939E2"/>
    <w:rsid w:val="7F552F1F"/>
    <w:rsid w:val="7FB80F1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pPr>
      <w:ind w:firstLine="0" w:firstLineChars="0"/>
      <w:textAlignment w:val="baseline"/>
    </w:pPr>
    <w:rPr>
      <w:rFonts w:cs="Times New Roman"/>
      <w:szCs w:val="24"/>
    </w:rPr>
  </w:style>
  <w:style w:type="paragraph" w:styleId="3">
    <w:name w:val="Plain Text"/>
    <w:basedOn w:val="1"/>
    <w:qFormat/>
    <w:uiPriority w:val="99"/>
    <w:pPr>
      <w:spacing w:line="360" w:lineRule="auto"/>
      <w:ind w:firstLine="480"/>
    </w:pPr>
    <w:rPr>
      <w:rFonts w:ascii="仿宋_GB2312" w:hAnsi="等线" w:eastAsia="等线"/>
      <w:kern w:val="0"/>
    </w:r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next w:val="6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索引 51"/>
    <w:basedOn w:val="1"/>
    <w:next w:val="1"/>
    <w:qFormat/>
    <w:uiPriority w:val="0"/>
    <w:pPr>
      <w:ind w:left="1680"/>
    </w:p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99"/>
    <w:pPr>
      <w:widowControl/>
      <w:spacing w:before="100" w:beforeAutospacing="1" w:after="100" w:afterAutospacing="1" w:line="360" w:lineRule="auto"/>
      <w:jc w:val="left"/>
    </w:pPr>
    <w:rPr>
      <w:rFonts w:ascii="宋体" w:hAnsi="宋体" w:eastAsia="宋体" w:cs="宋体"/>
      <w:kern w:val="0"/>
      <w:sz w:val="24"/>
      <w:szCs w:val="20"/>
    </w:rPr>
  </w:style>
  <w:style w:type="paragraph" w:styleId="9">
    <w:name w:val="Body Text First Indent"/>
    <w:basedOn w:val="2"/>
    <w:autoRedefine/>
    <w:qFormat/>
    <w:uiPriority w:val="99"/>
    <w:pPr>
      <w:spacing w:after="120" w:line="240" w:lineRule="auto"/>
      <w:ind w:firstLine="420" w:firstLineChars="100"/>
      <w:textAlignment w:val="auto"/>
    </w:pPr>
    <w:rPr>
      <w:rFonts w:ascii="Calibri" w:hAnsi="Calibri"/>
      <w:sz w:val="21"/>
    </w:rPr>
  </w:style>
  <w:style w:type="paragraph" w:customStyle="1" w:styleId="12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character" w:customStyle="1" w:styleId="13">
    <w:name w:val="批注框文本 Char"/>
    <w:basedOn w:val="11"/>
    <w:link w:val="4"/>
    <w:semiHidden/>
    <w:qFormat/>
    <w:uiPriority w:val="99"/>
    <w:rPr>
      <w:sz w:val="18"/>
      <w:szCs w:val="18"/>
    </w:rPr>
  </w:style>
  <w:style w:type="character" w:customStyle="1" w:styleId="14">
    <w:name w:val="页眉 Char"/>
    <w:basedOn w:val="11"/>
    <w:link w:val="7"/>
    <w:qFormat/>
    <w:uiPriority w:val="99"/>
    <w:rPr>
      <w:sz w:val="18"/>
      <w:szCs w:val="18"/>
    </w:rPr>
  </w:style>
  <w:style w:type="character" w:customStyle="1" w:styleId="15">
    <w:name w:val="页脚 Char"/>
    <w:basedOn w:val="11"/>
    <w:link w:val="5"/>
    <w:qFormat/>
    <w:uiPriority w:val="99"/>
    <w:rPr>
      <w:sz w:val="18"/>
      <w:szCs w:val="18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paragraph" w:customStyle="1" w:styleId="17">
    <w:name w:val="表格内容"/>
    <w:basedOn w:val="1"/>
    <w:qFormat/>
    <w:uiPriority w:val="0"/>
    <w:pPr>
      <w:spacing w:line="240" w:lineRule="auto"/>
      <w:ind w:firstLine="0" w:firstLineChars="0"/>
      <w:jc w:val="center"/>
      <w:textAlignment w:val="baseline"/>
    </w:pPr>
    <w:rPr>
      <w:rFonts w:cs="Times New Roman"/>
      <w:sz w:val="21"/>
      <w:szCs w:val="28"/>
    </w:rPr>
  </w:style>
  <w:style w:type="paragraph" w:customStyle="1" w:styleId="18">
    <w:name w:val="Table Text"/>
    <w:basedOn w:val="1"/>
    <w:semiHidden/>
    <w:qFormat/>
    <w:uiPriority w:val="0"/>
    <w:rPr>
      <w:rFonts w:ascii="新宋体" w:hAnsi="新宋体" w:eastAsia="新宋体" w:cs="新宋体"/>
      <w:sz w:val="20"/>
      <w:szCs w:val="20"/>
      <w:lang w:val="en-US" w:eastAsia="en-US" w:bidi="ar-SA"/>
    </w:rPr>
  </w:style>
  <w:style w:type="table" w:customStyle="1" w:styleId="1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0">
    <w:name w:val="Normal_0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paragraph" w:customStyle="1" w:styleId="21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1349</Words>
  <Characters>1543</Characters>
  <Lines>9</Lines>
  <Paragraphs>2</Paragraphs>
  <TotalTime>0</TotalTime>
  <ScaleCrop>false</ScaleCrop>
  <LinksUpToDate>false</LinksUpToDate>
  <CharactersWithSpaces>1591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2021-07-10T03:54:00Z</dcterms:created>
  <dc:creator>tang lun</dc:creator>
  <cp:lastModifiedBy>Administrator</cp:lastModifiedBy>
  <cp:lastPrinted>2024-01-29T07:50:00Z</cp:lastPrinted>
  <dcterms:modified xsi:type="dcterms:W3CDTF">2025-02-25T07:35:32Z</dcterms:modified>
  <cp:revision>466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50EEBAEE17AC4477BF5FB851CA63044F_13</vt:lpwstr>
  </property>
  <property fmtid="{D5CDD505-2E9C-101B-9397-08002B2CF9AE}" pid="4" name="KSOTemplateDocerSaveRecord">
    <vt:lpwstr>eyJoZGlkIjoiNDU4YjAxNDRlZDY0ZDJmNDE2ZGJhMDFhMTM3NmQwNDMifQ==</vt:lpwstr>
  </property>
</Properties>
</file>