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医院-家庭双元联动的ICU谵妄患者全链条管理系列创新研究与推广应用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55AA799B">
      <w:pPr>
        <w:spacing w:line="540" w:lineRule="exact"/>
        <w:rPr>
          <w:rFonts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甘秀妮、高燕、盛孝敏、杨睿琦、周雯、孙顺霞</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0B512AE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重症监护室（Intensive Care Unit,ICU）患者是谵妄的高风险人群，发生率可高达80.0%。谵妄不仅延长患者机械通气、住院时间，延迟康复，还会在出院后长期威胁患者生理机能、认知情感功能，给家庭、社会造成沉重负担。如何有效预防、识别和降低谵妄发生以及长期追踪延续护理亟待解决。因此，本项目以ICU谵妄发生发展轨迹为路径，聚焦非药物防治策略，探索其预防-诊治-预后全链条管理中的瓶颈难题和关键靶点，提出精准对策及核心技术，形成了医院-家庭双元联动的谵妄多学科管理新模式。</w:t>
      </w:r>
    </w:p>
    <w:p w14:paraId="75AA86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构建ICU谵妄早期风险评估与筛查体系。围绕ICU谵妄发生发展轨迹，建立患者危险因素临床数据库，完善现有谵妄风险评估与筛查体系：一是针对ICU谵妄亚型中活动减少型、混合型症状隐匿、易被误诊漏诊的难题，研发ICU谵妄活动亚型量表，有效提高谵妄亚型识别率；二是构建ICU谵妄风险预测模型，实现患者入ICU24h内即可完成谵妄风险筛查，将评估与防治关口前移，从而在超早期阻断谵妄进展。</w:t>
      </w:r>
    </w:p>
    <w:p w14:paraId="6FE9A76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革新ICU谵妄集束化非药物防治技术。采用ESCAPE集束化策略作为理论框架，组建多学科团队。基于循证，探索出集早期康复、睡眠管理、自主觉醒/自主呼吸试验、镇静与镇痛精细化管理、认知功能重塑以及家庭情感支持的六位一体ICU谵妄非药物防治关键技术体系，并已形成包含评估、筛查、防治、康复、随访的全流程临床管理路径。</w:t>
      </w:r>
    </w:p>
    <w:p w14:paraId="1F077AC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建立医院-家庭双元联动的ICU谵妄康复与随访新模式。依托开发的重庆市首个“全病程个案管理平台”，开展谵妄患者从入到出ICU预防-诊治-随访全链条的“家庭—医院”双向联动个案支持照护模式。利用信息化平台多维度多形式对患者进行全程追踪管理，把家庭带入到患者康复护理中，使患者出院后获得连续性照护。</w:t>
      </w:r>
    </w:p>
    <w:p w14:paraId="570A692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项目在Int J Nurs Stud等高水平杂志上发表相关论文38篇，其中最高影响因子13.89。获批相关课题4项，培养博士研究生3名，硕士研究生21名。项目成员还荣获重庆市首批英才·创新创业领军人才及重庆市学术技术带头人（护理学），中华护理学会急诊委员会的主任委员，护理届最高荣誉奖-第49届弗洛伦斯·南丁格尔奖章。另外，主办国家级及市级学术会议50余次，开设康复护理门诊，接诊量达100余人。ICU谵妄筛查与防治多项关键技术已被全国多所单位用于科研及临床实践，并荣获中华护理学会科技奖、中国康复医学会科技奖；项目成果ICU患者身体约束评估量表助力中国第一部住院患者身体约束护理团体标准的制定，项目成员多次在国际护士理事会大会（ICN）等国内外学术会议上进行大会交流，取得良好的国际国内推广及社会效益。</w:t>
      </w:r>
    </w:p>
    <w:p w14:paraId="48A1E168">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、主要知识产权和标准规范等目录：</w:t>
      </w:r>
    </w:p>
    <w:tbl>
      <w:tblPr>
        <w:tblStyle w:val="11"/>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25"/>
        <w:gridCol w:w="493"/>
        <w:gridCol w:w="1182"/>
        <w:gridCol w:w="825"/>
        <w:gridCol w:w="1288"/>
        <w:gridCol w:w="875"/>
        <w:gridCol w:w="1037"/>
        <w:gridCol w:w="652"/>
      </w:tblGrid>
      <w:tr w14:paraId="2E249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Align w:val="center"/>
          </w:tcPr>
          <w:p w14:paraId="69FAE683">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2025" w:type="dxa"/>
            <w:vAlign w:val="center"/>
          </w:tcPr>
          <w:p w14:paraId="6058D22D">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1CCE3B12">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493" w:type="dxa"/>
            <w:vAlign w:val="center"/>
          </w:tcPr>
          <w:p w14:paraId="49D2A386">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0015D03D">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1182" w:type="dxa"/>
            <w:vAlign w:val="center"/>
          </w:tcPr>
          <w:p w14:paraId="711D1C44">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825" w:type="dxa"/>
            <w:vAlign w:val="center"/>
          </w:tcPr>
          <w:p w14:paraId="623CD75D">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288" w:type="dxa"/>
            <w:vAlign w:val="center"/>
          </w:tcPr>
          <w:p w14:paraId="135D64DA">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75" w:type="dxa"/>
            <w:vAlign w:val="center"/>
          </w:tcPr>
          <w:p w14:paraId="5952483E">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1037" w:type="dxa"/>
            <w:vAlign w:val="center"/>
          </w:tcPr>
          <w:p w14:paraId="565A89D9">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652" w:type="dxa"/>
            <w:vAlign w:val="center"/>
          </w:tcPr>
          <w:p w14:paraId="23F20A61">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4FAA6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2" w:type="dxa"/>
            <w:shd w:val="clear" w:color="auto" w:fill="auto"/>
            <w:vAlign w:val="center"/>
          </w:tcPr>
          <w:p w14:paraId="069BD9E2">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0581192D">
            <w:pPr>
              <w:widowControl/>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lang w:val="en-US" w:eastAsia="zh-CN"/>
              </w:rPr>
              <w:t>A novel nomogram for the prediction of subsyndromal delirium in patients in intensive care units: A prospective, nested. case-controlled study</w:t>
            </w:r>
          </w:p>
        </w:tc>
        <w:tc>
          <w:tcPr>
            <w:tcW w:w="493" w:type="dxa"/>
            <w:shd w:val="clear" w:color="auto" w:fill="auto"/>
            <w:vAlign w:val="center"/>
          </w:tcPr>
          <w:p w14:paraId="7B3095B9">
            <w:pPr>
              <w:widowControl/>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rPr>
              <w:t>英国</w:t>
            </w:r>
          </w:p>
        </w:tc>
        <w:tc>
          <w:tcPr>
            <w:tcW w:w="1182" w:type="dxa"/>
            <w:shd w:val="clear" w:color="auto" w:fill="auto"/>
            <w:vAlign w:val="center"/>
          </w:tcPr>
          <w:p w14:paraId="620E3BA0">
            <w:pPr>
              <w:widowControl/>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w:t>
            </w:r>
            <w:r>
              <w:rPr>
                <w:rFonts w:hint="default" w:ascii="Times New Roman" w:hAnsi="Times New Roman" w:eastAsia="方正仿宋_GB18030" w:cs="Times New Roman"/>
                <w:b w:val="0"/>
                <w:bCs w:val="0"/>
                <w:i w:val="0"/>
                <w:iCs w:val="0"/>
                <w:caps w:val="0"/>
                <w:color w:val="auto"/>
                <w:spacing w:val="0"/>
                <w:sz w:val="21"/>
                <w:szCs w:val="21"/>
                <w:shd w:val="clear" w:color="auto" w:fill="FFFFFF"/>
              </w:rPr>
              <w:t>10.1016/j.ijnurstu.2024.104767</w:t>
            </w:r>
          </w:p>
        </w:tc>
        <w:tc>
          <w:tcPr>
            <w:tcW w:w="825" w:type="dxa"/>
            <w:shd w:val="clear" w:color="auto" w:fill="auto"/>
            <w:vAlign w:val="center"/>
          </w:tcPr>
          <w:p w14:paraId="29947EA2">
            <w:pPr>
              <w:widowControl/>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rPr>
              <w:t>2024.04.04</w:t>
            </w:r>
          </w:p>
        </w:tc>
        <w:tc>
          <w:tcPr>
            <w:tcW w:w="1288" w:type="dxa"/>
            <w:shd w:val="clear" w:color="auto" w:fill="auto"/>
            <w:vAlign w:val="center"/>
          </w:tcPr>
          <w:p w14:paraId="1F3A36D6">
            <w:pPr>
              <w:widowControl/>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lang w:val="en-US" w:eastAsia="zh-CN"/>
              </w:rPr>
              <w:t>Int J Nurs Stud</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739783B7">
            <w:pPr>
              <w:widowControl/>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5A061DDF">
            <w:pPr>
              <w:widowControl/>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高燕、甘秀妮</w:t>
            </w:r>
          </w:p>
        </w:tc>
        <w:tc>
          <w:tcPr>
            <w:tcW w:w="652" w:type="dxa"/>
          </w:tcPr>
          <w:p w14:paraId="4914EE1E">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1E6C4F8F">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0AA97833">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76F04B50">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5624F830">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193D763F">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67E04DCB">
            <w:pPr>
              <w:widowControl/>
              <w:snapToGrid w:val="0"/>
              <w:spacing w:line="240" w:lineRule="auto"/>
              <w:ind w:left="0" w:leftChars="0" w:firstLine="0" w:firstLineChars="0"/>
              <w:jc w:val="center"/>
              <w:rPr>
                <w:rFonts w:hint="default" w:ascii="Times New Roman" w:hAnsi="Times New Roman" w:eastAsia="方正仿宋_GB18030" w:cs="Times New Roman"/>
                <w:b w:val="0"/>
                <w:bCs w:val="0"/>
                <w:color w:val="auto"/>
                <w:sz w:val="21"/>
                <w:szCs w:val="21"/>
              </w:rPr>
            </w:pPr>
            <w:r>
              <w:rPr>
                <w:rFonts w:hint="default" w:ascii="Times New Roman" w:hAnsi="Times New Roman" w:eastAsia="方正仿宋_GB18030" w:cs="Times New Roman"/>
                <w:b w:val="0"/>
                <w:bCs w:val="0"/>
                <w:color w:val="auto"/>
                <w:kern w:val="0"/>
                <w:sz w:val="21"/>
                <w:szCs w:val="21"/>
              </w:rPr>
              <w:t>—</w:t>
            </w:r>
          </w:p>
        </w:tc>
      </w:tr>
      <w:tr w14:paraId="7C49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shd w:val="clear" w:color="auto" w:fill="auto"/>
            <w:vAlign w:val="center"/>
          </w:tcPr>
          <w:p w14:paraId="66FBA1B1">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380B4D8E">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Revelations of delirium subtype research: A bibliometric analysis of publications in the past twenty years in the field</w:t>
            </w:r>
          </w:p>
        </w:tc>
        <w:tc>
          <w:tcPr>
            <w:tcW w:w="493" w:type="dxa"/>
            <w:shd w:val="clear" w:color="auto" w:fill="auto"/>
            <w:vAlign w:val="center"/>
          </w:tcPr>
          <w:p w14:paraId="4A25277C">
            <w:pPr>
              <w:spacing w:line="360" w:lineRule="auto"/>
              <w:ind w:left="0" w:leftChars="0" w:firstLine="0" w:firstLineChars="0"/>
              <w:jc w:val="both"/>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荷兰</w:t>
            </w:r>
          </w:p>
        </w:tc>
        <w:tc>
          <w:tcPr>
            <w:tcW w:w="1182" w:type="dxa"/>
            <w:shd w:val="clear" w:color="auto" w:fill="auto"/>
            <w:vAlign w:val="center"/>
          </w:tcPr>
          <w:p w14:paraId="50C2BA31">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DOI:10.1016/j.ajp.2023.103561</w:t>
            </w:r>
          </w:p>
        </w:tc>
        <w:tc>
          <w:tcPr>
            <w:tcW w:w="825" w:type="dxa"/>
            <w:shd w:val="clear" w:color="auto" w:fill="auto"/>
            <w:vAlign w:val="center"/>
          </w:tcPr>
          <w:p w14:paraId="18D90314">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2023.03.21</w:t>
            </w:r>
          </w:p>
        </w:tc>
        <w:tc>
          <w:tcPr>
            <w:tcW w:w="1288" w:type="dxa"/>
            <w:shd w:val="clear" w:color="auto" w:fill="auto"/>
            <w:vAlign w:val="center"/>
          </w:tcPr>
          <w:p w14:paraId="6C976194">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Asian Journal Of Psychiatry</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4D6EA04E">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34D898E7">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周雯、白雪、杨芸、黄苗、郑秋兰、吴佳倩、王瑞、甘秀妮</w:t>
            </w:r>
          </w:p>
        </w:tc>
        <w:tc>
          <w:tcPr>
            <w:tcW w:w="652" w:type="dxa"/>
          </w:tcPr>
          <w:p w14:paraId="0053F729">
            <w:pPr>
              <w:snapToGrid w:val="0"/>
              <w:spacing w:line="240" w:lineRule="auto"/>
              <w:jc w:val="left"/>
              <w:rPr>
                <w:rFonts w:hint="default" w:ascii="Times New Roman" w:hAnsi="Times New Roman" w:eastAsia="方正仿宋_GB18030" w:cs="Times New Roman"/>
                <w:b w:val="0"/>
                <w:bCs w:val="0"/>
                <w:color w:val="auto"/>
                <w:kern w:val="0"/>
                <w:sz w:val="21"/>
                <w:szCs w:val="21"/>
              </w:rPr>
            </w:pPr>
          </w:p>
          <w:p w14:paraId="3D3FA105">
            <w:pPr>
              <w:snapToGrid w:val="0"/>
              <w:spacing w:line="240" w:lineRule="auto"/>
              <w:jc w:val="left"/>
              <w:rPr>
                <w:rFonts w:hint="default" w:ascii="Times New Roman" w:hAnsi="Times New Roman" w:eastAsia="方正仿宋_GB18030" w:cs="Times New Roman"/>
                <w:b w:val="0"/>
                <w:bCs w:val="0"/>
                <w:color w:val="auto"/>
                <w:kern w:val="0"/>
                <w:sz w:val="21"/>
                <w:szCs w:val="21"/>
              </w:rPr>
            </w:pPr>
          </w:p>
          <w:p w14:paraId="69200542">
            <w:pPr>
              <w:snapToGrid w:val="0"/>
              <w:spacing w:line="240" w:lineRule="auto"/>
              <w:jc w:val="left"/>
              <w:rPr>
                <w:rFonts w:hint="default" w:ascii="Times New Roman" w:hAnsi="Times New Roman" w:eastAsia="方正仿宋_GB18030" w:cs="Times New Roman"/>
                <w:b w:val="0"/>
                <w:bCs w:val="0"/>
                <w:color w:val="auto"/>
                <w:kern w:val="0"/>
                <w:sz w:val="21"/>
                <w:szCs w:val="21"/>
              </w:rPr>
            </w:pPr>
          </w:p>
          <w:p w14:paraId="67B9A69E">
            <w:pPr>
              <w:snapToGrid w:val="0"/>
              <w:spacing w:line="240" w:lineRule="auto"/>
              <w:jc w:val="left"/>
              <w:rPr>
                <w:rFonts w:hint="default" w:ascii="Times New Roman" w:hAnsi="Times New Roman" w:eastAsia="方正仿宋_GB18030" w:cs="Times New Roman"/>
                <w:b w:val="0"/>
                <w:bCs w:val="0"/>
                <w:color w:val="auto"/>
                <w:kern w:val="0"/>
                <w:sz w:val="21"/>
                <w:szCs w:val="21"/>
              </w:rPr>
            </w:pPr>
          </w:p>
          <w:p w14:paraId="224CA828">
            <w:pPr>
              <w:snapToGrid w:val="0"/>
              <w:spacing w:line="240" w:lineRule="auto"/>
              <w:jc w:val="left"/>
              <w:rPr>
                <w:rFonts w:hint="default" w:ascii="Times New Roman" w:hAnsi="Times New Roman" w:eastAsia="方正仿宋_GB18030" w:cs="Times New Roman"/>
                <w:b w:val="0"/>
                <w:bCs w:val="0"/>
                <w:color w:val="auto"/>
                <w:kern w:val="0"/>
                <w:sz w:val="21"/>
                <w:szCs w:val="21"/>
              </w:rPr>
            </w:pPr>
          </w:p>
          <w:p w14:paraId="78BD5DCB">
            <w:pPr>
              <w:snapToGrid w:val="0"/>
              <w:spacing w:line="240" w:lineRule="auto"/>
              <w:jc w:val="left"/>
              <w:rPr>
                <w:rFonts w:hint="default" w:ascii="Times New Roman" w:hAnsi="Times New Roman" w:eastAsia="方正仿宋_GB18030" w:cs="Times New Roman"/>
                <w:b w:val="0"/>
                <w:bCs w:val="0"/>
                <w:color w:val="auto"/>
                <w:kern w:val="0"/>
                <w:sz w:val="21"/>
                <w:szCs w:val="21"/>
              </w:rPr>
            </w:pPr>
          </w:p>
          <w:p w14:paraId="52B51871">
            <w:pPr>
              <w:snapToGrid w:val="0"/>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4EEBD5BC">
            <w:pPr>
              <w:snapToGrid w:val="0"/>
              <w:spacing w:line="240" w:lineRule="auto"/>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0911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shd w:val="clear" w:color="auto" w:fill="auto"/>
            <w:vAlign w:val="center"/>
          </w:tcPr>
          <w:p w14:paraId="73A1EEC1">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72C9EFB3">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Hans" w:bidi="ar-SA"/>
              </w:rPr>
            </w:pPr>
            <w:r>
              <w:rPr>
                <w:rFonts w:hint="default" w:ascii="Times New Roman" w:hAnsi="Times New Roman" w:eastAsia="方正仿宋_GB18030" w:cs="Times New Roman"/>
                <w:b w:val="0"/>
                <w:bCs w:val="0"/>
                <w:color w:val="auto"/>
                <w:kern w:val="0"/>
                <w:sz w:val="21"/>
                <w:szCs w:val="21"/>
              </w:rPr>
              <w:t>Knowledge, attitude, and practice toward delirium and subtype assessment among Chinese clinical nurses and determinant factors: A multicentre cross-section study</w:t>
            </w:r>
          </w:p>
        </w:tc>
        <w:tc>
          <w:tcPr>
            <w:tcW w:w="493" w:type="dxa"/>
            <w:shd w:val="clear" w:color="auto" w:fill="auto"/>
            <w:vAlign w:val="center"/>
          </w:tcPr>
          <w:p w14:paraId="0B1A59B4">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美国</w:t>
            </w:r>
          </w:p>
        </w:tc>
        <w:tc>
          <w:tcPr>
            <w:tcW w:w="1182" w:type="dxa"/>
            <w:shd w:val="clear" w:color="auto" w:fill="auto"/>
            <w:vAlign w:val="center"/>
          </w:tcPr>
          <w:p w14:paraId="254221CD">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 10.3389/fpsyt.2022.1017283</w:t>
            </w:r>
          </w:p>
        </w:tc>
        <w:tc>
          <w:tcPr>
            <w:tcW w:w="825" w:type="dxa"/>
            <w:shd w:val="clear" w:color="auto" w:fill="auto"/>
            <w:vAlign w:val="center"/>
          </w:tcPr>
          <w:p w14:paraId="1A22D1D7">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2023.02.01</w:t>
            </w:r>
          </w:p>
        </w:tc>
        <w:tc>
          <w:tcPr>
            <w:tcW w:w="1288" w:type="dxa"/>
            <w:shd w:val="clear" w:color="auto" w:fill="auto"/>
            <w:vAlign w:val="center"/>
          </w:tcPr>
          <w:p w14:paraId="04763749">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Hans" w:bidi="ar-SA"/>
              </w:rPr>
            </w:pPr>
            <w:r>
              <w:rPr>
                <w:rFonts w:hint="default" w:ascii="Times New Roman" w:hAnsi="Times New Roman" w:eastAsia="方正仿宋_GB18030" w:cs="Times New Roman"/>
                <w:b w:val="0"/>
                <w:bCs w:val="0"/>
                <w:color w:val="auto"/>
                <w:kern w:val="0"/>
                <w:sz w:val="21"/>
                <w:szCs w:val="21"/>
              </w:rPr>
              <w:t>Frontiers in Psychiatr</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636A75F8">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Hans"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2B67CB3B">
            <w:pPr>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周雯、郑秋兰、黄苗、张传来、张欢、阳莉、吴太琴、甘秀妮</w:t>
            </w:r>
          </w:p>
        </w:tc>
        <w:tc>
          <w:tcPr>
            <w:tcW w:w="652" w:type="dxa"/>
          </w:tcPr>
          <w:p w14:paraId="6BA2327E">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20BB2D38">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22792195">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7F7634BC">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7C3D42EB">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130B7B86">
            <w:pPr>
              <w:widowControl/>
              <w:snapToGrid w:val="0"/>
              <w:spacing w:line="240" w:lineRule="auto"/>
              <w:ind w:firstLine="422"/>
              <w:jc w:val="left"/>
              <w:rPr>
                <w:rFonts w:hint="default" w:ascii="Times New Roman" w:hAnsi="Times New Roman" w:eastAsia="方正仿宋_GB18030" w:cs="Times New Roman"/>
                <w:b w:val="0"/>
                <w:bCs w:val="0"/>
                <w:color w:val="auto"/>
                <w:kern w:val="0"/>
                <w:sz w:val="21"/>
                <w:szCs w:val="21"/>
              </w:rPr>
            </w:pPr>
          </w:p>
          <w:p w14:paraId="3B85E755">
            <w:pPr>
              <w:snapToGrid w:val="0"/>
              <w:spacing w:line="240" w:lineRule="auto"/>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71277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shd w:val="clear" w:color="auto" w:fill="auto"/>
            <w:vAlign w:val="center"/>
          </w:tcPr>
          <w:p w14:paraId="1EA23FC9">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49C26F00">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Nurses' assessment of subsyndromal delirium and barriers to assessment: A cross-sectional survey in the intensive care unit</w:t>
            </w:r>
          </w:p>
        </w:tc>
        <w:tc>
          <w:tcPr>
            <w:tcW w:w="493" w:type="dxa"/>
            <w:shd w:val="clear" w:color="auto" w:fill="auto"/>
            <w:vAlign w:val="center"/>
          </w:tcPr>
          <w:p w14:paraId="5DD65941">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英国</w:t>
            </w:r>
          </w:p>
        </w:tc>
        <w:tc>
          <w:tcPr>
            <w:tcW w:w="1182" w:type="dxa"/>
            <w:shd w:val="clear" w:color="auto" w:fill="auto"/>
            <w:vAlign w:val="center"/>
          </w:tcPr>
          <w:p w14:paraId="62802701">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DOI:10.1111/jonm.13887</w:t>
            </w:r>
          </w:p>
        </w:tc>
        <w:tc>
          <w:tcPr>
            <w:tcW w:w="825" w:type="dxa"/>
            <w:shd w:val="clear" w:color="auto" w:fill="auto"/>
            <w:vAlign w:val="center"/>
          </w:tcPr>
          <w:p w14:paraId="3E07BBFD">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2022.11.03</w:t>
            </w:r>
          </w:p>
        </w:tc>
        <w:tc>
          <w:tcPr>
            <w:tcW w:w="1288" w:type="dxa"/>
            <w:shd w:val="clear" w:color="auto" w:fill="auto"/>
            <w:vAlign w:val="center"/>
          </w:tcPr>
          <w:p w14:paraId="1E4ACC3E">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Journal of Nursing Management</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55E79B0D">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7FAD7705">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高燕、张传来、廖春莲、甘秀妮</w:t>
            </w:r>
          </w:p>
        </w:tc>
        <w:tc>
          <w:tcPr>
            <w:tcW w:w="652" w:type="dxa"/>
          </w:tcPr>
          <w:p w14:paraId="2A4B6DF2">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4030FC74">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1C437B23">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6353D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2" w:type="dxa"/>
            <w:shd w:val="clear" w:color="auto" w:fill="auto"/>
            <w:vAlign w:val="center"/>
          </w:tcPr>
          <w:p w14:paraId="7635DB74">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29FBB03C">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Development of a breast cancer case management information platform (BC-CMIP) module based on patient-perceived value</w:t>
            </w:r>
          </w:p>
        </w:tc>
        <w:tc>
          <w:tcPr>
            <w:tcW w:w="493" w:type="dxa"/>
            <w:shd w:val="clear" w:color="auto" w:fill="auto"/>
            <w:vAlign w:val="center"/>
          </w:tcPr>
          <w:p w14:paraId="4BF84011">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瑞士</w:t>
            </w:r>
          </w:p>
        </w:tc>
        <w:tc>
          <w:tcPr>
            <w:tcW w:w="1182" w:type="dxa"/>
            <w:shd w:val="clear" w:color="auto" w:fill="auto"/>
            <w:vAlign w:val="center"/>
          </w:tcPr>
          <w:p w14:paraId="795F458A">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 10.3389/fonc.2022.1034171</w:t>
            </w:r>
          </w:p>
        </w:tc>
        <w:tc>
          <w:tcPr>
            <w:tcW w:w="825" w:type="dxa"/>
            <w:shd w:val="clear" w:color="auto" w:fill="auto"/>
            <w:vAlign w:val="center"/>
          </w:tcPr>
          <w:p w14:paraId="2A39D51A">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2022.11.28</w:t>
            </w:r>
          </w:p>
        </w:tc>
        <w:tc>
          <w:tcPr>
            <w:tcW w:w="1288" w:type="dxa"/>
            <w:shd w:val="clear" w:color="auto" w:fill="auto"/>
            <w:vAlign w:val="center"/>
          </w:tcPr>
          <w:p w14:paraId="0C22CED3">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Frontiers in Oncology</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58B96450">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1685501F">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梁寅寅、高燕、印国兵、陈文均、甘秀妮</w:t>
            </w:r>
          </w:p>
        </w:tc>
        <w:tc>
          <w:tcPr>
            <w:tcW w:w="652" w:type="dxa"/>
          </w:tcPr>
          <w:p w14:paraId="2C941CDE">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36BB7ADC">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5366592A">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1CC27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shd w:val="clear" w:color="auto" w:fill="auto"/>
            <w:vAlign w:val="center"/>
          </w:tcPr>
          <w:p w14:paraId="6672C13A">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32B39C95">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ICU机械通气病人早期主动活动安全评估量表的构建</w:t>
            </w:r>
          </w:p>
        </w:tc>
        <w:tc>
          <w:tcPr>
            <w:tcW w:w="493" w:type="dxa"/>
            <w:shd w:val="clear" w:color="auto" w:fill="auto"/>
            <w:vAlign w:val="center"/>
          </w:tcPr>
          <w:p w14:paraId="7DF30CE7">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中国</w:t>
            </w:r>
          </w:p>
        </w:tc>
        <w:tc>
          <w:tcPr>
            <w:tcW w:w="1182" w:type="dxa"/>
            <w:shd w:val="clear" w:color="auto" w:fill="auto"/>
            <w:vAlign w:val="center"/>
          </w:tcPr>
          <w:p w14:paraId="6E4415BA">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DOI：10.12102/j.issn.1009-6493.2022.05.009</w:t>
            </w:r>
          </w:p>
        </w:tc>
        <w:tc>
          <w:tcPr>
            <w:tcW w:w="825" w:type="dxa"/>
            <w:shd w:val="clear" w:color="auto" w:fill="auto"/>
            <w:vAlign w:val="center"/>
          </w:tcPr>
          <w:p w14:paraId="416937D4">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2022.03.10</w:t>
            </w:r>
          </w:p>
        </w:tc>
        <w:tc>
          <w:tcPr>
            <w:tcW w:w="1288" w:type="dxa"/>
            <w:shd w:val="clear" w:color="auto" w:fill="auto"/>
            <w:vAlign w:val="center"/>
          </w:tcPr>
          <w:p w14:paraId="0740B461">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护理研究</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1DD003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150" w:firstLine="0" w:firstLineChars="0"/>
              <w:jc w:val="both"/>
              <w:rPr>
                <w:rFonts w:hint="default" w:ascii="Times New Roman" w:hAnsi="Times New Roman" w:eastAsia="方正仿宋_GB18030" w:cs="Times New Roman"/>
                <w:b w:val="0"/>
                <w:bCs w:val="0"/>
                <w:i w:val="0"/>
                <w:iCs w:val="0"/>
                <w:caps w:val="0"/>
                <w:color w:val="auto"/>
                <w:spacing w:val="0"/>
                <w:sz w:val="21"/>
                <w:szCs w:val="21"/>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p w14:paraId="543E9A44">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p>
        </w:tc>
        <w:tc>
          <w:tcPr>
            <w:tcW w:w="1037" w:type="dxa"/>
            <w:shd w:val="clear" w:color="auto" w:fill="auto"/>
            <w:vAlign w:val="center"/>
          </w:tcPr>
          <w:p w14:paraId="747921C4">
            <w:pPr>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"https://kns.cnki.net/kcms2/author/detail?v=F7lgbn8YeJpQWnG7YI3FKzuxMc_SuRAjxQLNfSTJNtUTU5ZNRjP0jmLPivRfnnzsL8472_4rLlmpUWSiZWTDReULtPHB_Or9hPEt7A-aINe_L0R-pNWQ4Tfk9KpX9WKc&amp;uniplatform=NZKPT&amp;language=CHS"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杨睿琦</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r>
              <w:rPr>
                <w:rFonts w:hint="default" w:ascii="Times New Roman" w:hAnsi="Times New Roman" w:eastAsia="方正仿宋_GB18030" w:cs="Times New Roman"/>
                <w:b w:val="0"/>
                <w:bCs w:val="0"/>
                <w:i w:val="0"/>
                <w:iCs w:val="0"/>
                <w:caps w:val="0"/>
                <w:color w:val="auto"/>
                <w:spacing w:val="0"/>
                <w:sz w:val="21"/>
                <w:szCs w:val="21"/>
                <w:u w:val="none"/>
                <w:shd w:val="clear" w:fill="FFFFFF"/>
                <w:lang w:eastAsia="zh-CN"/>
              </w:rPr>
              <w:t>、</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"https://kns.cnki.net/kcms2/author/detail?v=F7lgbn8YeJpQWnG7YI3FKzuxMc_SuRAjjo8a5u-WtCQx8NoxXLcD7SPMRBSa62lADrbdJlownQn5YEZRHJgS-5c3o4nH0SdxXkx8wEpexjEuXJ8A2nxCzXN6rGCbmDZJ&amp;uniplatform=NZKPT&amp;language=CHS"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甘秀妮</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r>
              <w:rPr>
                <w:rFonts w:hint="default" w:ascii="Times New Roman" w:hAnsi="Times New Roman" w:eastAsia="方正仿宋_GB18030" w:cs="Times New Roman"/>
                <w:b w:val="0"/>
                <w:bCs w:val="0"/>
                <w:i w:val="0"/>
                <w:iCs w:val="0"/>
                <w:caps w:val="0"/>
                <w:color w:val="auto"/>
                <w:spacing w:val="0"/>
                <w:sz w:val="21"/>
                <w:szCs w:val="21"/>
                <w:u w:val="none"/>
                <w:shd w:val="clear" w:fill="FFFFFF"/>
                <w:lang w:eastAsia="zh-CN"/>
              </w:rPr>
              <w:t>、</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"https://kns.cnki.net/kcms2/author/detail?v=F7lgbn8YeJpQWnG7YI3FKzuxMc_SuRAje_8TS80iM2Qw0Oa5B_qbABR9ngJ-rKPyJCGuOJtp4i_L7bwgsFnuA5MLq4SsPegeGmqouEsP9nQZw9h22De-r3ymWA6Q3Bmb&amp;uniplatform=NZKPT&amp;language=CHS"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王鹏飞</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r>
              <w:rPr>
                <w:rFonts w:hint="default" w:ascii="Times New Roman" w:hAnsi="Times New Roman" w:eastAsia="方正仿宋_GB18030" w:cs="Times New Roman"/>
                <w:b w:val="0"/>
                <w:bCs w:val="0"/>
                <w:i w:val="0"/>
                <w:iCs w:val="0"/>
                <w:caps w:val="0"/>
                <w:color w:val="auto"/>
                <w:spacing w:val="0"/>
                <w:sz w:val="21"/>
                <w:szCs w:val="21"/>
                <w:u w:val="none"/>
                <w:shd w:val="clear" w:fill="FFFFFF"/>
                <w:lang w:eastAsia="zh-CN"/>
              </w:rPr>
              <w:t>、</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"https://kns.cnki.net/kcms2/author/detail?v=F7lgbn8YeJpQWnG7YI3FKzuxMc_SuRAjazRiy_GP6AU0oUJpn3UBWnXz-wblT1vnaL8niTIEePlCI1rmXZ9GUEjCV2XZPwphR4qhbKQlSN9GPPYvJsgCwg==&amp;uniplatform=NZKPT&amp;language=CHS"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周凤</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r>
              <w:rPr>
                <w:rFonts w:hint="default" w:ascii="Times New Roman" w:hAnsi="Times New Roman" w:eastAsia="方正仿宋_GB18030" w:cs="Times New Roman"/>
                <w:b w:val="0"/>
                <w:bCs w:val="0"/>
                <w:i w:val="0"/>
                <w:iCs w:val="0"/>
                <w:caps w:val="0"/>
                <w:color w:val="auto"/>
                <w:spacing w:val="0"/>
                <w:sz w:val="21"/>
                <w:szCs w:val="21"/>
                <w:u w:val="none"/>
                <w:shd w:val="clear" w:fill="FFFFFF"/>
                <w:lang w:eastAsia="zh-CN"/>
              </w:rPr>
              <w:t>、</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"https://kns.cnki.net/kcms2/author/detail?v=F7lgbn8YeJpQWnG7YI3FKzuxMc_SuRAj18SmcUzVFOltWfICszfEPwvb9nFwP_yvxSPZymGc94UrkYuKJz4HPSOt_XH4Mg5ylJfI8TuRnGynfp9nuGP7zw==&amp;uniplatform=NZKPT&amp;language=CHS"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李霞</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r>
              <w:rPr>
                <w:rFonts w:hint="default" w:ascii="Times New Roman" w:hAnsi="Times New Roman" w:eastAsia="方正仿宋_GB18030" w:cs="Times New Roman"/>
                <w:b w:val="0"/>
                <w:bCs w:val="0"/>
                <w:i w:val="0"/>
                <w:iCs w:val="0"/>
                <w:caps w:val="0"/>
                <w:color w:val="auto"/>
                <w:spacing w:val="0"/>
                <w:sz w:val="21"/>
                <w:szCs w:val="21"/>
                <w:u w:val="none"/>
                <w:shd w:val="clear" w:fill="FFFFFF"/>
                <w:lang w:eastAsia="zh-CN"/>
              </w:rPr>
              <w:t>、</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"https://kns.cnki.net/kcms2/author/detail?v=F7lgbn8YeJpQWnG7YI3FKzuxMc_SuRAjlpIlffGAB94DdFK31Ig3y2Q4ARNlmMaYDpNSFlTXw-3ekg3ktkltqU7HV47Qvp3km_nj99psxIReF6GiSuliaA==&amp;uniplatform=NZKPT&amp;language=CHS"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蒋玮</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r>
              <w:rPr>
                <w:rFonts w:hint="default" w:ascii="Times New Roman" w:hAnsi="Times New Roman" w:eastAsia="方正仿宋_GB18030" w:cs="Times New Roman"/>
                <w:b w:val="0"/>
                <w:bCs w:val="0"/>
                <w:i w:val="0"/>
                <w:iCs w:val="0"/>
                <w:caps w:val="0"/>
                <w:color w:val="auto"/>
                <w:spacing w:val="0"/>
                <w:sz w:val="21"/>
                <w:szCs w:val="21"/>
                <w:u w:val="none"/>
                <w:shd w:val="clear" w:fill="FFFFFF"/>
                <w:lang w:eastAsia="zh-CN"/>
              </w:rPr>
              <w:t>、</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方正仿宋_GB18030" w:cs="Times New Roman"/>
                <w:b w:val="0"/>
                <w:bCs w:val="0"/>
                <w:i w:val="0"/>
                <w:iCs w:val="0"/>
                <w:caps w:val="0"/>
                <w:color w:val="auto"/>
                <w:spacing w:val="0"/>
                <w:sz w:val="21"/>
                <w:szCs w:val="21"/>
                <w:u w:val="none"/>
                <w:shd w:val="clear" w:fill="FFFFFF"/>
              </w:rPr>
              <w:instrText xml:space="preserve"> HYPERLINK "https://kns.cnki.net/kcms2/author/detail?v=F7lgbn8YeJpQWnG7YI3FKzuxMc_SuRAjYKFKLJXLYNY-6-SRwxFqzKP4lsKdUpWnX_osR0VGD2CAUDRFXKDC9EfjVX36hnvVehgQeM4wuDq2bcmwTqpN5UGVXmraEiak&amp;uniplatform=NZKPT&amp;language=CHS" \t "https://kns.cnki.net/kcms2/article/_blank" </w:instrTex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separate"/>
            </w:r>
            <w:r>
              <w:rPr>
                <w:rStyle w:val="13"/>
                <w:rFonts w:hint="default" w:ascii="Times New Roman" w:hAnsi="Times New Roman" w:eastAsia="方正仿宋_GB18030" w:cs="Times New Roman"/>
                <w:b w:val="0"/>
                <w:bCs w:val="0"/>
                <w:i w:val="0"/>
                <w:iCs w:val="0"/>
                <w:caps w:val="0"/>
                <w:color w:val="auto"/>
                <w:spacing w:val="0"/>
                <w:sz w:val="21"/>
                <w:szCs w:val="21"/>
                <w:u w:val="none"/>
                <w:shd w:val="clear" w:fill="FFFFFF"/>
              </w:rPr>
              <w:t>周建珍</w:t>
            </w:r>
            <w:r>
              <w:rPr>
                <w:rFonts w:hint="default" w:ascii="Times New Roman" w:hAnsi="Times New Roman" w:eastAsia="方正仿宋_GB18030" w:cs="Times New Roman"/>
                <w:b w:val="0"/>
                <w:bCs w:val="0"/>
                <w:i w:val="0"/>
                <w:iCs w:val="0"/>
                <w:caps w:val="0"/>
                <w:color w:val="auto"/>
                <w:spacing w:val="0"/>
                <w:sz w:val="21"/>
                <w:szCs w:val="21"/>
                <w:u w:val="none"/>
                <w:shd w:val="clear" w:fill="FFFFFF"/>
              </w:rPr>
              <w:fldChar w:fldCharType="end"/>
            </w:r>
          </w:p>
        </w:tc>
        <w:tc>
          <w:tcPr>
            <w:tcW w:w="652" w:type="dxa"/>
          </w:tcPr>
          <w:p w14:paraId="5C0A132F">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10A77DB2">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2D31A9EB">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43E85DCE">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73C83571">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621DA277">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24D44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852" w:type="dxa"/>
            <w:shd w:val="clear" w:color="auto" w:fill="auto"/>
            <w:vAlign w:val="center"/>
          </w:tcPr>
          <w:p w14:paraId="7E536FF5">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5F2E00BC">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ICU患者转出时家属内心体验的质性研究</w:t>
            </w:r>
          </w:p>
        </w:tc>
        <w:tc>
          <w:tcPr>
            <w:tcW w:w="493" w:type="dxa"/>
            <w:shd w:val="clear" w:color="auto" w:fill="auto"/>
            <w:vAlign w:val="center"/>
          </w:tcPr>
          <w:p w14:paraId="1E98ECC7">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中国</w:t>
            </w:r>
          </w:p>
        </w:tc>
        <w:tc>
          <w:tcPr>
            <w:tcW w:w="1182" w:type="dxa"/>
            <w:shd w:val="clear" w:color="auto" w:fill="auto"/>
            <w:vAlign w:val="center"/>
          </w:tcPr>
          <w:p w14:paraId="739E2F45">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DOI:10.3870/j.issn.1001-4152.2017.10.075</w:t>
            </w:r>
          </w:p>
        </w:tc>
        <w:tc>
          <w:tcPr>
            <w:tcW w:w="825" w:type="dxa"/>
            <w:shd w:val="clear" w:color="auto" w:fill="auto"/>
            <w:vAlign w:val="center"/>
          </w:tcPr>
          <w:p w14:paraId="7A217875">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2017.05.25</w:t>
            </w:r>
          </w:p>
        </w:tc>
        <w:tc>
          <w:tcPr>
            <w:tcW w:w="1288" w:type="dxa"/>
            <w:shd w:val="clear" w:color="auto" w:fill="auto"/>
            <w:vAlign w:val="center"/>
          </w:tcPr>
          <w:p w14:paraId="1FB782B5">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护理学杂志</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799E3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150" w:firstLine="0" w:firstLineChars="0"/>
              <w:jc w:val="both"/>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55F1433C">
            <w:pPr>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孙顺霞</w:t>
            </w:r>
            <w:r>
              <w:rPr>
                <w:rFonts w:hint="default" w:ascii="Times New Roman" w:hAnsi="Times New Roman" w:eastAsia="方正仿宋_GB18030" w:cs="Times New Roman"/>
                <w:b w:val="0"/>
                <w:bCs w:val="0"/>
                <w:color w:val="auto"/>
                <w:kern w:val="0"/>
                <w:sz w:val="21"/>
                <w:szCs w:val="21"/>
                <w:lang w:eastAsia="zh-CN"/>
              </w:rPr>
              <w:t>、</w:t>
            </w:r>
            <w:r>
              <w:rPr>
                <w:rFonts w:hint="default" w:ascii="Times New Roman" w:hAnsi="Times New Roman" w:eastAsia="方正仿宋_GB18030" w:cs="Times New Roman"/>
                <w:b w:val="0"/>
                <w:bCs w:val="0"/>
                <w:color w:val="auto"/>
                <w:kern w:val="0"/>
                <w:sz w:val="21"/>
                <w:szCs w:val="21"/>
              </w:rPr>
              <w:t>甘秀妮</w:t>
            </w:r>
            <w:r>
              <w:rPr>
                <w:rFonts w:hint="default" w:ascii="Times New Roman" w:hAnsi="Times New Roman" w:eastAsia="方正仿宋_GB18030" w:cs="Times New Roman"/>
                <w:b w:val="0"/>
                <w:bCs w:val="0"/>
                <w:color w:val="auto"/>
                <w:kern w:val="0"/>
                <w:sz w:val="21"/>
                <w:szCs w:val="21"/>
                <w:lang w:eastAsia="zh-CN"/>
              </w:rPr>
              <w:t>、</w:t>
            </w:r>
            <w:r>
              <w:rPr>
                <w:rFonts w:hint="default" w:ascii="Times New Roman" w:hAnsi="Times New Roman" w:eastAsia="方正仿宋_GB18030" w:cs="Times New Roman"/>
                <w:b w:val="0"/>
                <w:bCs w:val="0"/>
                <w:color w:val="auto"/>
                <w:kern w:val="0"/>
                <w:sz w:val="21"/>
                <w:szCs w:val="21"/>
                <w:lang w:val="en-US" w:eastAsia="zh-CN"/>
              </w:rPr>
              <w:t>张传来</w:t>
            </w:r>
          </w:p>
        </w:tc>
        <w:tc>
          <w:tcPr>
            <w:tcW w:w="652" w:type="dxa"/>
          </w:tcPr>
          <w:p w14:paraId="68B1995A">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25EE7510">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20CE8A7D">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6D79F6BF">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78D2B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shd w:val="clear" w:color="auto" w:fill="auto"/>
            <w:vAlign w:val="center"/>
          </w:tcPr>
          <w:p w14:paraId="34ABE136">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5F7E9070">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基于德尔菲法构建ICU患者身体约束评估量表</w:t>
            </w:r>
          </w:p>
        </w:tc>
        <w:tc>
          <w:tcPr>
            <w:tcW w:w="493" w:type="dxa"/>
            <w:shd w:val="clear" w:color="auto" w:fill="auto"/>
            <w:vAlign w:val="center"/>
          </w:tcPr>
          <w:p w14:paraId="365F273F">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中国</w:t>
            </w:r>
          </w:p>
        </w:tc>
        <w:tc>
          <w:tcPr>
            <w:tcW w:w="1182" w:type="dxa"/>
            <w:shd w:val="clear" w:color="auto" w:fill="auto"/>
            <w:vAlign w:val="center"/>
          </w:tcPr>
          <w:p w14:paraId="00622ECB">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DOI:10.3870/j.issn.1001-4152.2018.02.062</w:t>
            </w:r>
          </w:p>
        </w:tc>
        <w:tc>
          <w:tcPr>
            <w:tcW w:w="825" w:type="dxa"/>
            <w:shd w:val="clear" w:color="auto" w:fill="auto"/>
            <w:vAlign w:val="center"/>
          </w:tcPr>
          <w:p w14:paraId="55131091">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2018.01.25</w:t>
            </w:r>
          </w:p>
        </w:tc>
        <w:tc>
          <w:tcPr>
            <w:tcW w:w="1288" w:type="dxa"/>
            <w:shd w:val="clear" w:color="auto" w:fill="auto"/>
            <w:vAlign w:val="center"/>
          </w:tcPr>
          <w:p w14:paraId="0575EBD2">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护理学杂志</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3A1E73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150" w:firstLine="0" w:firstLineChars="0"/>
              <w:jc w:val="both"/>
              <w:rPr>
                <w:rFonts w:hint="default" w:ascii="Times New Roman" w:hAnsi="Times New Roman" w:eastAsia="方正仿宋_GB18030" w:cs="Times New Roman"/>
                <w:b w:val="0"/>
                <w:bCs w:val="0"/>
                <w:i w:val="0"/>
                <w:iCs w:val="0"/>
                <w:caps w:val="0"/>
                <w:color w:val="auto"/>
                <w:spacing w:val="0"/>
                <w:sz w:val="21"/>
                <w:szCs w:val="21"/>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p w14:paraId="08ECCFE6">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p>
        </w:tc>
        <w:tc>
          <w:tcPr>
            <w:tcW w:w="1037" w:type="dxa"/>
            <w:shd w:val="clear" w:color="auto" w:fill="auto"/>
            <w:vAlign w:val="center"/>
          </w:tcPr>
          <w:p w14:paraId="7E2FBB94">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崔念奇</w:t>
            </w:r>
            <w:r>
              <w:rPr>
                <w:rFonts w:hint="default" w:ascii="Times New Roman" w:hAnsi="Times New Roman" w:eastAsia="方正仿宋_GB18030" w:cs="Times New Roman"/>
                <w:b w:val="0"/>
                <w:bCs w:val="0"/>
                <w:color w:val="auto"/>
                <w:kern w:val="0"/>
                <w:sz w:val="21"/>
                <w:szCs w:val="21"/>
                <w:lang w:eastAsia="zh-CN"/>
              </w:rPr>
              <w:t>、</w:t>
            </w:r>
            <w:r>
              <w:rPr>
                <w:rFonts w:hint="default" w:ascii="Times New Roman" w:hAnsi="Times New Roman" w:eastAsia="方正仿宋_GB18030" w:cs="Times New Roman"/>
                <w:b w:val="0"/>
                <w:bCs w:val="0"/>
                <w:color w:val="auto"/>
                <w:kern w:val="0"/>
                <w:sz w:val="21"/>
                <w:szCs w:val="21"/>
              </w:rPr>
              <w:t>甘秀妮</w:t>
            </w:r>
            <w:r>
              <w:rPr>
                <w:rFonts w:hint="default" w:ascii="Times New Roman" w:hAnsi="Times New Roman" w:eastAsia="方正仿宋_GB18030" w:cs="Times New Roman"/>
                <w:b w:val="0"/>
                <w:bCs w:val="0"/>
                <w:color w:val="auto"/>
                <w:kern w:val="0"/>
                <w:sz w:val="21"/>
                <w:szCs w:val="21"/>
                <w:lang w:eastAsia="zh-CN"/>
              </w:rPr>
              <w:t>、</w:t>
            </w:r>
            <w:r>
              <w:rPr>
                <w:rFonts w:hint="default" w:ascii="Times New Roman" w:hAnsi="Times New Roman" w:eastAsia="方正仿宋_GB18030" w:cs="Times New Roman"/>
                <w:b w:val="0"/>
                <w:bCs w:val="0"/>
                <w:color w:val="auto"/>
                <w:kern w:val="0"/>
                <w:sz w:val="21"/>
                <w:szCs w:val="21"/>
                <w:lang w:val="en-US" w:eastAsia="zh-CN"/>
              </w:rPr>
              <w:t>张传来、周世群、龙梦云、张恬、何成雨</w:t>
            </w:r>
          </w:p>
        </w:tc>
        <w:tc>
          <w:tcPr>
            <w:tcW w:w="652" w:type="dxa"/>
          </w:tcPr>
          <w:p w14:paraId="51955DF0">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4D45E922">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2D6D15AF">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57366217">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602977F7">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4F55D98C">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577A505C">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7132E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852" w:type="dxa"/>
            <w:shd w:val="clear" w:color="auto" w:fill="auto"/>
            <w:vAlign w:val="center"/>
          </w:tcPr>
          <w:p w14:paraId="4CB50F90">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论文</w:t>
            </w:r>
          </w:p>
        </w:tc>
        <w:tc>
          <w:tcPr>
            <w:tcW w:w="2025" w:type="dxa"/>
            <w:shd w:val="clear" w:color="auto" w:fill="auto"/>
            <w:vAlign w:val="center"/>
          </w:tcPr>
          <w:p w14:paraId="1373F2DE">
            <w:pPr>
              <w:spacing w:line="24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夜间使用眼罩耳塞对ICU患者谵妄及睡眠障碍的疗效观察</w:t>
            </w:r>
          </w:p>
        </w:tc>
        <w:tc>
          <w:tcPr>
            <w:tcW w:w="493" w:type="dxa"/>
            <w:shd w:val="clear" w:color="auto" w:fill="auto"/>
            <w:vAlign w:val="center"/>
          </w:tcPr>
          <w:p w14:paraId="69894F09">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中国</w:t>
            </w:r>
          </w:p>
        </w:tc>
        <w:tc>
          <w:tcPr>
            <w:tcW w:w="1182" w:type="dxa"/>
            <w:shd w:val="clear" w:color="auto" w:fill="auto"/>
            <w:vAlign w:val="center"/>
          </w:tcPr>
          <w:p w14:paraId="20D911A6">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DOI:10.3969/j.issn.0258-4646.2013.05.022</w:t>
            </w:r>
          </w:p>
        </w:tc>
        <w:tc>
          <w:tcPr>
            <w:tcW w:w="825" w:type="dxa"/>
            <w:shd w:val="clear" w:color="auto" w:fill="auto"/>
            <w:vAlign w:val="center"/>
          </w:tcPr>
          <w:p w14:paraId="46F8EBD6">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sz w:val="21"/>
                <w:szCs w:val="21"/>
              </w:rPr>
              <w:t>2013.05.24</w:t>
            </w:r>
          </w:p>
        </w:tc>
        <w:tc>
          <w:tcPr>
            <w:tcW w:w="1288" w:type="dxa"/>
            <w:shd w:val="clear" w:color="auto" w:fill="auto"/>
            <w:vAlign w:val="center"/>
          </w:tcPr>
          <w:p w14:paraId="03FB0DFC">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中国医科大学学报</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71B82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150" w:firstLine="0" w:firstLineChars="0"/>
              <w:jc w:val="both"/>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3A3B7234">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rPr>
              <w:t>盛孝敏</w:t>
            </w:r>
            <w:r>
              <w:rPr>
                <w:rFonts w:hint="default" w:ascii="Times New Roman" w:hAnsi="Times New Roman" w:eastAsia="方正仿宋_GB18030" w:cs="Times New Roman"/>
                <w:b w:val="0"/>
                <w:bCs w:val="0"/>
                <w:color w:val="auto"/>
                <w:kern w:val="0"/>
                <w:sz w:val="21"/>
                <w:szCs w:val="21"/>
                <w:lang w:eastAsia="zh-CN"/>
              </w:rPr>
              <w:t>、</w:t>
            </w:r>
            <w:r>
              <w:rPr>
                <w:rFonts w:hint="default" w:ascii="Times New Roman" w:hAnsi="Times New Roman" w:eastAsia="方正仿宋_GB18030" w:cs="Times New Roman"/>
                <w:b w:val="0"/>
                <w:bCs w:val="0"/>
                <w:color w:val="auto"/>
                <w:kern w:val="0"/>
                <w:sz w:val="21"/>
                <w:szCs w:val="21"/>
              </w:rPr>
              <w:t xml:space="preserve"> 甘秀妮</w:t>
            </w:r>
            <w:r>
              <w:rPr>
                <w:rFonts w:hint="default" w:ascii="Times New Roman" w:hAnsi="Times New Roman" w:eastAsia="方正仿宋_GB18030" w:cs="Times New Roman"/>
                <w:b w:val="0"/>
                <w:bCs w:val="0"/>
                <w:color w:val="auto"/>
                <w:kern w:val="0"/>
                <w:sz w:val="21"/>
                <w:szCs w:val="21"/>
                <w:lang w:eastAsia="zh-CN"/>
              </w:rPr>
              <w:t>、</w:t>
            </w:r>
            <w:r>
              <w:rPr>
                <w:rFonts w:hint="default" w:ascii="Times New Roman" w:hAnsi="Times New Roman" w:eastAsia="方正仿宋_GB18030" w:cs="Times New Roman"/>
                <w:b w:val="0"/>
                <w:bCs w:val="0"/>
                <w:color w:val="auto"/>
                <w:kern w:val="0"/>
                <w:sz w:val="21"/>
                <w:szCs w:val="21"/>
                <w:lang w:val="en-US" w:eastAsia="zh-CN"/>
              </w:rPr>
              <w:t>张传来、李冬雪</w:t>
            </w:r>
          </w:p>
        </w:tc>
        <w:tc>
          <w:tcPr>
            <w:tcW w:w="652" w:type="dxa"/>
          </w:tcPr>
          <w:p w14:paraId="3D9E74B3">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47A57943">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1C5BB6F3">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37136739">
            <w:pPr>
              <w:spacing w:line="390" w:lineRule="exact"/>
              <w:ind w:left="0" w:leftChars="0" w:firstLine="0" w:firstLineChars="0"/>
              <w:jc w:val="center"/>
              <w:rPr>
                <w:rFonts w:hint="default" w:ascii="Times New Roman" w:hAnsi="Times New Roman" w:eastAsia="方正仿宋_GB18030" w:cs="Times New Roman"/>
                <w:b w:val="0"/>
                <w:bCs w:val="0"/>
                <w:color w:val="auto"/>
                <w:kern w:val="0"/>
                <w:sz w:val="21"/>
                <w:szCs w:val="21"/>
              </w:rPr>
            </w:pPr>
          </w:p>
          <w:p w14:paraId="11632991">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r w14:paraId="4F646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shd w:val="clear" w:color="auto" w:fill="auto"/>
            <w:vAlign w:val="center"/>
          </w:tcPr>
          <w:p w14:paraId="5973E34B">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rPr>
              <w:t>论文</w:t>
            </w:r>
          </w:p>
        </w:tc>
        <w:tc>
          <w:tcPr>
            <w:tcW w:w="2025" w:type="dxa"/>
            <w:shd w:val="clear" w:color="auto" w:fill="auto"/>
            <w:vAlign w:val="center"/>
          </w:tcPr>
          <w:p w14:paraId="2E799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240" w:lineRule="auto"/>
              <w:ind w:left="0" w:right="0" w:firstLine="0"/>
              <w:jc w:val="left"/>
              <w:textAlignment w:val="center"/>
              <w:rPr>
                <w:rFonts w:hint="default" w:ascii="Times New Roman" w:hAnsi="Times New Roman" w:eastAsia="方正仿宋_GB18030" w:cs="Times New Roman"/>
                <w:b w:val="0"/>
                <w:bCs w:val="0"/>
                <w:i w:val="0"/>
                <w:iCs w:val="0"/>
                <w:caps w:val="0"/>
                <w:color w:val="auto"/>
                <w:spacing w:val="0"/>
                <w:sz w:val="21"/>
                <w:szCs w:val="21"/>
                <w:u w:val="none"/>
              </w:rPr>
            </w:pPr>
            <w:r>
              <w:rPr>
                <w:rFonts w:hint="default" w:ascii="Times New Roman" w:hAnsi="Times New Roman" w:eastAsia="方正仿宋_GB18030" w:cs="Times New Roman"/>
                <w:b w:val="0"/>
                <w:bCs w:val="0"/>
                <w:i w:val="0"/>
                <w:iCs w:val="0"/>
                <w:caps w:val="0"/>
                <w:color w:val="auto"/>
                <w:spacing w:val="0"/>
                <w:sz w:val="21"/>
                <w:szCs w:val="21"/>
                <w:u w:val="none"/>
              </w:rPr>
              <w:t>ICU患者活动减少型谵妄风险动态列线图预测模型的构建与验证</w:t>
            </w:r>
          </w:p>
          <w:p w14:paraId="4A5928BA">
            <w:pPr>
              <w:spacing w:line="240" w:lineRule="auto"/>
              <w:ind w:firstLine="420" w:firstLineChars="200"/>
              <w:jc w:val="left"/>
              <w:rPr>
                <w:rFonts w:hint="default" w:ascii="Times New Roman" w:hAnsi="Times New Roman" w:eastAsia="方正仿宋_GB18030" w:cs="Times New Roman"/>
                <w:b w:val="0"/>
                <w:bCs w:val="0"/>
                <w:color w:val="auto"/>
                <w:kern w:val="0"/>
                <w:sz w:val="21"/>
                <w:szCs w:val="21"/>
                <w:lang w:val="en-US" w:eastAsia="zh-CN" w:bidi="ar-SA"/>
              </w:rPr>
            </w:pPr>
          </w:p>
        </w:tc>
        <w:tc>
          <w:tcPr>
            <w:tcW w:w="493" w:type="dxa"/>
            <w:shd w:val="clear" w:color="auto" w:fill="auto"/>
            <w:vAlign w:val="center"/>
          </w:tcPr>
          <w:p w14:paraId="483072EA">
            <w:pPr>
              <w:spacing w:line="360" w:lineRule="auto"/>
              <w:ind w:left="0" w:leftChars="0" w:firstLine="0" w:firstLineChars="0"/>
              <w:jc w:val="center"/>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rPr>
              <w:t>中国</w:t>
            </w:r>
          </w:p>
        </w:tc>
        <w:tc>
          <w:tcPr>
            <w:tcW w:w="1182" w:type="dxa"/>
            <w:shd w:val="clear" w:color="auto" w:fill="auto"/>
            <w:vAlign w:val="center"/>
          </w:tcPr>
          <w:p w14:paraId="52DC7C90">
            <w:pPr>
              <w:keepNext w:val="0"/>
              <w:keepLines w:val="0"/>
              <w:widowControl/>
              <w:suppressLineNumbers w:val="0"/>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
              </w:rPr>
              <w:t>DOI：10.3761/j.issn.2096-7446.2024.06.001</w:t>
            </w:r>
          </w:p>
        </w:tc>
        <w:tc>
          <w:tcPr>
            <w:tcW w:w="825" w:type="dxa"/>
            <w:shd w:val="clear" w:color="auto" w:fill="auto"/>
            <w:vAlign w:val="center"/>
          </w:tcPr>
          <w:p w14:paraId="41034492">
            <w:pPr>
              <w:spacing w:line="360" w:lineRule="auto"/>
              <w:ind w:left="0" w:leftChars="0" w:firstLine="0" w:firstLineChars="0"/>
              <w:jc w:val="left"/>
              <w:rPr>
                <w:rFonts w:hint="default" w:ascii="Times New Roman" w:hAnsi="Times New Roman" w:eastAsia="方正仿宋_GB18030" w:cs="Times New Roman"/>
                <w:b w:val="0"/>
                <w:bCs w:val="0"/>
                <w:color w:val="auto"/>
                <w:kern w:val="2"/>
                <w:sz w:val="21"/>
                <w:szCs w:val="21"/>
                <w:lang w:val="en-US" w:eastAsia="zh-CN" w:bidi="ar-SA"/>
              </w:rPr>
            </w:pPr>
            <w:r>
              <w:rPr>
                <w:rFonts w:hint="default" w:ascii="Times New Roman" w:hAnsi="Times New Roman" w:eastAsia="方正仿宋_GB18030" w:cs="Times New Roman"/>
                <w:b w:val="0"/>
                <w:bCs w:val="0"/>
                <w:color w:val="auto"/>
                <w:sz w:val="21"/>
                <w:szCs w:val="21"/>
                <w:lang w:val="en-US" w:eastAsia="zh-CN"/>
              </w:rPr>
              <w:t>2024.06.10</w:t>
            </w:r>
          </w:p>
        </w:tc>
        <w:tc>
          <w:tcPr>
            <w:tcW w:w="1288" w:type="dxa"/>
            <w:shd w:val="clear" w:color="auto" w:fill="auto"/>
            <w:vAlign w:val="center"/>
          </w:tcPr>
          <w:p w14:paraId="6C518655">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rPr>
              <w:t>中华急危重症护理杂志</w:t>
            </w:r>
            <w:r>
              <w:rPr>
                <w:rFonts w:hint="default" w:ascii="Times New Roman" w:hAnsi="Times New Roman" w:eastAsia="方正仿宋_GB18030" w:cs="Times New Roman"/>
                <w:b w:val="0"/>
                <w:bCs w:val="0"/>
                <w:color w:val="auto"/>
                <w:sz w:val="21"/>
                <w:szCs w:val="21"/>
              </w:rPr>
              <w:t>（论文出版期刊）</w:t>
            </w:r>
          </w:p>
        </w:tc>
        <w:tc>
          <w:tcPr>
            <w:tcW w:w="875" w:type="dxa"/>
            <w:shd w:val="clear" w:color="auto" w:fill="auto"/>
            <w:vAlign w:val="center"/>
          </w:tcPr>
          <w:p w14:paraId="7D6E67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150" w:firstLine="0" w:firstLineChars="0"/>
              <w:jc w:val="both"/>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bidi="ar-SA"/>
              </w:rPr>
              <w:t>重庆医科大学附属第二医院</w:t>
            </w:r>
          </w:p>
        </w:tc>
        <w:tc>
          <w:tcPr>
            <w:tcW w:w="1037" w:type="dxa"/>
            <w:shd w:val="clear" w:color="auto" w:fill="auto"/>
            <w:vAlign w:val="center"/>
          </w:tcPr>
          <w:p w14:paraId="2F1ED2C3">
            <w:pPr>
              <w:spacing w:line="360" w:lineRule="auto"/>
              <w:ind w:left="0" w:leftChars="0" w:firstLine="0" w:firstLineChars="0"/>
              <w:jc w:val="left"/>
              <w:rPr>
                <w:rFonts w:hint="default" w:ascii="Times New Roman" w:hAnsi="Times New Roman" w:eastAsia="方正仿宋_GB18030" w:cs="Times New Roman"/>
                <w:b w:val="0"/>
                <w:bCs w:val="0"/>
                <w:color w:val="auto"/>
                <w:kern w:val="0"/>
                <w:sz w:val="21"/>
                <w:szCs w:val="21"/>
                <w:lang w:val="en-US" w:eastAsia="zh-CN" w:bidi="ar-SA"/>
              </w:rPr>
            </w:pPr>
            <w:r>
              <w:rPr>
                <w:rFonts w:hint="default" w:ascii="Times New Roman" w:hAnsi="Times New Roman" w:eastAsia="方正仿宋_GB18030" w:cs="Times New Roman"/>
                <w:b w:val="0"/>
                <w:bCs w:val="0"/>
                <w:color w:val="auto"/>
                <w:kern w:val="0"/>
                <w:sz w:val="21"/>
                <w:szCs w:val="21"/>
                <w:lang w:val="en-US" w:eastAsia="zh-CN"/>
              </w:rPr>
              <w:t>张欢、甘秀妮、周雯、高燕</w:t>
            </w:r>
          </w:p>
        </w:tc>
        <w:tc>
          <w:tcPr>
            <w:tcW w:w="652" w:type="dxa"/>
          </w:tcPr>
          <w:p w14:paraId="4B540F93">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103D4E30">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5372D7E1">
            <w:pPr>
              <w:spacing w:line="390" w:lineRule="exact"/>
              <w:ind w:left="0" w:leftChars="0" w:firstLine="0" w:firstLineChars="0"/>
              <w:jc w:val="left"/>
              <w:rPr>
                <w:rFonts w:hint="default" w:ascii="Times New Roman" w:hAnsi="Times New Roman" w:eastAsia="方正仿宋_GB18030" w:cs="Times New Roman"/>
                <w:b w:val="0"/>
                <w:bCs w:val="0"/>
                <w:color w:val="auto"/>
                <w:kern w:val="0"/>
                <w:sz w:val="21"/>
                <w:szCs w:val="21"/>
              </w:rPr>
            </w:pPr>
          </w:p>
          <w:p w14:paraId="1B1FF5A2">
            <w:pPr>
              <w:spacing w:line="390" w:lineRule="exact"/>
              <w:ind w:left="0" w:leftChars="0" w:firstLine="0" w:firstLineChars="0"/>
              <w:jc w:val="center"/>
              <w:rPr>
                <w:rFonts w:hint="default" w:ascii="Times New Roman" w:hAnsi="Times New Roman" w:eastAsia="方正仿宋_GB18030" w:cs="Times New Roman"/>
                <w:b w:val="0"/>
                <w:bCs w:val="0"/>
                <w:color w:val="auto"/>
                <w:kern w:val="2"/>
                <w:sz w:val="21"/>
                <w:szCs w:val="21"/>
              </w:rPr>
            </w:pPr>
            <w:r>
              <w:rPr>
                <w:rFonts w:hint="default" w:ascii="Times New Roman" w:hAnsi="Times New Roman" w:eastAsia="方正仿宋_GB18030" w:cs="Times New Roman"/>
                <w:b w:val="0"/>
                <w:bCs w:val="0"/>
                <w:color w:val="auto"/>
                <w:kern w:val="0"/>
                <w:sz w:val="21"/>
                <w:szCs w:val="21"/>
              </w:rPr>
              <w:t>—</w:t>
            </w:r>
          </w:p>
        </w:tc>
      </w:tr>
    </w:tbl>
    <w:p w14:paraId="50C89DFF">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00"/>
    <w:family w:val="auto"/>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23870D5"/>
    <w:rsid w:val="07D43E70"/>
    <w:rsid w:val="11DB01A5"/>
    <w:rsid w:val="12B75DF4"/>
    <w:rsid w:val="16C038D1"/>
    <w:rsid w:val="19A67BFA"/>
    <w:rsid w:val="1D51073B"/>
    <w:rsid w:val="246840DA"/>
    <w:rsid w:val="2CDF7FCA"/>
    <w:rsid w:val="311F13A6"/>
    <w:rsid w:val="3394151E"/>
    <w:rsid w:val="34615AF8"/>
    <w:rsid w:val="3DAF5796"/>
    <w:rsid w:val="41BA3452"/>
    <w:rsid w:val="46B53E1D"/>
    <w:rsid w:val="51BB5EFE"/>
    <w:rsid w:val="53B813F1"/>
    <w:rsid w:val="574F5BC8"/>
    <w:rsid w:val="597B6C86"/>
    <w:rsid w:val="5A2068C3"/>
    <w:rsid w:val="6B5D7B5C"/>
    <w:rsid w:val="6B973B60"/>
    <w:rsid w:val="790857BE"/>
    <w:rsid w:val="7BB7331C"/>
    <w:rsid w:val="7D0C6791"/>
    <w:rsid w:val="7E6A5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00" w:after="50" w:afterLines="50" w:line="240" w:lineRule="auto"/>
      <w:ind w:firstLine="0" w:firstLineChars="0"/>
      <w:jc w:val="center"/>
      <w:outlineLvl w:val="0"/>
    </w:pPr>
    <w:rPr>
      <w:rFonts w:eastAsia="方正小标宋简体"/>
      <w:kern w:val="44"/>
      <w:sz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firstLine="0" w:firstLineChars="0"/>
      <w:textAlignment w:val="baseline"/>
    </w:pPr>
    <w:rPr>
      <w:rFonts w:cs="Times New Roman"/>
      <w:szCs w:val="24"/>
    </w:rPr>
  </w:style>
  <w:style w:type="paragraph" w:styleId="5">
    <w:name w:val="Plain Text"/>
    <w:basedOn w:val="1"/>
    <w:qFormat/>
    <w:uiPriority w:val="99"/>
    <w:pPr>
      <w:spacing w:line="360" w:lineRule="auto"/>
      <w:ind w:firstLine="480"/>
    </w:pPr>
    <w:rPr>
      <w:rFonts w:ascii="仿宋_GB2312" w:hAnsi="等线" w:eastAsia="等线"/>
      <w:kern w:val="0"/>
    </w:r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10">
    <w:name w:val="Body Text First Indent"/>
    <w:basedOn w:val="4"/>
    <w:autoRedefine/>
    <w:qFormat/>
    <w:uiPriority w:val="99"/>
    <w:pPr>
      <w:spacing w:after="120" w:line="240" w:lineRule="auto"/>
      <w:ind w:firstLine="420" w:firstLineChars="100"/>
      <w:textAlignment w:val="auto"/>
    </w:pPr>
    <w:rPr>
      <w:rFonts w:ascii="Calibri" w:hAnsi="Calibri"/>
      <w:sz w:val="21"/>
    </w:rPr>
  </w:style>
  <w:style w:type="character" w:styleId="13">
    <w:name w:val="Hyperlink"/>
    <w:basedOn w:val="12"/>
    <w:qFormat/>
    <w:uiPriority w:val="0"/>
    <w:rPr>
      <w:color w:val="0000FF"/>
      <w:u w:val="single"/>
    </w:rPr>
  </w:style>
  <w:style w:type="character" w:customStyle="1" w:styleId="14">
    <w:name w:val="批注框文本 Char"/>
    <w:basedOn w:val="12"/>
    <w:link w:val="6"/>
    <w:semiHidden/>
    <w:qFormat/>
    <w:uiPriority w:val="99"/>
    <w:rPr>
      <w:sz w:val="18"/>
      <w:szCs w:val="18"/>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9">
    <w:name w:val="Table Text"/>
    <w:basedOn w:val="1"/>
    <w:semiHidden/>
    <w:qFormat/>
    <w:uiPriority w:val="0"/>
    <w:rPr>
      <w:rFonts w:ascii="新宋体" w:hAnsi="新宋体" w:eastAsia="新宋体" w:cs="新宋体"/>
      <w:sz w:val="20"/>
      <w:szCs w:val="20"/>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1622</Words>
  <Characters>1796</Characters>
  <Lines>9</Lines>
  <Paragraphs>2</Paragraphs>
  <TotalTime>0</TotalTime>
  <ScaleCrop>false</ScaleCrop>
  <LinksUpToDate>false</LinksUpToDate>
  <CharactersWithSpaces>1809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2025-02-25T02:11:59Z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552C43A0D6184D89B699C39B9DE0F84C_13</vt:lpwstr>
  </property>
  <property fmtid="{D5CDD505-2E9C-101B-9397-08002B2CF9AE}" pid="4" name="KSOTemplateDocerSaveRecord">
    <vt:lpwstr>eyJoZGlkIjoiNDU4YjAxNDRlZDY0ZDJmNDE2ZGJhMDFhMTM3NmQwNDMifQ==</vt:lpwstr>
  </property>
</Properties>
</file>