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topLinePunct w:val="0"/>
        <w:bidi w:val="0"/>
        <w:adjustRightInd/>
        <w:snapToGrid/>
        <w:spacing w:line="580" w:lineRule="exact"/>
        <w:jc w:val="center"/>
        <w:rPr>
          <w:rFonts w:hint="default"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渝中区校外培训机构预收费监管实施细则</w:t>
      </w: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（征求意见稿）</w:t>
      </w: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第一章</w:t>
      </w:r>
      <w:r>
        <w:rPr>
          <w:rFonts w:hint="eastAsia" w:ascii="Times New Roman" w:hAnsi="Times New Roman" w:eastAsia="方正黑体_GBK" w:cs="Times New Roman"/>
          <w:color w:val="auto"/>
          <w:sz w:val="32"/>
          <w:szCs w:val="32"/>
          <w:u w:val="none"/>
          <w:lang w:val="en-US" w:eastAsia="zh-CN"/>
        </w:rPr>
        <w:t xml:space="preserve">  </w:t>
      </w:r>
      <w:r>
        <w:rPr>
          <w:rFonts w:hint="eastAsia" w:ascii="Times New Roman" w:hAnsi="Times New Roman" w:eastAsia="方正黑体_GBK" w:cs="Times New Roman"/>
          <w:b/>
          <w:bCs/>
          <w:color w:val="auto"/>
          <w:sz w:val="32"/>
          <w:szCs w:val="32"/>
          <w:u w:val="none"/>
          <w:lang w:val="en-US" w:eastAsia="zh-CN"/>
        </w:rPr>
        <w:t>总则</w:t>
      </w:r>
      <w:bookmarkStart w:id="0" w:name="_GoBack"/>
      <w:bookmarkEnd w:id="0"/>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sz w:val="32"/>
          <w:szCs w:val="32"/>
          <w:u w:val="none"/>
          <w:lang w:val="en-US" w:eastAsia="zh-CN"/>
        </w:rPr>
        <w:t xml:space="preserve"> </w:t>
      </w:r>
      <w:r>
        <w:rPr>
          <w:rFonts w:hint="eastAsia" w:ascii="Times New Roman" w:hAnsi="Times New Roman" w:eastAsia="方正仿宋_GBK" w:cs="Times New Roman"/>
          <w:color w:val="auto"/>
          <w:kern w:val="2"/>
          <w:sz w:val="32"/>
          <w:szCs w:val="32"/>
          <w:u w:val="none"/>
          <w:lang w:val="en-US" w:eastAsia="zh-CN" w:bidi="ar-SA"/>
        </w:rPr>
        <w:t>为贯彻落实党中央、国务院“双减”精神，按照《教育部等六部门关于加强校外培训机构预收费监管工作的通知》</w:t>
      </w:r>
      <w:r>
        <w:rPr>
          <w:rFonts w:hint="eastAsia" w:eastAsia="方正仿宋_GBK" w:cs="Times New Roman"/>
          <w:color w:val="auto"/>
          <w:kern w:val="2"/>
          <w:sz w:val="32"/>
          <w:szCs w:val="32"/>
          <w:u w:val="none"/>
          <w:lang w:val="en-US" w:eastAsia="zh-CN" w:bidi="ar-SA"/>
        </w:rPr>
        <w:t>和《重庆市教育委员会等六部门关于印发〈重庆市校外培训机构预收费监管工作指引（试行）〉的通知》</w:t>
      </w:r>
      <w:r>
        <w:rPr>
          <w:rFonts w:hint="eastAsia" w:ascii="Times New Roman" w:hAnsi="Times New Roman" w:eastAsia="方正仿宋_GBK" w:cs="Times New Roman"/>
          <w:color w:val="auto"/>
          <w:kern w:val="2"/>
          <w:sz w:val="32"/>
          <w:szCs w:val="32"/>
          <w:u w:val="none"/>
          <w:lang w:val="en-US" w:eastAsia="zh-CN" w:bidi="ar-SA"/>
        </w:rPr>
        <w:t>要求，采取“预收费托管+风险保证金监管”模式加强校外培训机构资金监管，结合</w:t>
      </w:r>
      <w:r>
        <w:rPr>
          <w:rFonts w:hint="eastAsia" w:eastAsia="方正仿宋_GBK" w:cs="Times New Roman"/>
          <w:color w:val="auto"/>
          <w:kern w:val="2"/>
          <w:sz w:val="32"/>
          <w:szCs w:val="32"/>
          <w:u w:val="none"/>
          <w:lang w:val="en-US" w:eastAsia="zh-CN" w:bidi="ar-SA"/>
        </w:rPr>
        <w:t>渝中区</w:t>
      </w:r>
      <w:r>
        <w:rPr>
          <w:rFonts w:hint="eastAsia" w:ascii="Times New Roman" w:hAnsi="Times New Roman" w:eastAsia="方正仿宋_GBK" w:cs="Times New Roman"/>
          <w:color w:val="auto"/>
          <w:kern w:val="2"/>
          <w:sz w:val="32"/>
          <w:szCs w:val="32"/>
          <w:u w:val="none"/>
          <w:lang w:val="en-US" w:eastAsia="zh-CN" w:bidi="ar-SA"/>
        </w:rPr>
        <w:t>实际，制定本</w:t>
      </w:r>
      <w:r>
        <w:rPr>
          <w:rFonts w:hint="eastAsia" w:eastAsia="方正仿宋_GBK" w:cs="Times New Roman"/>
          <w:color w:val="auto"/>
          <w:kern w:val="2"/>
          <w:sz w:val="32"/>
          <w:szCs w:val="32"/>
          <w:u w:val="none"/>
          <w:lang w:val="en-US" w:eastAsia="zh-CN" w:bidi="ar-SA"/>
        </w:rPr>
        <w:t>实施细则</w:t>
      </w:r>
      <w:r>
        <w:rPr>
          <w:rFonts w:hint="eastAsia"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方正黑体_GBK" w:hAnsi="方正黑体_GBK" w:eastAsia="方正黑体_GBK" w:cs="方正黑体_GBK"/>
          <w:color w:val="auto"/>
          <w:sz w:val="32"/>
          <w:szCs w:val="32"/>
          <w:u w:val="none"/>
          <w:lang w:val="en-US" w:eastAsia="zh-CN"/>
        </w:rPr>
      </w:pPr>
      <w:r>
        <w:rPr>
          <w:rFonts w:hint="eastAsia" w:ascii="Times New Roman" w:hAnsi="Times New Roman" w:eastAsia="方正仿宋_GBK" w:cs="Times New Roman"/>
          <w:color w:val="auto"/>
          <w:kern w:val="2"/>
          <w:sz w:val="32"/>
          <w:szCs w:val="32"/>
          <w:u w:val="none"/>
          <w:lang w:val="en-US" w:eastAsia="zh-CN" w:bidi="ar-SA"/>
        </w:rPr>
        <w:t xml:space="preserve"> 本</w:t>
      </w:r>
      <w:r>
        <w:rPr>
          <w:rFonts w:hint="eastAsia" w:eastAsia="方正仿宋_GBK" w:cs="Times New Roman"/>
          <w:color w:val="auto"/>
          <w:kern w:val="2"/>
          <w:sz w:val="32"/>
          <w:szCs w:val="32"/>
          <w:u w:val="none"/>
          <w:lang w:val="en-US" w:eastAsia="zh-CN" w:bidi="ar-SA"/>
        </w:rPr>
        <w:t>细则</w:t>
      </w:r>
      <w:r>
        <w:rPr>
          <w:rFonts w:hint="eastAsia" w:ascii="Times New Roman" w:hAnsi="Times New Roman" w:eastAsia="方正仿宋_GBK" w:cs="Times New Roman"/>
          <w:color w:val="auto"/>
          <w:kern w:val="2"/>
          <w:sz w:val="32"/>
          <w:szCs w:val="32"/>
          <w:u w:val="none"/>
          <w:lang w:val="en-US" w:eastAsia="zh-CN" w:bidi="ar-SA"/>
        </w:rPr>
        <w:t>适用于在</w:t>
      </w:r>
      <w:r>
        <w:rPr>
          <w:rFonts w:hint="eastAsia" w:eastAsia="方正仿宋_GBK" w:cs="Times New Roman"/>
          <w:color w:val="auto"/>
          <w:kern w:val="2"/>
          <w:sz w:val="32"/>
          <w:szCs w:val="32"/>
          <w:u w:val="none"/>
          <w:lang w:val="en-US" w:eastAsia="zh-CN" w:bidi="ar-SA"/>
        </w:rPr>
        <w:t>渝中区</w:t>
      </w:r>
      <w:r>
        <w:rPr>
          <w:rFonts w:hint="eastAsia" w:ascii="Times New Roman" w:hAnsi="Times New Roman" w:eastAsia="方正仿宋_GBK" w:cs="Times New Roman"/>
          <w:color w:val="auto"/>
          <w:kern w:val="2"/>
          <w:sz w:val="32"/>
          <w:szCs w:val="32"/>
          <w:u w:val="none"/>
          <w:lang w:val="en-US" w:eastAsia="zh-CN" w:bidi="ar-SA"/>
        </w:rPr>
        <w:t>范围内审批登记的面向中小学生（含3—6岁学龄前儿童）的校外培训机构。</w:t>
      </w:r>
    </w:p>
    <w:p>
      <w:pPr>
        <w:keepNext w:val="0"/>
        <w:keepLines w:val="0"/>
        <w:pageBreakBefore w:val="0"/>
        <w:widowControl/>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黑体_GBK" w:cs="Times New Roman"/>
          <w:color w:val="auto"/>
          <w:sz w:val="32"/>
          <w:szCs w:val="32"/>
          <w:u w:val="none"/>
          <w:lang w:val="en-US" w:eastAsia="zh-CN"/>
        </w:rPr>
      </w:pP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第二章</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黑体_GBK" w:cs="Times New Roman"/>
          <w:color w:val="auto"/>
          <w:sz w:val="32"/>
          <w:szCs w:val="32"/>
          <w:u w:val="none"/>
          <w:lang w:val="en-US" w:eastAsia="zh-CN"/>
        </w:rPr>
        <w:t>预收费管理</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both"/>
        <w:rPr>
          <w:rFonts w:hint="eastAsia" w:ascii="方正黑体_GBK" w:hAnsi="方正黑体_GBK" w:eastAsia="方正黑体_GBK" w:cs="方正黑体_GBK"/>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kern w:val="2"/>
          <w:sz w:val="32"/>
          <w:szCs w:val="32"/>
          <w:u w:val="none"/>
          <w:lang w:val="en-US" w:eastAsia="zh-CN" w:bidi="ar-SA"/>
        </w:rPr>
        <w:t xml:space="preserve"> </w:t>
      </w:r>
      <w:r>
        <w:rPr>
          <w:rFonts w:hint="default" w:ascii="Times New Roman" w:hAnsi="Times New Roman" w:eastAsia="方正仿宋_GBK" w:cs="Times New Roman"/>
          <w:color w:val="auto"/>
          <w:sz w:val="32"/>
          <w:szCs w:val="32"/>
          <w:u w:val="none"/>
          <w:lang w:val="en-US" w:eastAsia="zh-CN"/>
        </w:rPr>
        <w:t>校外培训机构收费应当明码标价，收费项目、收费标准等信息应当向社会公开，接受社会监督，</w:t>
      </w:r>
      <w:r>
        <w:rPr>
          <w:rFonts w:hint="eastAsia" w:ascii="Times New Roman" w:hAnsi="Times New Roman" w:eastAsia="方正仿宋_GBK" w:cs="Times New Roman"/>
          <w:color w:val="auto"/>
          <w:sz w:val="32"/>
          <w:szCs w:val="32"/>
          <w:u w:val="none"/>
          <w:lang w:val="en-US" w:eastAsia="zh-CN"/>
        </w:rPr>
        <w:t>收费时段与教学安排应协调一致。</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校外培训机构</w:t>
      </w:r>
      <w:r>
        <w:rPr>
          <w:rFonts w:hint="eastAsia" w:ascii="Times New Roman" w:hAnsi="Times New Roman" w:eastAsia="方正仿宋_GBK" w:cs="Times New Roman"/>
          <w:color w:val="auto"/>
          <w:sz w:val="32"/>
          <w:szCs w:val="32"/>
          <w:u w:val="none"/>
          <w:lang w:val="en-US" w:eastAsia="zh-CN"/>
        </w:rPr>
        <w:t>不得一次性收取或以充值、次卡等形式变相收取时间跨度超过3个月或60课时的费用，且不得超过5000元。按培训周期收费的，不得超过</w:t>
      </w:r>
      <w:r>
        <w:rPr>
          <w:rFonts w:hint="default" w:ascii="Times New Roman" w:hAnsi="Times New Roman" w:eastAsia="方正仿宋_GBK" w:cs="Times New Roman"/>
          <w:color w:val="auto"/>
          <w:sz w:val="32"/>
          <w:szCs w:val="32"/>
          <w:u w:val="none"/>
          <w:lang w:val="en-US" w:eastAsia="zh-CN"/>
        </w:rPr>
        <w:t>3</w:t>
      </w:r>
      <w:r>
        <w:rPr>
          <w:rFonts w:hint="eastAsia" w:ascii="Times New Roman" w:hAnsi="Times New Roman" w:eastAsia="方正仿宋_GBK" w:cs="Times New Roman"/>
          <w:color w:val="auto"/>
          <w:sz w:val="32"/>
          <w:szCs w:val="32"/>
          <w:u w:val="none"/>
          <w:lang w:val="en-US" w:eastAsia="zh-CN"/>
        </w:rPr>
        <w:t>个月，收费时间不得早于新课开始前</w:t>
      </w:r>
      <w:r>
        <w:rPr>
          <w:rFonts w:hint="default" w:ascii="Times New Roman" w:hAnsi="Times New Roman" w:eastAsia="方正仿宋_GBK" w:cs="Times New Roman"/>
          <w:color w:val="auto"/>
          <w:sz w:val="32"/>
          <w:szCs w:val="32"/>
          <w:u w:val="none"/>
          <w:lang w:val="en-US" w:eastAsia="zh-CN"/>
        </w:rPr>
        <w:t>1</w:t>
      </w:r>
      <w:r>
        <w:rPr>
          <w:rFonts w:hint="eastAsia" w:ascii="Times New Roman" w:hAnsi="Times New Roman" w:eastAsia="方正仿宋_GBK" w:cs="Times New Roman"/>
          <w:color w:val="auto"/>
          <w:sz w:val="32"/>
          <w:szCs w:val="32"/>
          <w:u w:val="none"/>
          <w:lang w:val="en-US" w:eastAsia="zh-CN"/>
        </w:rPr>
        <w:t>个月；按课时收费的，不得超过</w:t>
      </w:r>
      <w:r>
        <w:rPr>
          <w:rFonts w:hint="default" w:ascii="Times New Roman" w:hAnsi="Times New Roman" w:eastAsia="方正仿宋_GBK" w:cs="Times New Roman"/>
          <w:color w:val="auto"/>
          <w:sz w:val="32"/>
          <w:szCs w:val="32"/>
          <w:u w:val="none"/>
          <w:lang w:val="en-US" w:eastAsia="zh-CN"/>
        </w:rPr>
        <w:t>60</w:t>
      </w:r>
      <w:r>
        <w:rPr>
          <w:rFonts w:hint="eastAsia" w:ascii="Times New Roman" w:hAnsi="Times New Roman" w:eastAsia="方正仿宋_GBK" w:cs="Times New Roman"/>
          <w:color w:val="auto"/>
          <w:sz w:val="32"/>
          <w:szCs w:val="32"/>
          <w:u w:val="none"/>
          <w:lang w:val="en-US" w:eastAsia="zh-CN"/>
        </w:rPr>
        <w:t>课时，续费的不得早于剩余</w:t>
      </w:r>
      <w:r>
        <w:rPr>
          <w:rFonts w:hint="default" w:ascii="Times New Roman" w:hAnsi="Times New Roman" w:eastAsia="方正仿宋_GBK" w:cs="Times New Roman"/>
          <w:color w:val="auto"/>
          <w:sz w:val="32"/>
          <w:szCs w:val="32"/>
          <w:u w:val="none"/>
          <w:lang w:val="en-US" w:eastAsia="zh-CN"/>
        </w:rPr>
        <w:t>20</w:t>
      </w:r>
      <w:r>
        <w:rPr>
          <w:rFonts w:hint="eastAsia" w:ascii="Times New Roman" w:hAnsi="Times New Roman" w:eastAsia="方正仿宋_GBK" w:cs="Times New Roman"/>
          <w:color w:val="auto"/>
          <w:sz w:val="32"/>
          <w:szCs w:val="32"/>
          <w:u w:val="none"/>
          <w:lang w:val="en-US" w:eastAsia="zh-CN"/>
        </w:rPr>
        <w:t>课时。不得使用培训贷方式收取培训费用。</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kern w:val="2"/>
          <w:sz w:val="32"/>
          <w:szCs w:val="32"/>
          <w:u w:val="none"/>
          <w:lang w:val="en-US" w:eastAsia="zh-CN" w:bidi="ar-SA"/>
        </w:rPr>
      </w:pPr>
      <w:r>
        <w:rPr>
          <w:rFonts w:hint="eastAsia" w:ascii="Times New Roman" w:hAnsi="Times New Roman" w:eastAsia="方正仿宋_GBK" w:cs="Times New Roman"/>
          <w:color w:val="auto"/>
          <w:sz w:val="32"/>
          <w:szCs w:val="32"/>
          <w:u w:val="none"/>
          <w:lang w:val="en-US" w:eastAsia="zh-CN"/>
        </w:rPr>
        <w:t xml:space="preserve"> </w:t>
      </w:r>
      <w:r>
        <w:rPr>
          <w:rFonts w:hint="eastAsia" w:ascii="Times New Roman" w:hAnsi="Times New Roman" w:eastAsia="方正仿宋_GBK" w:cs="Times New Roman"/>
          <w:color w:val="auto"/>
          <w:kern w:val="2"/>
          <w:sz w:val="32"/>
          <w:szCs w:val="32"/>
          <w:u w:val="none"/>
          <w:lang w:val="en-US" w:eastAsia="zh-CN" w:bidi="ar-SA"/>
        </w:rPr>
        <w:t>校外培训机构</w:t>
      </w:r>
      <w:r>
        <w:rPr>
          <w:rFonts w:hint="eastAsia" w:ascii="Times New Roman" w:hAnsi="Times New Roman" w:eastAsia="方正仿宋_GBK" w:cs="Times New Roman"/>
          <w:color w:val="auto"/>
          <w:sz w:val="32"/>
          <w:szCs w:val="32"/>
          <w:u w:val="none"/>
          <w:lang w:val="en-US" w:eastAsia="zh-CN"/>
        </w:rPr>
        <w:t>应全流程使用</w:t>
      </w:r>
      <w:r>
        <w:rPr>
          <w:rFonts w:hint="default" w:ascii="Times New Roman" w:hAnsi="Times New Roman" w:eastAsia="方正仿宋_GBK" w:cs="Times New Roman"/>
          <w:color w:val="auto"/>
          <w:sz w:val="32"/>
          <w:szCs w:val="32"/>
          <w:u w:val="none"/>
          <w:lang w:val="en-US" w:eastAsia="zh-CN"/>
        </w:rPr>
        <w:t>“全国校外教育培训监管与服务综合平台”（https://xwpx.eduyun.cn</w:t>
      </w:r>
      <w:r>
        <w:rPr>
          <w:rFonts w:hint="eastAsia" w:eastAsia="方正仿宋_GBK" w:cs="Times New Roman"/>
          <w:color w:val="auto"/>
          <w:sz w:val="32"/>
          <w:szCs w:val="32"/>
          <w:u w:val="none"/>
          <w:lang w:val="en-US" w:eastAsia="zh-CN"/>
        </w:rPr>
        <w:t>）（以下简称“平台”）。</w:t>
      </w:r>
      <w:r>
        <w:rPr>
          <w:rFonts w:hint="eastAsia" w:ascii="Times New Roman" w:hAnsi="Times New Roman" w:eastAsia="方正仿宋_GBK" w:cs="Times New Roman"/>
          <w:color w:val="auto"/>
          <w:kern w:val="2"/>
          <w:sz w:val="32"/>
          <w:szCs w:val="32"/>
          <w:u w:val="none"/>
          <w:lang w:val="en-US" w:eastAsia="zh-CN" w:bidi="ar-SA"/>
        </w:rPr>
        <w:t>校外培训机构</w:t>
      </w:r>
      <w:r>
        <w:rPr>
          <w:rFonts w:hint="eastAsia" w:ascii="Times New Roman" w:hAnsi="Times New Roman" w:eastAsia="方正仿宋_GBK" w:cs="Times New Roman"/>
          <w:color w:val="auto"/>
          <w:sz w:val="32"/>
          <w:szCs w:val="32"/>
          <w:u w:val="none"/>
          <w:lang w:val="en-US" w:eastAsia="zh-CN"/>
        </w:rPr>
        <w:t>应落实预收费监管的各项要求，</w:t>
      </w:r>
      <w:r>
        <w:rPr>
          <w:rFonts w:hint="eastAsia" w:eastAsia="方正仿宋_GBK" w:cs="Times New Roman"/>
          <w:color w:val="auto"/>
          <w:sz w:val="32"/>
          <w:szCs w:val="32"/>
          <w:u w:val="none"/>
          <w:lang w:val="en-US" w:eastAsia="zh-CN"/>
        </w:rPr>
        <w:t>在符合平台监管要求的银行</w:t>
      </w:r>
      <w:r>
        <w:rPr>
          <w:rFonts w:hint="eastAsia" w:ascii="Times New Roman" w:hAnsi="Times New Roman" w:eastAsia="方正仿宋_GBK" w:cs="Times New Roman"/>
          <w:color w:val="auto"/>
          <w:sz w:val="32"/>
          <w:szCs w:val="32"/>
          <w:u w:val="none"/>
          <w:lang w:val="en-US" w:eastAsia="zh-CN"/>
        </w:rPr>
        <w:t>设立唯一预收费资金托管专用账户</w:t>
      </w:r>
      <w:r>
        <w:rPr>
          <w:rFonts w:hint="eastAsia" w:eastAsia="方正仿宋_GBK" w:cs="Times New Roman"/>
          <w:color w:val="auto"/>
          <w:sz w:val="32"/>
          <w:szCs w:val="32"/>
          <w:u w:val="none"/>
          <w:lang w:val="en-US" w:eastAsia="zh-CN"/>
        </w:rPr>
        <w:t>（以下简称“托管账户”）</w:t>
      </w:r>
      <w:r>
        <w:rPr>
          <w:rFonts w:hint="eastAsia" w:ascii="Times New Roman" w:hAnsi="Times New Roman" w:eastAsia="方正仿宋_GBK" w:cs="Times New Roman"/>
          <w:color w:val="auto"/>
          <w:sz w:val="32"/>
          <w:szCs w:val="32"/>
          <w:u w:val="none"/>
          <w:lang w:val="en-US" w:eastAsia="zh-CN"/>
        </w:rPr>
        <w:t>，并向社会公开</w:t>
      </w:r>
      <w:r>
        <w:rPr>
          <w:rFonts w:hint="eastAsia" w:eastAsia="方正仿宋_GBK" w:cs="Times New Roman"/>
          <w:color w:val="auto"/>
          <w:sz w:val="32"/>
          <w:szCs w:val="32"/>
          <w:u w:val="none"/>
          <w:lang w:val="en-US" w:eastAsia="zh-CN"/>
        </w:rPr>
        <w:t>。</w:t>
      </w:r>
      <w:r>
        <w:rPr>
          <w:rFonts w:hint="eastAsia" w:ascii="Times New Roman" w:hAnsi="Times New Roman" w:eastAsia="方正仿宋_GBK" w:cs="Times New Roman"/>
          <w:color w:val="auto"/>
          <w:kern w:val="2"/>
          <w:sz w:val="32"/>
          <w:szCs w:val="32"/>
          <w:u w:val="none"/>
          <w:lang w:val="en-US" w:eastAsia="zh-CN" w:bidi="ar-SA"/>
        </w:rPr>
        <w:t>校外培训机构</w:t>
      </w:r>
      <w:r>
        <w:rPr>
          <w:rFonts w:hint="eastAsia" w:ascii="Times New Roman" w:hAnsi="Times New Roman" w:eastAsia="方正仿宋_GBK" w:cs="Times New Roman"/>
          <w:color w:val="auto"/>
          <w:sz w:val="32"/>
          <w:szCs w:val="32"/>
          <w:u w:val="none"/>
          <w:lang w:val="en-US" w:eastAsia="zh-CN"/>
        </w:rPr>
        <w:t>不得在</w:t>
      </w:r>
      <w:r>
        <w:rPr>
          <w:rFonts w:hint="eastAsia" w:eastAsia="方正仿宋_GBK" w:cs="Times New Roman"/>
          <w:color w:val="auto"/>
          <w:sz w:val="32"/>
          <w:szCs w:val="32"/>
          <w:u w:val="none"/>
          <w:lang w:val="en-US" w:eastAsia="zh-CN"/>
        </w:rPr>
        <w:t>托管账户</w:t>
      </w:r>
      <w:r>
        <w:rPr>
          <w:rFonts w:hint="eastAsia" w:ascii="Times New Roman" w:hAnsi="Times New Roman" w:eastAsia="方正仿宋_GBK" w:cs="Times New Roman"/>
          <w:color w:val="auto"/>
          <w:sz w:val="32"/>
          <w:szCs w:val="32"/>
          <w:u w:val="none"/>
          <w:lang w:val="en-US" w:eastAsia="zh-CN"/>
        </w:rPr>
        <w:t>外设立其他预收费账户，严禁将预收费</w:t>
      </w:r>
      <w:r>
        <w:rPr>
          <w:rFonts w:hint="default" w:ascii="Times New Roman" w:hAnsi="Times New Roman" w:eastAsia="方正仿宋_GBK" w:cs="Times New Roman"/>
          <w:color w:val="auto"/>
          <w:sz w:val="32"/>
          <w:szCs w:val="32"/>
          <w:u w:val="none"/>
          <w:lang w:val="en-US" w:eastAsia="zh-CN"/>
        </w:rPr>
        <w:t>存入</w:t>
      </w:r>
      <w:r>
        <w:rPr>
          <w:rFonts w:hint="eastAsia" w:ascii="Times New Roman" w:hAnsi="Times New Roman" w:eastAsia="方正仿宋_GBK" w:cs="Times New Roman"/>
          <w:color w:val="auto"/>
          <w:sz w:val="32"/>
          <w:szCs w:val="32"/>
          <w:u w:val="none"/>
          <w:lang w:val="en-US" w:eastAsia="zh-CN"/>
        </w:rPr>
        <w:t>其他账户（含对公账户、微信账户、支付宝账户等）</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kern w:val="2"/>
          <w:sz w:val="32"/>
          <w:szCs w:val="32"/>
          <w:u w:val="none"/>
          <w:lang w:val="en-US" w:eastAsia="zh-CN" w:bidi="ar-SA"/>
        </w:rPr>
        <w:t xml:space="preserve"> </w:t>
      </w:r>
      <w:r>
        <w:rPr>
          <w:rFonts w:hint="default" w:ascii="Times New Roman" w:hAnsi="Times New Roman" w:eastAsia="方正仿宋_GBK" w:cs="Times New Roman"/>
          <w:color w:val="auto"/>
          <w:kern w:val="2"/>
          <w:sz w:val="32"/>
          <w:szCs w:val="32"/>
          <w:u w:val="none"/>
          <w:lang w:val="en-US" w:eastAsia="zh-CN" w:bidi="ar-SA"/>
        </w:rPr>
        <w:t>学员家长应当警惕校外培训机构以打折、促销等各类优惠方式诱导家长超额超期缴费，或不经平台收费，或以任何名义向培训对象摊派费用、强行集资，或组织培训贷等行为的法律风险和资金风险。校外培训机构存在前述行为的，家长有权拒绝并及时向相关部门反映。</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校外培训预收费须全部进入</w:t>
      </w:r>
      <w:r>
        <w:rPr>
          <w:rFonts w:hint="eastAsia" w:eastAsia="方正仿宋_GBK" w:cs="Times New Roman"/>
          <w:color w:val="auto"/>
          <w:sz w:val="32"/>
          <w:szCs w:val="32"/>
          <w:u w:val="none"/>
          <w:lang w:val="en-US" w:eastAsia="zh-CN"/>
        </w:rPr>
        <w:t>托管账户</w:t>
      </w:r>
      <w:r>
        <w:rPr>
          <w:rFonts w:hint="default" w:ascii="Times New Roman" w:hAnsi="Times New Roman" w:eastAsia="方正仿宋_GBK" w:cs="Times New Roman"/>
          <w:color w:val="auto"/>
          <w:sz w:val="32"/>
          <w:szCs w:val="32"/>
          <w:u w:val="none"/>
          <w:lang w:val="en-US" w:eastAsia="zh-CN"/>
        </w:rPr>
        <w:t>，</w:t>
      </w:r>
      <w:r>
        <w:rPr>
          <w:rFonts w:hint="eastAsia" w:eastAsia="方正仿宋_GBK" w:cs="Times New Roman"/>
          <w:color w:val="auto"/>
          <w:sz w:val="32"/>
          <w:szCs w:val="32"/>
          <w:u w:val="none"/>
          <w:lang w:val="en-US" w:eastAsia="zh-CN"/>
        </w:rPr>
        <w:t>托管账户</w:t>
      </w:r>
      <w:r>
        <w:rPr>
          <w:rFonts w:hint="default" w:ascii="Times New Roman" w:hAnsi="Times New Roman" w:eastAsia="方正仿宋_GBK" w:cs="Times New Roman"/>
          <w:color w:val="auto"/>
          <w:sz w:val="32"/>
          <w:szCs w:val="32"/>
          <w:u w:val="none"/>
          <w:lang w:val="en-US" w:eastAsia="zh-CN"/>
        </w:rPr>
        <w:t>中的资金拨付须与授课进度同步、同比例，实行“消拨同步”。校</w:t>
      </w:r>
      <w:r>
        <w:rPr>
          <w:rFonts w:hint="default" w:ascii="Times New Roman" w:hAnsi="Times New Roman" w:eastAsia="方正仿宋_GBK" w:cs="Times New Roman"/>
          <w:b w:val="0"/>
          <w:bCs w:val="0"/>
          <w:color w:val="auto"/>
          <w:sz w:val="32"/>
          <w:szCs w:val="32"/>
          <w:u w:val="none"/>
          <w:lang w:val="en-US" w:eastAsia="zh-CN"/>
        </w:rPr>
        <w:t>外培训机构授课完成并经</w:t>
      </w:r>
      <w:r>
        <w:rPr>
          <w:rFonts w:hint="eastAsia" w:eastAsia="方正仿宋_GBK" w:cs="Times New Roman"/>
          <w:b w:val="0"/>
          <w:bCs w:val="0"/>
          <w:color w:val="auto"/>
          <w:sz w:val="32"/>
          <w:szCs w:val="32"/>
          <w:u w:val="none"/>
          <w:lang w:val="en-US" w:eastAsia="zh-CN"/>
        </w:rPr>
        <w:t>学员家长</w:t>
      </w:r>
      <w:r>
        <w:rPr>
          <w:rFonts w:hint="default" w:ascii="Times New Roman" w:hAnsi="Times New Roman" w:eastAsia="方正仿宋_GBK" w:cs="Times New Roman"/>
          <w:b w:val="0"/>
          <w:bCs w:val="0"/>
          <w:color w:val="auto"/>
          <w:sz w:val="32"/>
          <w:szCs w:val="32"/>
          <w:u w:val="none"/>
          <w:lang w:val="en-US" w:eastAsia="zh-CN"/>
        </w:rPr>
        <w:t>确认同意</w:t>
      </w:r>
      <w:r>
        <w:rPr>
          <w:rFonts w:hint="eastAsia" w:eastAsia="方正仿宋_GBK" w:cs="Times New Roman"/>
          <w:b w:val="0"/>
          <w:bCs w:val="0"/>
          <w:color w:val="auto"/>
          <w:sz w:val="32"/>
          <w:szCs w:val="32"/>
          <w:u w:val="none"/>
          <w:lang w:val="en-US" w:eastAsia="zh-CN"/>
        </w:rPr>
        <w:t>后</w:t>
      </w:r>
      <w:r>
        <w:rPr>
          <w:rFonts w:hint="default" w:ascii="Times New Roman" w:hAnsi="Times New Roman" w:eastAsia="方正仿宋_GBK" w:cs="Times New Roman"/>
          <w:b w:val="0"/>
          <w:bCs w:val="0"/>
          <w:color w:val="auto"/>
          <w:sz w:val="32"/>
          <w:szCs w:val="32"/>
          <w:u w:val="none"/>
          <w:lang w:val="en-US" w:eastAsia="zh-CN"/>
        </w:rPr>
        <w:t>，平台</w:t>
      </w:r>
      <w:r>
        <w:rPr>
          <w:rFonts w:hint="eastAsia" w:eastAsia="方正仿宋_GBK" w:cs="Times New Roman"/>
          <w:b w:val="0"/>
          <w:bCs w:val="0"/>
          <w:color w:val="auto"/>
          <w:sz w:val="32"/>
          <w:szCs w:val="32"/>
          <w:u w:val="none"/>
          <w:lang w:val="en-US" w:eastAsia="zh-CN"/>
        </w:rPr>
        <w:t>发送划拨指令，</w:t>
      </w:r>
      <w:r>
        <w:rPr>
          <w:rFonts w:hint="default" w:ascii="Times New Roman" w:hAnsi="Times New Roman" w:eastAsia="方正仿宋_GBK" w:cs="Times New Roman"/>
          <w:b w:val="0"/>
          <w:bCs w:val="0"/>
          <w:color w:val="auto"/>
          <w:sz w:val="32"/>
          <w:szCs w:val="32"/>
          <w:u w:val="none"/>
          <w:lang w:val="en-US" w:eastAsia="zh-CN"/>
        </w:rPr>
        <w:t>托管银行将相应资金拨付至校外培训机构结算账户</w:t>
      </w:r>
      <w:r>
        <w:rPr>
          <w:rFonts w:hint="eastAsia"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学员</w:t>
      </w:r>
      <w:r>
        <w:rPr>
          <w:rFonts w:hint="eastAsia" w:eastAsia="方正仿宋_GBK" w:cs="Times New Roman"/>
          <w:b w:val="0"/>
          <w:bCs w:val="0"/>
          <w:color w:val="auto"/>
          <w:sz w:val="32"/>
          <w:szCs w:val="32"/>
          <w:u w:val="none"/>
          <w:lang w:val="en-US" w:eastAsia="zh-CN"/>
        </w:rPr>
        <w:t>家长</w:t>
      </w:r>
      <w:r>
        <w:rPr>
          <w:rFonts w:hint="default" w:ascii="Times New Roman" w:hAnsi="Times New Roman" w:eastAsia="方正仿宋_GBK" w:cs="Times New Roman"/>
          <w:b w:val="0"/>
          <w:bCs w:val="0"/>
          <w:color w:val="auto"/>
          <w:sz w:val="32"/>
          <w:szCs w:val="32"/>
          <w:u w:val="none"/>
          <w:lang w:val="en-US" w:eastAsia="zh-CN"/>
        </w:rPr>
        <w:t>超过</w:t>
      </w:r>
      <w:r>
        <w:rPr>
          <w:rFonts w:hint="eastAsia" w:eastAsia="方正仿宋_GBK" w:cs="Times New Roman"/>
          <w:b w:val="0"/>
          <w:bCs w:val="0"/>
          <w:color w:val="auto"/>
          <w:sz w:val="32"/>
          <w:szCs w:val="32"/>
          <w:u w:val="none"/>
          <w:lang w:val="en-US" w:eastAsia="zh-CN"/>
        </w:rPr>
        <w:t>7</w:t>
      </w:r>
      <w:r>
        <w:rPr>
          <w:rFonts w:hint="default" w:ascii="Times New Roman" w:hAnsi="Times New Roman" w:eastAsia="方正仿宋_GBK" w:cs="Times New Roman"/>
          <w:b w:val="0"/>
          <w:bCs w:val="0"/>
          <w:color w:val="auto"/>
          <w:sz w:val="32"/>
          <w:szCs w:val="32"/>
          <w:u w:val="none"/>
          <w:lang w:val="en-US" w:eastAsia="zh-CN"/>
        </w:rPr>
        <w:t>日未确认的，</w:t>
      </w:r>
      <w:r>
        <w:rPr>
          <w:rFonts w:hint="eastAsia" w:eastAsia="方正仿宋_GBK" w:cs="Times New Roman"/>
          <w:b w:val="0"/>
          <w:bCs w:val="0"/>
          <w:color w:val="auto"/>
          <w:sz w:val="32"/>
          <w:szCs w:val="32"/>
          <w:u w:val="none"/>
          <w:lang w:val="en-US" w:eastAsia="zh-CN"/>
        </w:rPr>
        <w:t>平台自动发送划拨指令</w:t>
      </w:r>
      <w:r>
        <w:rPr>
          <w:rFonts w:hint="default" w:ascii="Times New Roman" w:hAnsi="Times New Roman" w:eastAsia="方正仿宋_GBK" w:cs="Times New Roman"/>
          <w:b w:val="0"/>
          <w:bCs w:val="0"/>
          <w:color w:val="auto"/>
          <w:sz w:val="32"/>
          <w:szCs w:val="32"/>
          <w:u w:val="none"/>
          <w:lang w:val="en-US" w:eastAsia="zh-CN"/>
        </w:rPr>
        <w:t>。</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校外培训机构要全面使用《中小学生校外培训服务合同（示范文本）》，严禁利用不公平格式条款侵害学员合法权益。</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eastAsia="方正仿宋_GBK" w:cs="Times New Roman"/>
          <w:color w:val="auto"/>
          <w:sz w:val="32"/>
          <w:szCs w:val="32"/>
          <w:u w:val="none"/>
          <w:lang w:val="en-US" w:eastAsia="zh-CN"/>
        </w:rPr>
      </w:pPr>
      <w:r>
        <w:rPr>
          <w:rFonts w:hint="eastAsia" w:eastAsia="方正仿宋_GBK" w:cs="Times New Roman"/>
          <w:color w:val="auto"/>
          <w:sz w:val="32"/>
          <w:szCs w:val="32"/>
          <w:u w:val="none"/>
          <w:lang w:val="en-US" w:eastAsia="zh-CN"/>
        </w:rPr>
        <w:t xml:space="preserve"> 签订培训合同时，</w:t>
      </w:r>
      <w:r>
        <w:rPr>
          <w:rFonts w:hint="eastAsia" w:eastAsia="方正仿宋_GBK" w:cs="Times New Roman"/>
          <w:b w:val="0"/>
          <w:bCs w:val="0"/>
          <w:color w:val="auto"/>
          <w:sz w:val="32"/>
          <w:szCs w:val="32"/>
          <w:u w:val="none"/>
          <w:lang w:val="en-US" w:eastAsia="zh-CN"/>
        </w:rPr>
        <w:t>校外培训机构和</w:t>
      </w:r>
      <w:r>
        <w:rPr>
          <w:rFonts w:hint="eastAsia" w:eastAsia="方正仿宋_GBK" w:cs="Times New Roman"/>
          <w:color w:val="auto"/>
          <w:sz w:val="32"/>
          <w:szCs w:val="32"/>
          <w:u w:val="none"/>
          <w:lang w:val="en-US" w:eastAsia="zh-CN"/>
        </w:rPr>
        <w:t>学员家长须一并签订《风险告知书》，并在《风险告知书》中如实填写培训课时和缴费信息。校外培训机构应于每月末将培训合同签订情况汇总成册，并将汇总表和合同对应的《风险告知书》留档备查。</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both"/>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第三章</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黑体_GBK" w:cs="Times New Roman"/>
          <w:color w:val="auto"/>
          <w:sz w:val="32"/>
          <w:szCs w:val="32"/>
          <w:u w:val="none"/>
          <w:lang w:val="en-US" w:eastAsia="zh-CN"/>
        </w:rPr>
        <w:t>风险</w:t>
      </w:r>
      <w:r>
        <w:rPr>
          <w:rFonts w:hint="eastAsia" w:ascii="Times New Roman" w:hAnsi="Times New Roman" w:eastAsia="方正黑体_GBK" w:cs="Times New Roman"/>
          <w:color w:val="auto"/>
          <w:sz w:val="32"/>
          <w:szCs w:val="32"/>
          <w:u w:val="none"/>
          <w:lang w:val="en-US" w:eastAsia="zh-CN"/>
        </w:rPr>
        <w:t>保证金管理</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both"/>
        <w:rPr>
          <w:rFonts w:hint="default" w:ascii="Times New Roman" w:hAnsi="Times New Roman" w:eastAsia="方正黑体_GBK" w:cs="Times New Roman"/>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eastAsia="方正仿宋_GBK" w:cs="Times New Roman"/>
          <w:color w:val="auto"/>
          <w:sz w:val="32"/>
          <w:szCs w:val="32"/>
          <w:u w:val="none"/>
          <w:lang w:val="en-US" w:eastAsia="zh-CN"/>
        </w:rPr>
        <w:t xml:space="preserve"> </w:t>
      </w:r>
      <w:r>
        <w:rPr>
          <w:rFonts w:hint="eastAsia" w:ascii="Times New Roman" w:hAnsi="Times New Roman" w:eastAsia="方正仿宋_GBK" w:cs="Times New Roman"/>
          <w:b w:val="0"/>
          <w:bCs w:val="0"/>
          <w:color w:val="auto"/>
          <w:sz w:val="32"/>
          <w:szCs w:val="32"/>
          <w:u w:val="none"/>
          <w:lang w:val="en-US" w:eastAsia="zh-CN"/>
        </w:rPr>
        <w:t>校外培训机构应</w:t>
      </w:r>
      <w:r>
        <w:rPr>
          <w:rFonts w:hint="eastAsia" w:eastAsia="方正仿宋_GBK" w:cs="Times New Roman"/>
          <w:color w:val="auto"/>
          <w:sz w:val="32"/>
          <w:szCs w:val="32"/>
          <w:u w:val="none"/>
          <w:lang w:val="en-US" w:eastAsia="zh-CN"/>
        </w:rPr>
        <w:t>在符合平台监管要求的银行</w:t>
      </w:r>
      <w:r>
        <w:rPr>
          <w:rFonts w:hint="eastAsia" w:ascii="Times New Roman" w:hAnsi="Times New Roman" w:eastAsia="方正仿宋_GBK" w:cs="Times New Roman"/>
          <w:color w:val="auto"/>
          <w:sz w:val="32"/>
          <w:szCs w:val="32"/>
          <w:u w:val="none"/>
          <w:lang w:val="en-US" w:eastAsia="zh-CN"/>
        </w:rPr>
        <w:t>设立风险保证金</w:t>
      </w:r>
      <w:r>
        <w:rPr>
          <w:rFonts w:hint="default" w:ascii="Times New Roman" w:hAnsi="Times New Roman" w:eastAsia="方正仿宋_GBK" w:cs="Times New Roman"/>
          <w:color w:val="auto"/>
          <w:sz w:val="32"/>
          <w:szCs w:val="32"/>
          <w:u w:val="none"/>
          <w:lang w:val="en-US" w:eastAsia="zh-CN"/>
        </w:rPr>
        <w:t>专用账户</w:t>
      </w:r>
      <w:r>
        <w:rPr>
          <w:rFonts w:hint="eastAsia" w:ascii="Times New Roman" w:hAnsi="Times New Roman" w:eastAsia="方正仿宋_GBK" w:cs="Times New Roman"/>
          <w:color w:val="auto"/>
          <w:sz w:val="32"/>
          <w:szCs w:val="32"/>
          <w:u w:val="none"/>
          <w:lang w:val="en-US" w:eastAsia="zh-CN"/>
        </w:rPr>
        <w:t>（以下简称“保证金账户”）</w:t>
      </w:r>
      <w:r>
        <w:rPr>
          <w:rFonts w:hint="default" w:ascii="Times New Roman" w:hAnsi="Times New Roman" w:eastAsia="方正仿宋_GBK" w:cs="Times New Roman"/>
          <w:color w:val="auto"/>
          <w:sz w:val="32"/>
          <w:szCs w:val="32"/>
          <w:u w:val="none"/>
          <w:lang w:val="en-US" w:eastAsia="zh-CN"/>
        </w:rPr>
        <w:t>，由</w:t>
      </w:r>
      <w:r>
        <w:rPr>
          <w:rFonts w:hint="eastAsia" w:ascii="Times New Roman" w:hAnsi="Times New Roman" w:eastAsia="方正仿宋_GBK" w:cs="Times New Roman"/>
          <w:color w:val="auto"/>
          <w:sz w:val="32"/>
          <w:szCs w:val="32"/>
          <w:u w:val="none"/>
          <w:lang w:val="en-US" w:eastAsia="zh-CN"/>
        </w:rPr>
        <w:t>校外培训</w:t>
      </w:r>
      <w:r>
        <w:rPr>
          <w:rFonts w:hint="default" w:ascii="Times New Roman" w:hAnsi="Times New Roman" w:eastAsia="方正仿宋_GBK" w:cs="Times New Roman"/>
          <w:color w:val="auto"/>
          <w:sz w:val="32"/>
          <w:szCs w:val="32"/>
          <w:u w:val="none"/>
          <w:lang w:val="en-US" w:eastAsia="zh-CN"/>
        </w:rPr>
        <w:t>机构举办者存入一定金额的</w:t>
      </w:r>
      <w:r>
        <w:rPr>
          <w:rFonts w:hint="eastAsia" w:ascii="Times New Roman" w:hAnsi="Times New Roman" w:eastAsia="方正仿宋_GBK" w:cs="Times New Roman"/>
          <w:color w:val="auto"/>
          <w:sz w:val="32"/>
          <w:szCs w:val="32"/>
          <w:u w:val="none"/>
          <w:lang w:val="en-US" w:eastAsia="zh-CN"/>
        </w:rPr>
        <w:t>风险保证金</w:t>
      </w:r>
      <w:r>
        <w:rPr>
          <w:rFonts w:hint="default" w:ascii="Times New Roman" w:hAnsi="Times New Roman" w:eastAsia="方正仿宋_GBK" w:cs="Times New Roman"/>
          <w:color w:val="auto"/>
          <w:sz w:val="32"/>
          <w:szCs w:val="32"/>
          <w:u w:val="none"/>
          <w:lang w:val="en-US" w:eastAsia="zh-CN"/>
        </w:rPr>
        <w:t>作为确保</w:t>
      </w:r>
      <w:r>
        <w:rPr>
          <w:rFonts w:hint="eastAsia" w:ascii="Times New Roman" w:hAnsi="Times New Roman" w:eastAsia="方正仿宋_GBK" w:cs="Times New Roman"/>
          <w:color w:val="auto"/>
          <w:sz w:val="32"/>
          <w:szCs w:val="32"/>
          <w:u w:val="none"/>
          <w:lang w:val="en-US" w:eastAsia="zh-CN"/>
        </w:rPr>
        <w:t>校外培训</w:t>
      </w:r>
      <w:r>
        <w:rPr>
          <w:rFonts w:hint="default" w:ascii="Times New Roman" w:hAnsi="Times New Roman" w:eastAsia="方正仿宋_GBK" w:cs="Times New Roman"/>
          <w:color w:val="auto"/>
          <w:sz w:val="32"/>
          <w:szCs w:val="32"/>
          <w:u w:val="none"/>
          <w:lang w:val="en-US" w:eastAsia="zh-CN"/>
        </w:rPr>
        <w:t>机构正常运营的资金保证。</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风险保证金</w:t>
      </w:r>
      <w:r>
        <w:rPr>
          <w:rFonts w:hint="default" w:ascii="Times New Roman" w:hAnsi="Times New Roman" w:eastAsia="方正仿宋_GBK" w:cs="Times New Roman"/>
          <w:color w:val="auto"/>
          <w:sz w:val="32"/>
          <w:szCs w:val="32"/>
          <w:u w:val="none"/>
          <w:lang w:val="en-US" w:eastAsia="zh-CN"/>
        </w:rPr>
        <w:t>最低额度不得低于校外培训机构收取的所有学员单个收费周期（3个月）的费用总金额。风险</w:t>
      </w:r>
      <w:r>
        <w:rPr>
          <w:rFonts w:hint="eastAsia" w:ascii="Times New Roman" w:hAnsi="Times New Roman" w:eastAsia="方正仿宋_GBK" w:cs="Times New Roman"/>
          <w:color w:val="auto"/>
          <w:sz w:val="32"/>
          <w:szCs w:val="32"/>
          <w:u w:val="none"/>
          <w:lang w:val="en-US" w:eastAsia="zh-CN"/>
        </w:rPr>
        <w:t>保证金</w:t>
      </w:r>
      <w:r>
        <w:rPr>
          <w:rFonts w:hint="default" w:ascii="Times New Roman" w:hAnsi="Times New Roman" w:eastAsia="方正仿宋_GBK" w:cs="Times New Roman"/>
          <w:color w:val="auto"/>
          <w:sz w:val="32"/>
          <w:szCs w:val="32"/>
          <w:u w:val="none"/>
          <w:lang w:val="en-US" w:eastAsia="zh-CN"/>
        </w:rPr>
        <w:t>额度由</w:t>
      </w:r>
      <w:r>
        <w:rPr>
          <w:rFonts w:hint="eastAsia" w:ascii="Times New Roman" w:hAnsi="Times New Roman" w:eastAsia="方正仿宋_GBK" w:cs="Times New Roman"/>
          <w:color w:val="auto"/>
          <w:sz w:val="32"/>
          <w:szCs w:val="32"/>
          <w:u w:val="none"/>
          <w:lang w:val="en-US" w:eastAsia="zh-CN"/>
        </w:rPr>
        <w:t>渝中区教育委员会</w:t>
      </w:r>
      <w:r>
        <w:rPr>
          <w:rFonts w:hint="default" w:ascii="Times New Roman" w:hAnsi="Times New Roman" w:eastAsia="方正仿宋_GBK" w:cs="Times New Roman"/>
          <w:color w:val="auto"/>
          <w:sz w:val="32"/>
          <w:szCs w:val="32"/>
          <w:u w:val="none"/>
          <w:lang w:val="en-US" w:eastAsia="zh-CN"/>
        </w:rPr>
        <w:t>负责核定，实行动态调整，并提供给托管银行，总金额可按上年度培训机构收取所有学员单个收费周期费用的平均值测算</w:t>
      </w:r>
      <w:r>
        <w:rPr>
          <w:rFonts w:hint="eastAsia" w:ascii="Times New Roman" w:hAnsi="Times New Roman" w:eastAsia="方正仿宋_GBK" w:cs="Times New Roman"/>
          <w:color w:val="auto"/>
          <w:sz w:val="32"/>
          <w:szCs w:val="32"/>
          <w:u w:val="none"/>
          <w:lang w:val="en-US" w:eastAsia="zh-CN"/>
        </w:rPr>
        <w:t>。</w:t>
      </w:r>
    </w:p>
    <w:p>
      <w:pPr>
        <w:widowControl/>
        <w:numPr>
          <w:ilvl w:val="0"/>
          <w:numId w:val="1"/>
        </w:numPr>
        <w:overflowPunct w:val="0"/>
        <w:spacing w:line="580" w:lineRule="exact"/>
        <w:ind w:firstLine="640" w:firstLineChars="200"/>
        <w:rPr>
          <w:rStyle w:val="4"/>
          <w:rFonts w:hint="eastAsia" w:ascii="Times New Roman" w:hAnsi="Times New Roman" w:eastAsia="方正仿宋_GBK" w:cs="Times New Roman"/>
          <w:color w:val="auto"/>
          <w:u w:val="none"/>
          <w:lang w:val="en-US" w:eastAsia="zh-CN"/>
        </w:rPr>
      </w:pPr>
      <w:r>
        <w:rPr>
          <w:rFonts w:hint="default" w:ascii="Times New Roman" w:hAnsi="Times New Roman" w:eastAsia="方正仿宋_GBK" w:cs="Times New Roman"/>
          <w:color w:val="auto"/>
          <w:sz w:val="32"/>
          <w:szCs w:val="32"/>
          <w:u w:val="none"/>
          <w:lang w:val="en-US" w:eastAsia="zh-CN"/>
        </w:rPr>
        <w:t>风险</w:t>
      </w:r>
      <w:r>
        <w:rPr>
          <w:rFonts w:hint="eastAsia" w:ascii="Times New Roman" w:hAnsi="Times New Roman" w:eastAsia="方正仿宋_GBK" w:cs="Times New Roman"/>
          <w:color w:val="auto"/>
          <w:sz w:val="32"/>
          <w:szCs w:val="32"/>
          <w:u w:val="none"/>
          <w:lang w:val="en-US" w:eastAsia="zh-CN"/>
        </w:rPr>
        <w:t>保证金由托管银行</w:t>
      </w:r>
      <w:r>
        <w:rPr>
          <w:rFonts w:hint="default" w:ascii="Times New Roman" w:hAnsi="Times New Roman" w:eastAsia="方正仿宋_GBK" w:cs="Times New Roman"/>
          <w:color w:val="auto"/>
          <w:sz w:val="32"/>
          <w:szCs w:val="32"/>
          <w:u w:val="none"/>
          <w:lang w:val="en-US" w:eastAsia="zh-CN"/>
        </w:rPr>
        <w:t>进行监管</w:t>
      </w:r>
      <w:r>
        <w:rPr>
          <w:rFonts w:hint="eastAsia" w:eastAsia="方正仿宋_GBK" w:cs="Times New Roman"/>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托管银行</w:t>
      </w:r>
      <w:r>
        <w:rPr>
          <w:rFonts w:hint="eastAsia" w:eastAsia="方正仿宋_GBK" w:cs="Times New Roman"/>
          <w:color w:val="auto"/>
          <w:sz w:val="32"/>
          <w:szCs w:val="32"/>
          <w:u w:val="none"/>
          <w:lang w:val="en-US" w:eastAsia="zh-CN"/>
        </w:rPr>
        <w:t>应当分别与</w:t>
      </w:r>
      <w:r>
        <w:rPr>
          <w:rFonts w:hint="eastAsia" w:ascii="Times New Roman" w:hAnsi="Times New Roman" w:eastAsia="方正仿宋_GBK" w:cs="Times New Roman"/>
          <w:color w:val="auto"/>
          <w:sz w:val="32"/>
          <w:szCs w:val="32"/>
          <w:u w:val="none"/>
          <w:lang w:val="en-US" w:eastAsia="zh-CN"/>
        </w:rPr>
        <w:t>校外培训机构</w:t>
      </w:r>
      <w:r>
        <w:rPr>
          <w:rFonts w:hint="eastAsia" w:eastAsia="方正仿宋_GBK" w:cs="Times New Roman"/>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渝中区教育委员会签订资金监管协议，对监管对象、监管方式</w:t>
      </w:r>
      <w:r>
        <w:rPr>
          <w:rFonts w:hint="eastAsia" w:eastAsia="方正仿宋_GBK" w:cs="Times New Roman"/>
          <w:color w:val="auto"/>
          <w:sz w:val="32"/>
          <w:szCs w:val="32"/>
          <w:u w:val="none"/>
          <w:lang w:val="en-US" w:eastAsia="zh-CN"/>
        </w:rPr>
        <w:t>、使用情形</w:t>
      </w:r>
      <w:r>
        <w:rPr>
          <w:rFonts w:hint="eastAsia" w:ascii="Times New Roman" w:hAnsi="Times New Roman" w:eastAsia="方正仿宋_GBK" w:cs="Times New Roman"/>
          <w:color w:val="auto"/>
          <w:sz w:val="32"/>
          <w:szCs w:val="32"/>
          <w:u w:val="none"/>
          <w:lang w:val="en-US" w:eastAsia="zh-CN"/>
        </w:rPr>
        <w:t>等内容进行约定。</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学员家长提出退费要求的，校外培训机构</w:t>
      </w:r>
      <w:r>
        <w:rPr>
          <w:rFonts w:hint="eastAsia" w:eastAsia="方正仿宋_GBK" w:cs="Times New Roman"/>
          <w:color w:val="auto"/>
          <w:sz w:val="32"/>
          <w:szCs w:val="32"/>
          <w:u w:val="none"/>
          <w:lang w:val="en-US" w:eastAsia="zh-CN"/>
        </w:rPr>
        <w:t>按照与</w:t>
      </w:r>
      <w:r>
        <w:rPr>
          <w:rFonts w:hint="eastAsia" w:ascii="Times New Roman" w:hAnsi="Times New Roman" w:eastAsia="方正仿宋_GBK" w:cs="Times New Roman"/>
          <w:color w:val="auto"/>
          <w:sz w:val="32"/>
          <w:szCs w:val="32"/>
          <w:u w:val="none"/>
          <w:lang w:val="en-US" w:eastAsia="zh-CN"/>
        </w:rPr>
        <w:t>学员家长签订的《中小学生校外培训服务合同（示范文本）》中的“培训退费”条款约定处理。</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校外培训机构申请终止办学的，其风险</w:t>
      </w:r>
      <w:r>
        <w:rPr>
          <w:rFonts w:hint="eastAsia" w:ascii="Times New Roman" w:hAnsi="Times New Roman" w:eastAsia="方正仿宋_GBK" w:cs="Times New Roman"/>
          <w:color w:val="auto"/>
          <w:sz w:val="32"/>
          <w:szCs w:val="32"/>
          <w:u w:val="none"/>
          <w:lang w:val="en-US" w:eastAsia="zh-CN"/>
        </w:rPr>
        <w:t>保证金作为</w:t>
      </w:r>
      <w:r>
        <w:rPr>
          <w:rFonts w:hint="default" w:ascii="Times New Roman" w:hAnsi="Times New Roman" w:eastAsia="方正仿宋_GBK" w:cs="Times New Roman"/>
          <w:color w:val="auto"/>
          <w:sz w:val="32"/>
          <w:szCs w:val="32"/>
          <w:u w:val="none"/>
          <w:lang w:val="en-US" w:eastAsia="zh-CN"/>
        </w:rPr>
        <w:t>校外培训机构</w:t>
      </w:r>
      <w:r>
        <w:rPr>
          <w:rFonts w:hint="eastAsia" w:ascii="Times New Roman" w:hAnsi="Times New Roman" w:eastAsia="方正仿宋_GBK" w:cs="Times New Roman"/>
          <w:color w:val="auto"/>
          <w:sz w:val="32"/>
          <w:szCs w:val="32"/>
          <w:u w:val="none"/>
          <w:lang w:val="en-US" w:eastAsia="zh-CN"/>
        </w:rPr>
        <w:t>资产，按照《民办教育促进法》的规定分配。</w:t>
      </w:r>
    </w:p>
    <w:p>
      <w:pPr>
        <w:keepNext w:val="0"/>
        <w:keepLines w:val="0"/>
        <w:pageBreakBefore w:val="0"/>
        <w:widowControl/>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第四章  风险预警</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both"/>
        <w:rPr>
          <w:rFonts w:hint="default" w:ascii="Times New Roman" w:hAnsi="Times New Roman" w:eastAsia="方正仿宋_GBK" w:cs="Times New Roman"/>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40"/>
          <w:u w:val="none"/>
          <w:lang w:val="en-US" w:eastAsia="zh-CN"/>
        </w:rPr>
        <w:t>渝中区教育委员会与税务、市场监管等部门及时共享各部门发现的校外培训机构异常信息。</w:t>
      </w:r>
      <w:r>
        <w:rPr>
          <w:rFonts w:hint="eastAsia" w:ascii="Times New Roman" w:hAnsi="Times New Roman" w:eastAsia="方正仿宋_GBK" w:cs="Times New Roman"/>
          <w:b w:val="0"/>
          <w:bCs w:val="0"/>
          <w:color w:val="auto"/>
          <w:sz w:val="32"/>
          <w:szCs w:val="32"/>
          <w:u w:val="none"/>
          <w:lang w:val="en-US" w:eastAsia="zh-CN"/>
        </w:rPr>
        <w:t>渝中区教育委员会、渝中区市场监督管理局</w:t>
      </w:r>
      <w:r>
        <w:rPr>
          <w:rFonts w:hint="eastAsia" w:eastAsia="方正仿宋_GBK" w:cs="Times New Roman"/>
          <w:b w:val="0"/>
          <w:bCs w:val="0"/>
          <w:color w:val="auto"/>
          <w:sz w:val="32"/>
          <w:szCs w:val="32"/>
          <w:u w:val="none"/>
          <w:lang w:val="en-US" w:eastAsia="zh-CN"/>
        </w:rPr>
        <w:t>结合异</w:t>
      </w:r>
      <w:r>
        <w:rPr>
          <w:rFonts w:hint="eastAsia" w:eastAsia="方正仿宋_GBK" w:cs="Times New Roman"/>
          <w:color w:val="auto"/>
          <w:sz w:val="32"/>
          <w:szCs w:val="32"/>
          <w:u w:val="none"/>
          <w:lang w:val="en-US" w:eastAsia="zh-CN"/>
        </w:rPr>
        <w:t>常信息研判预收费监管风险，并依法依规处置</w:t>
      </w:r>
      <w:r>
        <w:rPr>
          <w:rFonts w:hint="eastAsia" w:ascii="Times New Roman" w:hAnsi="Times New Roman" w:eastAsia="方正仿宋_GBK" w:cs="Times New Roman"/>
          <w:color w:val="auto"/>
          <w:sz w:val="32"/>
          <w:szCs w:val="32"/>
          <w:u w:val="none"/>
          <w:lang w:val="en-US" w:eastAsia="zh-CN"/>
        </w:rPr>
        <w:t>。</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校外培训机构应与托管银行签订</w:t>
      </w:r>
      <w:r>
        <w:rPr>
          <w:rFonts w:hint="eastAsia" w:ascii="Times New Roman" w:hAnsi="Times New Roman" w:eastAsia="方正仿宋_GBK" w:cs="Times New Roman"/>
          <w:color w:val="auto"/>
          <w:sz w:val="32"/>
          <w:szCs w:val="32"/>
          <w:u w:val="none"/>
          <w:lang w:val="en-US" w:eastAsia="zh-CN"/>
        </w:rPr>
        <w:t>托管账户及保证金账户</w:t>
      </w:r>
      <w:r>
        <w:rPr>
          <w:rFonts w:hint="default" w:ascii="Times New Roman" w:hAnsi="Times New Roman" w:eastAsia="方正仿宋_GBK" w:cs="Times New Roman"/>
          <w:color w:val="auto"/>
          <w:sz w:val="32"/>
          <w:szCs w:val="32"/>
          <w:u w:val="none"/>
          <w:lang w:val="en-US" w:eastAsia="zh-CN"/>
        </w:rPr>
        <w:t>管理协议，授权托管银行对</w:t>
      </w:r>
      <w:r>
        <w:rPr>
          <w:rFonts w:hint="eastAsia" w:ascii="Times New Roman" w:hAnsi="Times New Roman" w:eastAsia="方正仿宋_GBK" w:cs="Times New Roman"/>
          <w:color w:val="auto"/>
          <w:sz w:val="32"/>
          <w:szCs w:val="32"/>
          <w:u w:val="none"/>
          <w:lang w:val="en-US" w:eastAsia="zh-CN"/>
        </w:rPr>
        <w:t>托管账户及保证金</w:t>
      </w:r>
      <w:r>
        <w:rPr>
          <w:rFonts w:hint="default" w:ascii="Times New Roman" w:hAnsi="Times New Roman" w:eastAsia="方正仿宋_GBK" w:cs="Times New Roman"/>
          <w:color w:val="auto"/>
          <w:sz w:val="32"/>
          <w:szCs w:val="32"/>
          <w:u w:val="none"/>
          <w:lang w:val="en-US" w:eastAsia="zh-CN"/>
        </w:rPr>
        <w:t>账户进行资金监测</w:t>
      </w:r>
      <w:r>
        <w:rPr>
          <w:rFonts w:hint="eastAsia" w:ascii="Times New Roman" w:hAnsi="Times New Roman" w:eastAsia="方正仿宋_GBK" w:cs="Times New Roman"/>
          <w:color w:val="auto"/>
          <w:sz w:val="32"/>
          <w:szCs w:val="32"/>
          <w:u w:val="none"/>
          <w:lang w:val="en-US" w:eastAsia="zh-CN"/>
        </w:rPr>
        <w:t>，并</w:t>
      </w:r>
      <w:r>
        <w:rPr>
          <w:rFonts w:hint="default" w:ascii="Times New Roman" w:hAnsi="Times New Roman" w:eastAsia="方正仿宋_GBK" w:cs="Times New Roman"/>
          <w:color w:val="auto"/>
          <w:sz w:val="32"/>
          <w:szCs w:val="32"/>
          <w:u w:val="none"/>
          <w:lang w:val="en-US" w:eastAsia="zh-CN"/>
        </w:rPr>
        <w:t>向</w:t>
      </w:r>
      <w:r>
        <w:rPr>
          <w:rFonts w:hint="eastAsia" w:ascii="Times New Roman" w:hAnsi="Times New Roman" w:eastAsia="方正仿宋_GBK" w:cs="Times New Roman"/>
          <w:color w:val="auto"/>
          <w:sz w:val="32"/>
          <w:szCs w:val="32"/>
          <w:u w:val="none"/>
          <w:lang w:val="en-US" w:eastAsia="zh-CN"/>
        </w:rPr>
        <w:t>渝中区教育委员会</w:t>
      </w:r>
      <w:r>
        <w:rPr>
          <w:rFonts w:hint="default" w:ascii="Times New Roman" w:hAnsi="Times New Roman" w:eastAsia="方正仿宋_GBK" w:cs="Times New Roman"/>
          <w:color w:val="auto"/>
          <w:sz w:val="32"/>
          <w:szCs w:val="32"/>
          <w:u w:val="none"/>
          <w:lang w:val="en-US" w:eastAsia="zh-CN"/>
        </w:rPr>
        <w:t>提供资金</w:t>
      </w:r>
      <w:r>
        <w:rPr>
          <w:rFonts w:hint="eastAsia" w:ascii="Times New Roman" w:hAnsi="Times New Roman" w:eastAsia="方正仿宋_GBK" w:cs="Times New Roman"/>
          <w:color w:val="auto"/>
          <w:sz w:val="32"/>
          <w:szCs w:val="32"/>
          <w:u w:val="none"/>
          <w:lang w:val="en-US" w:eastAsia="zh-CN"/>
        </w:rPr>
        <w:t>监测</w:t>
      </w:r>
      <w:r>
        <w:rPr>
          <w:rFonts w:hint="default" w:ascii="Times New Roman" w:hAnsi="Times New Roman" w:eastAsia="方正仿宋_GBK" w:cs="Times New Roman"/>
          <w:color w:val="auto"/>
          <w:sz w:val="32"/>
          <w:szCs w:val="32"/>
          <w:u w:val="none"/>
          <w:lang w:val="en-US" w:eastAsia="zh-CN"/>
        </w:rPr>
        <w:t>信息</w:t>
      </w:r>
      <w:r>
        <w:rPr>
          <w:rFonts w:hint="eastAsia" w:ascii="Times New Roman" w:hAnsi="Times New Roman" w:eastAsia="方正仿宋_GBK" w:cs="Times New Roman"/>
          <w:color w:val="auto"/>
          <w:sz w:val="32"/>
          <w:szCs w:val="32"/>
          <w:u w:val="none"/>
          <w:lang w:val="en-US" w:eastAsia="zh-CN"/>
        </w:rPr>
        <w:t>，以便掌握</w:t>
      </w:r>
      <w:r>
        <w:rPr>
          <w:rFonts w:hint="default" w:ascii="Times New Roman" w:hAnsi="Times New Roman" w:eastAsia="方正仿宋_GBK" w:cs="Times New Roman"/>
          <w:color w:val="auto"/>
          <w:sz w:val="32"/>
          <w:szCs w:val="32"/>
          <w:u w:val="none"/>
          <w:lang w:val="en-US" w:eastAsia="zh-CN"/>
        </w:rPr>
        <w:t>资金使用情况。</w:t>
      </w:r>
    </w:p>
    <w:p>
      <w:pPr>
        <w:keepNext w:val="0"/>
        <w:keepLines w:val="0"/>
        <w:pageBreakBefore w:val="0"/>
        <w:widowControl/>
        <w:kinsoku/>
        <w:wordWrap/>
        <w:overflowPunct w:val="0"/>
        <w:topLinePunct w:val="0"/>
        <w:autoSpaceDE/>
        <w:autoSpaceDN/>
        <w:bidi w:val="0"/>
        <w:adjustRightInd/>
        <w:snapToGrid/>
        <w:spacing w:line="580" w:lineRule="exact"/>
        <w:jc w:val="both"/>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第五章  信息公开</w:t>
      </w:r>
    </w:p>
    <w:p>
      <w:pPr>
        <w:keepNext w:val="0"/>
        <w:keepLines w:val="0"/>
        <w:pageBreakBefore w:val="0"/>
        <w:widowControl/>
        <w:kinsoku/>
        <w:wordWrap/>
        <w:overflowPunct w:val="0"/>
        <w:topLinePunct w:val="0"/>
        <w:autoSpaceDE/>
        <w:autoSpaceDN/>
        <w:bidi w:val="0"/>
        <w:adjustRightInd/>
        <w:snapToGrid/>
        <w:spacing w:line="580" w:lineRule="exact"/>
        <w:ind w:firstLine="643" w:firstLineChars="200"/>
        <w:jc w:val="both"/>
        <w:rPr>
          <w:rFonts w:hint="eastAsia" w:ascii="Times New Roman" w:hAnsi="Times New Roman" w:eastAsia="方正仿宋_GBK" w:cs="Times New Roman"/>
          <w:b/>
          <w:bCs/>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校外培训机构应当将</w:t>
      </w:r>
      <w:r>
        <w:rPr>
          <w:rFonts w:hint="default" w:ascii="Times New Roman" w:hAnsi="Times New Roman" w:eastAsia="方正仿宋_GBK" w:cs="Times New Roman"/>
          <w:color w:val="auto"/>
          <w:sz w:val="32"/>
          <w:szCs w:val="32"/>
          <w:u w:val="none"/>
          <w:lang w:val="en-US" w:eastAsia="zh-CN"/>
        </w:rPr>
        <w:t>办学许可证、民办非企业单位登记证书或营业执照、收费项目与标准、</w:t>
      </w:r>
      <w:r>
        <w:rPr>
          <w:rFonts w:hint="eastAsia" w:ascii="Times New Roman" w:hAnsi="Times New Roman" w:eastAsia="方正仿宋_GBK" w:cs="Times New Roman"/>
          <w:color w:val="auto"/>
          <w:sz w:val="32"/>
          <w:szCs w:val="32"/>
          <w:u w:val="none"/>
          <w:lang w:val="en-US" w:eastAsia="zh-CN"/>
        </w:rPr>
        <w:t>预收费资金托管专用账户</w:t>
      </w:r>
      <w:r>
        <w:rPr>
          <w:rFonts w:hint="default" w:ascii="Times New Roman" w:hAnsi="Times New Roman" w:eastAsia="方正仿宋_GBK" w:cs="Times New Roman"/>
          <w:color w:val="auto"/>
          <w:sz w:val="32"/>
          <w:szCs w:val="32"/>
          <w:u w:val="none"/>
          <w:lang w:val="en-US" w:eastAsia="zh-CN"/>
        </w:rPr>
        <w:t>、投诉电话等信息在校外培训机构办学场所、网站等显著位置进行公示，并于培训服务前向学员明示</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不得在公示的项目和标准外收取其他费用，不得以任何名义摊派费用或者强行集资</w:t>
      </w:r>
      <w:r>
        <w:rPr>
          <w:rFonts w:hint="eastAsia" w:ascii="Times New Roman" w:hAnsi="Times New Roman" w:eastAsia="方正仿宋_GBK" w:cs="Times New Roman"/>
          <w:color w:val="auto"/>
          <w:sz w:val="32"/>
          <w:szCs w:val="32"/>
          <w:u w:val="none"/>
          <w:lang w:val="en-US" w:eastAsia="zh-CN"/>
        </w:rPr>
        <w:t>。</w:t>
      </w:r>
    </w:p>
    <w:p>
      <w:pPr>
        <w:keepNext w:val="0"/>
        <w:keepLines w:val="0"/>
        <w:pageBreakBefore w:val="0"/>
        <w:widowControl/>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仿宋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 xml:space="preserve">第六章  </w:t>
      </w:r>
      <w:r>
        <w:rPr>
          <w:rFonts w:hint="default" w:ascii="Times New Roman" w:hAnsi="Times New Roman" w:eastAsia="方正黑体_GBK" w:cs="Times New Roman"/>
          <w:b/>
          <w:bCs/>
          <w:color w:val="auto"/>
          <w:sz w:val="32"/>
          <w:szCs w:val="32"/>
          <w:u w:val="none"/>
          <w:lang w:val="en-US" w:eastAsia="zh-CN"/>
        </w:rPr>
        <w:t>联合监管机制</w:t>
      </w:r>
    </w:p>
    <w:p>
      <w:pPr>
        <w:keepNext w:val="0"/>
        <w:keepLines w:val="0"/>
        <w:pageBreakBefore w:val="0"/>
        <w:widowControl/>
        <w:kinsoku/>
        <w:wordWrap/>
        <w:overflowPunct w:val="0"/>
        <w:topLinePunct w:val="0"/>
        <w:autoSpaceDE/>
        <w:autoSpaceDN/>
        <w:bidi w:val="0"/>
        <w:adjustRightInd/>
        <w:snapToGrid/>
        <w:spacing w:line="580" w:lineRule="exact"/>
        <w:ind w:firstLine="643" w:firstLineChars="200"/>
        <w:jc w:val="both"/>
        <w:rPr>
          <w:rFonts w:hint="eastAsia" w:ascii="Times New Roman" w:hAnsi="Times New Roman" w:eastAsia="方正仿宋_GBK" w:cs="Times New Roman"/>
          <w:b/>
          <w:bCs/>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建立教育、发改、市场监管、民政、税务、公安等部门参与的</w:t>
      </w:r>
      <w:r>
        <w:rPr>
          <w:rFonts w:hint="default" w:ascii="Times New Roman" w:hAnsi="Times New Roman" w:eastAsia="方正仿宋_GBK" w:cs="Times New Roman"/>
          <w:color w:val="auto"/>
          <w:sz w:val="32"/>
          <w:szCs w:val="32"/>
          <w:u w:val="none"/>
          <w:lang w:val="en-US" w:eastAsia="zh-CN"/>
        </w:rPr>
        <w:t>联合监管机制，形成监管合力</w:t>
      </w:r>
      <w:r>
        <w:rPr>
          <w:rFonts w:hint="eastAsia" w:ascii="Times New Roman" w:hAnsi="Times New Roman" w:eastAsia="方正仿宋_GBK" w:cs="Times New Roman"/>
          <w:color w:val="auto"/>
          <w:sz w:val="32"/>
          <w:szCs w:val="32"/>
          <w:u w:val="none"/>
          <w:lang w:val="en-US" w:eastAsia="zh-CN"/>
        </w:rPr>
        <w:t>，将预收费监管列入对校外培训机构的日常监管、专项检查、年审年检和教育督</w:t>
      </w:r>
      <w:r>
        <w:rPr>
          <w:rFonts w:hint="eastAsia" w:ascii="Times New Roman" w:hAnsi="Times New Roman" w:eastAsia="方正仿宋_GBK" w:cs="Times New Roman"/>
          <w:b w:val="0"/>
          <w:bCs w:val="0"/>
          <w:color w:val="auto"/>
          <w:sz w:val="32"/>
          <w:szCs w:val="32"/>
          <w:u w:val="none"/>
          <w:lang w:val="en-US" w:eastAsia="zh-CN"/>
        </w:rPr>
        <w:t>导范围，确保培训服务交易安全，切实维护社会大局稳定。</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渝中区教育委员会负责牵头做好非学科类培训机构的行政审批、日常监管、年度检查事项处理，全国校外教育培训监管与服务综合平台的管理使用。</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渝中区发展与改革委会同渝中区教育委员会对非学科类校外培训机构收费标准进行备案，落实相关收费政策。</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w:t>
      </w:r>
      <w:r>
        <w:rPr>
          <w:rFonts w:hint="eastAsia" w:eastAsia="方正仿宋_GBK" w:cs="Times New Roman"/>
          <w:b w:val="0"/>
          <w:bCs w:val="0"/>
          <w:color w:val="auto"/>
          <w:sz w:val="32"/>
          <w:szCs w:val="32"/>
          <w:u w:val="none"/>
          <w:lang w:val="en-US" w:eastAsia="zh-CN"/>
        </w:rPr>
        <w:t>渝中区市场监督</w:t>
      </w:r>
      <w:r>
        <w:rPr>
          <w:rFonts w:hint="eastAsia" w:eastAsia="方正仿宋_GBK" w:cs="Times New Roman"/>
          <w:color w:val="auto"/>
          <w:sz w:val="32"/>
          <w:szCs w:val="32"/>
          <w:u w:val="none"/>
          <w:lang w:val="en-US" w:eastAsia="zh-CN"/>
        </w:rPr>
        <w:t>管理局</w:t>
      </w:r>
      <w:r>
        <w:rPr>
          <w:rFonts w:hint="eastAsia" w:ascii="Times New Roman" w:hAnsi="Times New Roman" w:eastAsia="方正仿宋_GBK" w:cs="Times New Roman"/>
          <w:color w:val="auto"/>
          <w:sz w:val="32"/>
          <w:szCs w:val="32"/>
          <w:u w:val="none"/>
          <w:lang w:val="en-US" w:eastAsia="zh-CN"/>
        </w:rPr>
        <w:t>负责营利性非学科类培训机构登记及价格监管工作。</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渝中区民政局负责非营利性非学科类培训机构的登记、监管、年检及违规行为查处等工作。必要时，单独或联合有关部门开展行政执法及督查检查工作。</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渝中区税务局负责监管校外培训机构纳税情况，依法查处校外培训机构涉税违法行为。</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渝中区公安分局负责联动开展情报信息搜集研判和预警预防工作，做好相关涉稳事件应急处置，依法查处利用培训之名实施诈骗、组织培训贷，以及“恶意关停”、“卷钱跑路”等涉嫌违法犯罪的行为。</w:t>
      </w:r>
    </w:p>
    <w:p>
      <w:pPr>
        <w:keepNext w:val="0"/>
        <w:keepLines w:val="0"/>
        <w:pageBreakBefore w:val="0"/>
        <w:widowControl/>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 xml:space="preserve">第七章  </w:t>
      </w:r>
      <w:r>
        <w:rPr>
          <w:rFonts w:hint="default" w:ascii="Times New Roman" w:hAnsi="Times New Roman" w:eastAsia="方正黑体_GBK" w:cs="Times New Roman"/>
          <w:b/>
          <w:bCs/>
          <w:color w:val="auto"/>
          <w:sz w:val="32"/>
          <w:szCs w:val="32"/>
          <w:u w:val="none"/>
          <w:lang w:val="en-US" w:eastAsia="zh-CN"/>
        </w:rPr>
        <w:t>投诉处理</w:t>
      </w:r>
    </w:p>
    <w:p>
      <w:pPr>
        <w:keepNext w:val="0"/>
        <w:keepLines w:val="0"/>
        <w:pageBreakBefore w:val="0"/>
        <w:widowControl/>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渝中区教育委员会和渝中区市场监督管理局</w:t>
      </w:r>
      <w:r>
        <w:rPr>
          <w:rFonts w:hint="default" w:ascii="Times New Roman" w:hAnsi="Times New Roman" w:eastAsia="方正仿宋_GBK" w:cs="Times New Roman"/>
          <w:color w:val="auto"/>
          <w:sz w:val="32"/>
          <w:szCs w:val="32"/>
          <w:u w:val="none"/>
          <w:lang w:val="en-US" w:eastAsia="zh-CN"/>
        </w:rPr>
        <w:t>设立专门的投诉举报渠道，及时受理和处理消费者对</w:t>
      </w:r>
      <w:r>
        <w:rPr>
          <w:rFonts w:hint="eastAsia" w:ascii="Times New Roman" w:hAnsi="Times New Roman" w:eastAsia="方正仿宋_GBK" w:cs="Times New Roman"/>
          <w:color w:val="auto"/>
          <w:sz w:val="32"/>
          <w:szCs w:val="32"/>
          <w:u w:val="none"/>
          <w:lang w:val="en-US" w:eastAsia="zh-CN"/>
        </w:rPr>
        <w:t>校外</w:t>
      </w:r>
      <w:r>
        <w:rPr>
          <w:rFonts w:hint="default" w:ascii="Times New Roman" w:hAnsi="Times New Roman" w:eastAsia="方正仿宋_GBK" w:cs="Times New Roman"/>
          <w:color w:val="auto"/>
          <w:sz w:val="32"/>
          <w:szCs w:val="32"/>
          <w:u w:val="none"/>
          <w:lang w:val="en-US" w:eastAsia="zh-CN"/>
        </w:rPr>
        <w:t>培训机构的投诉举报</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对于查实的违规行为，依法依规严肃处理，并将处理结果向社会公布。学员家长与机构因收退费问题发生争议的，可以通过下列途径解决：</w:t>
      </w:r>
    </w:p>
    <w:p>
      <w:pPr>
        <w:keepNext w:val="0"/>
        <w:keepLines w:val="0"/>
        <w:pageBreakBefore w:val="0"/>
        <w:widowControl/>
        <w:numPr>
          <w:ilvl w:val="0"/>
          <w:numId w:val="2"/>
        </w:numPr>
        <w:kinsoku/>
        <w:wordWrap/>
        <w:overflowPunct w:val="0"/>
        <w:topLinePunct w:val="0"/>
        <w:autoSpaceDE/>
        <w:autoSpaceDN/>
        <w:bidi w:val="0"/>
        <w:adjustRightInd/>
        <w:snapToGrid/>
        <w:spacing w:line="580" w:lineRule="exact"/>
        <w:ind w:left="0" w:leftChars="0" w:firstLine="640" w:firstLineChars="200"/>
        <w:jc w:val="both"/>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学员与机构协商解决；</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bCs/>
          <w:color w:val="auto"/>
          <w:sz w:val="32"/>
          <w:szCs w:val="32"/>
          <w:highlight w:val="none"/>
          <w:u w:val="none"/>
          <w:lang w:val="en-US" w:eastAsia="zh-CN"/>
        </w:rPr>
      </w:pPr>
      <w:r>
        <w:rPr>
          <w:rFonts w:hint="eastAsia" w:eastAsia="方正仿宋_GBK" w:cs="Times New Roman"/>
          <w:color w:val="auto"/>
          <w:sz w:val="32"/>
          <w:szCs w:val="32"/>
          <w:u w:val="none"/>
          <w:lang w:val="en-US" w:eastAsia="zh-CN"/>
        </w:rPr>
        <w:t>（二）</w:t>
      </w:r>
      <w:r>
        <w:rPr>
          <w:rFonts w:hint="default" w:ascii="Times New Roman" w:hAnsi="Times New Roman" w:eastAsia="方正仿宋_GBK" w:cs="Times New Roman"/>
          <w:color w:val="auto"/>
          <w:sz w:val="32"/>
          <w:szCs w:val="32"/>
          <w:u w:val="none"/>
          <w:lang w:val="en-US" w:eastAsia="zh-CN"/>
        </w:rPr>
        <w:t>向</w:t>
      </w:r>
      <w:r>
        <w:rPr>
          <w:rFonts w:hint="eastAsia" w:ascii="Times New Roman" w:hAnsi="Times New Roman" w:eastAsia="方正仿宋_GBK" w:cs="Times New Roman"/>
          <w:color w:val="auto"/>
          <w:sz w:val="32"/>
          <w:szCs w:val="32"/>
          <w:u w:val="none"/>
          <w:lang w:val="en-US" w:eastAsia="zh-CN"/>
        </w:rPr>
        <w:t>相关</w:t>
      </w:r>
      <w:r>
        <w:rPr>
          <w:rFonts w:hint="default" w:ascii="Times New Roman" w:hAnsi="Times New Roman" w:eastAsia="方正仿宋_GBK" w:cs="Times New Roman"/>
          <w:color w:val="auto"/>
          <w:sz w:val="32"/>
          <w:szCs w:val="32"/>
          <w:u w:val="none"/>
          <w:lang w:val="en-US" w:eastAsia="zh-CN"/>
        </w:rPr>
        <w:t>部门投诉；</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bCs/>
          <w:color w:val="auto"/>
          <w:sz w:val="32"/>
          <w:szCs w:val="32"/>
          <w:highlight w:val="none"/>
          <w:u w:val="none"/>
          <w:lang w:val="en-US" w:eastAsia="zh-CN"/>
        </w:rPr>
      </w:pPr>
      <w:r>
        <w:rPr>
          <w:rFonts w:hint="eastAsia" w:eastAsia="方正仿宋_GBK" w:cs="Times New Roman"/>
          <w:color w:val="auto"/>
          <w:sz w:val="32"/>
          <w:szCs w:val="32"/>
          <w:u w:val="none"/>
          <w:lang w:val="en-US" w:eastAsia="zh-CN"/>
        </w:rPr>
        <w:t>（三）</w:t>
      </w:r>
      <w:r>
        <w:rPr>
          <w:rFonts w:hint="default" w:ascii="Times New Roman" w:hAnsi="Times New Roman" w:eastAsia="方正仿宋_GBK" w:cs="Times New Roman"/>
          <w:color w:val="auto"/>
          <w:sz w:val="32"/>
          <w:szCs w:val="32"/>
          <w:u w:val="none"/>
          <w:lang w:val="en-US" w:eastAsia="zh-CN"/>
        </w:rPr>
        <w:t>请求消费者协会组织调解；</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eastAsia="方正仿宋_GBK" w:cs="Times New Roman"/>
          <w:color w:val="auto"/>
          <w:sz w:val="32"/>
          <w:szCs w:val="32"/>
          <w:u w:val="none"/>
          <w:lang w:val="en-US" w:eastAsia="zh-CN"/>
        </w:rPr>
        <w:t>（四）</w:t>
      </w:r>
      <w:r>
        <w:rPr>
          <w:rFonts w:hint="default" w:ascii="Times New Roman" w:hAnsi="Times New Roman" w:eastAsia="方正仿宋_GBK" w:cs="Times New Roman"/>
          <w:color w:val="auto"/>
          <w:sz w:val="32"/>
          <w:szCs w:val="32"/>
          <w:u w:val="none"/>
          <w:lang w:val="en-US" w:eastAsia="zh-CN"/>
        </w:rPr>
        <w:t>根据与机构达成的仲裁协议提请仲裁机构仲裁；</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eastAsia="方正仿宋_GBK" w:cs="Times New Roman"/>
          <w:color w:val="auto"/>
          <w:sz w:val="32"/>
          <w:szCs w:val="32"/>
          <w:u w:val="none"/>
          <w:lang w:val="en-US" w:eastAsia="zh-CN"/>
        </w:rPr>
        <w:t>（五）</w:t>
      </w:r>
      <w:r>
        <w:rPr>
          <w:rFonts w:hint="default" w:ascii="Times New Roman" w:hAnsi="Times New Roman" w:eastAsia="方正仿宋_GBK" w:cs="Times New Roman"/>
          <w:color w:val="auto"/>
          <w:sz w:val="32"/>
          <w:szCs w:val="32"/>
          <w:u w:val="none"/>
          <w:lang w:val="en-US" w:eastAsia="zh-CN"/>
        </w:rPr>
        <w:t>向人民法院提起诉讼。</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center"/>
        <w:rPr>
          <w:rFonts w:hint="eastAsia" w:ascii="Times New Roman" w:hAnsi="Times New Roman" w:eastAsia="方正黑体_GBK" w:cs="Times New Roman"/>
          <w:b/>
          <w:bCs/>
          <w:color w:val="auto"/>
          <w:sz w:val="32"/>
          <w:szCs w:val="32"/>
          <w:u w:val="none"/>
          <w:lang w:val="en-US" w:eastAsia="zh-CN"/>
        </w:rPr>
      </w:pPr>
      <w:r>
        <w:rPr>
          <w:rFonts w:hint="eastAsia" w:ascii="Times New Roman" w:hAnsi="Times New Roman" w:eastAsia="方正黑体_GBK" w:cs="Times New Roman"/>
          <w:b/>
          <w:bCs/>
          <w:color w:val="auto"/>
          <w:sz w:val="32"/>
          <w:szCs w:val="32"/>
          <w:u w:val="none"/>
          <w:lang w:val="en-US" w:eastAsia="zh-CN"/>
        </w:rPr>
        <w:t>第八章  法律责任</w:t>
      </w:r>
    </w:p>
    <w:p>
      <w:pPr>
        <w:keepNext w:val="0"/>
        <w:keepLines w:val="0"/>
        <w:pageBreakBefore w:val="0"/>
        <w:widowControl/>
        <w:numPr>
          <w:ilvl w:val="0"/>
          <w:numId w:val="0"/>
        </w:numPr>
        <w:kinsoku/>
        <w:wordWrap/>
        <w:overflowPunct w:val="0"/>
        <w:topLinePunct w:val="0"/>
        <w:autoSpaceDE/>
        <w:autoSpaceDN/>
        <w:bidi w:val="0"/>
        <w:adjustRightInd/>
        <w:snapToGrid/>
        <w:spacing w:line="580" w:lineRule="exact"/>
        <w:jc w:val="center"/>
        <w:rPr>
          <w:rFonts w:hint="default" w:ascii="Times New Roman" w:hAnsi="Times New Roman" w:eastAsia="方正黑体_GBK" w:cs="Times New Roman"/>
          <w:b/>
          <w:bCs/>
          <w:color w:val="auto"/>
          <w:sz w:val="32"/>
          <w:szCs w:val="32"/>
          <w:u w:val="none"/>
          <w:lang w:val="en-US" w:eastAsia="zh-CN"/>
        </w:rPr>
      </w:pP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校外培训机构违反本实施细则的，由市场监管部门根据情节轻重，依法依规给予责令限期改正并警告、退还所收费用、没收违法所得、责令停止招生、吊销办学许可证等处罚。</w:t>
      </w:r>
    </w:p>
    <w:p>
      <w:pPr>
        <w:keepNext w:val="0"/>
        <w:keepLines w:val="0"/>
        <w:pageBreakBefore w:val="0"/>
        <w:widowControl/>
        <w:numPr>
          <w:ilvl w:val="0"/>
          <w:numId w:val="1"/>
        </w:numPr>
        <w:kinsoku/>
        <w:wordWrap/>
        <w:overflowPunct w:val="0"/>
        <w:topLinePunct w:val="0"/>
        <w:autoSpaceDE/>
        <w:autoSpaceDN/>
        <w:bidi w:val="0"/>
        <w:adjustRightInd/>
        <w:snapToGrid/>
        <w:spacing w:line="580" w:lineRule="exact"/>
        <w:ind w:firstLine="640" w:firstLineChars="200"/>
        <w:jc w:val="both"/>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本实施细则自印发之日起试行。</w:t>
      </w:r>
    </w:p>
    <w:p/>
    <w:p>
      <w:pPr>
        <w:rPr>
          <w:rFonts w:ascii="微软雅黑" w:hAnsi="微软雅黑" w:eastAsia="微软雅黑" w:cs="微软雅黑"/>
          <w:i w:val="0"/>
          <w:caps w:val="0"/>
          <w:color w:val="000000"/>
          <w:spacing w:val="0"/>
          <w:sz w:val="39"/>
          <w:szCs w:val="39"/>
          <w:shd w:val="clear" w:fill="FFFFFF"/>
        </w:rPr>
      </w:pPr>
    </w:p>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FSJ-PK74820000008-Identity-H">
    <w:altName w:val="Calibri"/>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9CD463"/>
    <w:multiLevelType w:val="singleLevel"/>
    <w:tmpl w:val="D49CD463"/>
    <w:lvl w:ilvl="0" w:tentative="0">
      <w:start w:val="1"/>
      <w:numFmt w:val="chineseCounting"/>
      <w:suff w:val="nothing"/>
      <w:lvlText w:val="（%1）"/>
      <w:lvlJc w:val="left"/>
      <w:pPr>
        <w:ind w:left="0" w:firstLine="420"/>
      </w:pPr>
      <w:rPr>
        <w:rFonts w:hint="eastAsia"/>
      </w:rPr>
    </w:lvl>
  </w:abstractNum>
  <w:abstractNum w:abstractNumId="1">
    <w:nsid w:val="5FC4D892"/>
    <w:multiLevelType w:val="singleLevel"/>
    <w:tmpl w:val="5FC4D892"/>
    <w:lvl w:ilvl="0" w:tentative="0">
      <w:start w:val="1"/>
      <w:numFmt w:val="chineseCounting"/>
      <w:suff w:val="space"/>
      <w:lvlText w:val="第%1条"/>
      <w:lvlJc w:val="left"/>
      <w:rPr>
        <w:rFonts w:hint="eastAsia" w:ascii="方正仿宋_GBK" w:hAnsi="方正仿宋_GBK" w:eastAsia="方正仿宋_GBK" w:cs="方正仿宋_GBK"/>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A3E26"/>
    <w:rsid w:val="487A3E26"/>
    <w:rsid w:val="7407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style11"/>
    <w:qFormat/>
    <w:uiPriority w:val="0"/>
    <w:rPr>
      <w:rFonts w:ascii="方正仿宋_GBK" w:hAnsi="FSJ-PK74820000008-Identity-H" w:eastAsia="方正仿宋_GBK" w:cs="FSJ-PK74820000008-Identity-H"/>
      <w:color w:val="000000"/>
      <w:spacing w:val="0"/>
      <w:w w:val="1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2025-02-12T10:23:00Z</dcterms:created>
  <dc:creator>${userName!}</dc:creator>
  <cp:lastModifiedBy>${userName!}</cp:lastModifiedBy>
  <dcterms:modified xsi:type="dcterms:W3CDTF">2025-02-12T10:23:24Z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