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kinsoku/>
        <w:topLinePunct w:val="0"/>
        <w:bidi w:val="0"/>
        <w:adjustRightInd/>
        <w:snapToGrid/>
        <w:spacing w:line="580" w:lineRule="exact"/>
        <w:jc w:val="center"/>
        <w:rPr>
          <w:rFonts w:hint="default" w:ascii="方正小标宋_GBK" w:hAnsi="方正小标宋_GBK" w:eastAsia="方正小标宋_GBK" w:cs="方正小标宋_GBK"/>
          <w:color w:val="auto"/>
          <w:sz w:val="44"/>
          <w:szCs w:val="44"/>
          <w:u w:val="none"/>
          <w:lang w:val="en-US" w:eastAsia="zh-CN"/>
        </w:rPr>
      </w:pPr>
      <w:r>
        <w:rPr>
          <w:rFonts w:hint="eastAsia" w:ascii="方正小标宋_GBK" w:hAnsi="方正小标宋_GBK" w:eastAsia="方正小标宋_GBK" w:cs="方正小标宋_GBK"/>
          <w:color w:val="auto"/>
          <w:sz w:val="44"/>
          <w:szCs w:val="44"/>
          <w:u w:val="none"/>
          <w:lang w:val="en-US" w:eastAsia="zh-CN"/>
        </w:rPr>
        <w:t>渝中区校外培训机构预收费监管实施细则</w:t>
      </w:r>
    </w:p>
    <w:p>
      <w:pPr>
        <w:keepNext w:val="0"/>
        <w:keepLines w:val="0"/>
        <w:pageBreakBefore w:val="0"/>
        <w:widowControl/>
        <w:kinsoku/>
        <w:wordWrap/>
        <w:overflowPunct w:val="0"/>
        <w:topLinePunct w:val="0"/>
        <w:autoSpaceDE/>
        <w:autoSpaceDN/>
        <w:bidi w:val="0"/>
        <w:adjustRightInd/>
        <w:snapToGrid/>
        <w:spacing w:line="580" w:lineRule="exact"/>
        <w:jc w:val="center"/>
        <w:rPr>
          <w:rFonts w:hint="default" w:ascii="Times New Roman" w:hAnsi="Times New Roman" w:eastAsia="方正黑体_GBK" w:cs="Times New Roman"/>
          <w:color w:val="auto"/>
          <w:sz w:val="32"/>
          <w:szCs w:val="32"/>
          <w:u w:val="none"/>
          <w:lang w:val="en-US" w:eastAsia="zh-CN"/>
        </w:rPr>
      </w:pPr>
      <w:r>
        <w:rPr>
          <w:rFonts w:hint="eastAsia" w:ascii="方正楷体_GBK" w:hAnsi="方正楷体_GBK" w:eastAsia="方正楷体_GBK" w:cs="方正楷体_GBK"/>
          <w:color w:val="auto"/>
          <w:sz w:val="32"/>
          <w:szCs w:val="32"/>
          <w:u w:val="none"/>
          <w:lang w:val="en-US" w:eastAsia="zh-CN"/>
        </w:rPr>
        <w:t>（征求意见稿）</w:t>
      </w:r>
    </w:p>
    <w:p>
      <w:pPr>
        <w:keepNext w:val="0"/>
        <w:keepLines w:val="0"/>
        <w:pageBreakBefore w:val="0"/>
        <w:widowControl/>
        <w:kinsoku/>
        <w:wordWrap/>
        <w:overflowPunct w:val="0"/>
        <w:topLinePunct w:val="0"/>
        <w:autoSpaceDE/>
        <w:autoSpaceDN/>
        <w:bidi w:val="0"/>
        <w:adjustRightInd/>
        <w:snapToGrid/>
        <w:spacing w:line="580" w:lineRule="exact"/>
        <w:jc w:val="center"/>
        <w:rPr>
          <w:rFonts w:hint="default" w:ascii="Times New Roman" w:hAnsi="Times New Roman" w:eastAsia="方正黑体_GBK" w:cs="Times New Roman"/>
          <w:b/>
          <w:bCs/>
          <w:color w:val="auto"/>
          <w:sz w:val="32"/>
          <w:szCs w:val="32"/>
          <w:u w:val="none"/>
          <w:lang w:val="en-US" w:eastAsia="zh-CN"/>
        </w:rPr>
      </w:pPr>
      <w:r>
        <w:rPr>
          <w:rFonts w:hint="eastAsia" w:ascii="Times New Roman" w:hAnsi="Times New Roman" w:eastAsia="方正黑体_GBK" w:cs="Times New Roman"/>
          <w:b/>
          <w:bCs/>
          <w:color w:val="auto"/>
          <w:sz w:val="32"/>
          <w:szCs w:val="32"/>
          <w:u w:val="none"/>
          <w:lang w:val="en-US" w:eastAsia="zh-CN"/>
        </w:rPr>
        <w:t>第一章</w:t>
      </w:r>
      <w:r>
        <w:rPr>
          <w:rFonts w:hint="eastAsia" w:ascii="Times New Roman" w:hAnsi="Times New Roman" w:eastAsia="方正黑体_GBK" w:cs="Times New Roman"/>
          <w:color w:val="auto"/>
          <w:sz w:val="32"/>
          <w:szCs w:val="32"/>
          <w:u w:val="none"/>
          <w:lang w:val="en-US" w:eastAsia="zh-CN"/>
        </w:rPr>
        <w:t xml:space="preserve">  </w:t>
      </w:r>
      <w:r>
        <w:rPr>
          <w:rFonts w:hint="eastAsia" w:ascii="Times New Roman" w:hAnsi="Times New Roman" w:eastAsia="方正黑体_GBK" w:cs="Times New Roman"/>
          <w:b/>
          <w:bCs/>
          <w:color w:val="auto"/>
          <w:sz w:val="32"/>
          <w:szCs w:val="32"/>
          <w:u w:val="none"/>
          <w:lang w:val="en-US" w:eastAsia="zh-CN"/>
        </w:rPr>
        <w:t>总则</w:t>
      </w:r>
      <w:bookmarkStart w:id="0" w:name="_GoBack"/>
      <w:bookmarkEnd w:id="0"/>
    </w:p>
    <w:p>
      <w:pPr>
        <w:keepNext w:val="0"/>
        <w:keepLines w:val="0"/>
        <w:pageBreakBefore w:val="0"/>
        <w:widowControl/>
        <w:kinsoku/>
        <w:wordWrap/>
        <w:overflowPunct w:val="0"/>
        <w:topLinePunct w:val="0"/>
        <w:autoSpaceDE/>
        <w:autoSpaceDN/>
        <w:bidi w:val="0"/>
        <w:adjustRightInd/>
        <w:snapToGrid/>
        <w:spacing w:line="580" w:lineRule="exact"/>
        <w:jc w:val="center"/>
        <w:rPr>
          <w:rFonts w:hint="default" w:ascii="Times New Roman" w:hAnsi="Times New Roman" w:eastAsia="方正黑体_GBK" w:cs="Times New Roman"/>
          <w:color w:val="auto"/>
          <w:sz w:val="32"/>
          <w:szCs w:val="32"/>
          <w:u w:val="none"/>
          <w:lang w:val="en-US" w:eastAsia="zh-CN"/>
        </w:rPr>
      </w:pPr>
    </w:p>
    <w:p>
      <w:pPr>
        <w:keepNext w:val="0"/>
        <w:keepLines w:val="0"/>
        <w:pageBreakBefore w:val="0"/>
        <w:widowControl/>
        <w:numPr>
          <w:ilvl w:val="0"/>
          <w:numId w:val="1"/>
        </w:numPr>
        <w:kinsoku/>
        <w:wordWrap/>
        <w:overflowPunct w:val="0"/>
        <w:topLinePunct w:val="0"/>
        <w:autoSpaceDE/>
        <w:autoSpaceDN/>
        <w:bidi w:val="0"/>
        <w:adjustRightInd/>
        <w:snapToGrid/>
        <w:spacing w:line="580" w:lineRule="exact"/>
        <w:ind w:firstLine="640" w:firstLineChars="200"/>
        <w:jc w:val="both"/>
        <w:rPr>
          <w:rFonts w:hint="eastAsia" w:ascii="Times New Roman" w:hAnsi="Times New Roman" w:eastAsia="方正仿宋_GBK" w:cs="Times New Roman"/>
          <w:color w:val="auto"/>
          <w:kern w:val="2"/>
          <w:sz w:val="32"/>
          <w:szCs w:val="32"/>
          <w:u w:val="none"/>
          <w:lang w:val="en-US" w:eastAsia="zh-CN" w:bidi="ar-SA"/>
        </w:rPr>
      </w:pPr>
      <w:r>
        <w:rPr>
          <w:rFonts w:hint="eastAsia" w:ascii="方正楷体_GBK" w:hAnsi="方正楷体_GBK" w:eastAsia="方正楷体_GBK" w:cs="方正楷体_GBK"/>
          <w:color w:val="auto"/>
          <w:sz w:val="32"/>
          <w:szCs w:val="32"/>
          <w:u w:val="none"/>
          <w:lang w:val="en-US" w:eastAsia="zh-CN"/>
        </w:rPr>
        <w:t xml:space="preserve"> </w:t>
      </w:r>
      <w:r>
        <w:rPr>
          <w:rFonts w:hint="eastAsia" w:ascii="Times New Roman" w:hAnsi="Times New Roman" w:eastAsia="方正仿宋_GBK" w:cs="Times New Roman"/>
          <w:color w:val="auto"/>
          <w:kern w:val="2"/>
          <w:sz w:val="32"/>
          <w:szCs w:val="32"/>
          <w:u w:val="none"/>
          <w:lang w:val="en-US" w:eastAsia="zh-CN" w:bidi="ar-SA"/>
        </w:rPr>
        <w:t>为贯彻落实党中央、国务院“双减”精神，按照《教育部等六部门关于加强校外培训机构预收费监管工作的通知》</w:t>
      </w:r>
      <w:r>
        <w:rPr>
          <w:rFonts w:hint="eastAsia" w:eastAsia="方正仿宋_GBK" w:cs="Times New Roman"/>
          <w:color w:val="auto"/>
          <w:kern w:val="2"/>
          <w:sz w:val="32"/>
          <w:szCs w:val="32"/>
          <w:u w:val="none"/>
          <w:lang w:val="en-US" w:eastAsia="zh-CN" w:bidi="ar-SA"/>
        </w:rPr>
        <w:t>和《重庆市教育委员会等六部门关于印发〈重庆市校外培训机构预收费监管工作指引（试行）〉的通知》</w:t>
      </w:r>
      <w:r>
        <w:rPr>
          <w:rFonts w:hint="eastAsia" w:ascii="Times New Roman" w:hAnsi="Times New Roman" w:eastAsia="方正仿宋_GBK" w:cs="Times New Roman"/>
          <w:color w:val="auto"/>
          <w:kern w:val="2"/>
          <w:sz w:val="32"/>
          <w:szCs w:val="32"/>
          <w:u w:val="none"/>
          <w:lang w:val="en-US" w:eastAsia="zh-CN" w:bidi="ar-SA"/>
        </w:rPr>
        <w:t>要求，采取“预收费托管+风险保证金监管”模式加强校外培训机构资金监管，结合</w:t>
      </w:r>
      <w:r>
        <w:rPr>
          <w:rFonts w:hint="eastAsia" w:eastAsia="方正仿宋_GBK" w:cs="Times New Roman"/>
          <w:color w:val="auto"/>
          <w:kern w:val="2"/>
          <w:sz w:val="32"/>
          <w:szCs w:val="32"/>
          <w:u w:val="none"/>
          <w:lang w:val="en-US" w:eastAsia="zh-CN" w:bidi="ar-SA"/>
        </w:rPr>
        <w:t>渝中区</w:t>
      </w:r>
      <w:r>
        <w:rPr>
          <w:rFonts w:hint="eastAsia" w:ascii="Times New Roman" w:hAnsi="Times New Roman" w:eastAsia="方正仿宋_GBK" w:cs="Times New Roman"/>
          <w:color w:val="auto"/>
          <w:kern w:val="2"/>
          <w:sz w:val="32"/>
          <w:szCs w:val="32"/>
          <w:u w:val="none"/>
          <w:lang w:val="en-US" w:eastAsia="zh-CN" w:bidi="ar-SA"/>
        </w:rPr>
        <w:t>实际，制定本</w:t>
      </w:r>
      <w:r>
        <w:rPr>
          <w:rFonts w:hint="eastAsia" w:eastAsia="方正仿宋_GBK" w:cs="Times New Roman"/>
          <w:color w:val="auto"/>
          <w:kern w:val="2"/>
          <w:sz w:val="32"/>
          <w:szCs w:val="32"/>
          <w:u w:val="none"/>
          <w:lang w:val="en-US" w:eastAsia="zh-CN" w:bidi="ar-SA"/>
        </w:rPr>
        <w:t>实施细则</w:t>
      </w:r>
      <w:r>
        <w:rPr>
          <w:rFonts w:hint="eastAsia" w:ascii="Times New Roman" w:hAnsi="Times New Roman" w:eastAsia="方正仿宋_GBK" w:cs="Times New Roman"/>
          <w:color w:val="auto"/>
          <w:kern w:val="2"/>
          <w:sz w:val="32"/>
          <w:szCs w:val="32"/>
          <w:u w:val="none"/>
          <w:lang w:val="en-US" w:eastAsia="zh-CN" w:bidi="ar-SA"/>
        </w:rPr>
        <w:t>。</w:t>
      </w:r>
    </w:p>
    <w:p>
      <w:pPr>
        <w:keepNext w:val="0"/>
        <w:keepLines w:val="0"/>
        <w:pageBreakBefore w:val="0"/>
        <w:widowControl/>
        <w:numPr>
          <w:ilvl w:val="0"/>
          <w:numId w:val="1"/>
        </w:numPr>
        <w:kinsoku/>
        <w:wordWrap/>
        <w:overflowPunct w:val="0"/>
        <w:topLinePunct w:val="0"/>
        <w:autoSpaceDE/>
        <w:autoSpaceDN/>
        <w:bidi w:val="0"/>
        <w:adjustRightInd/>
        <w:snapToGrid/>
        <w:spacing w:line="580" w:lineRule="exact"/>
        <w:ind w:firstLine="640" w:firstLineChars="200"/>
        <w:jc w:val="both"/>
        <w:rPr>
          <w:rFonts w:hint="eastAsia" w:ascii="方正黑体_GBK" w:hAnsi="方正黑体_GBK" w:eastAsia="方正黑体_GBK" w:cs="方正黑体_GBK"/>
          <w:color w:val="auto"/>
          <w:sz w:val="32"/>
          <w:szCs w:val="32"/>
          <w:u w:val="none"/>
          <w:lang w:val="en-US" w:eastAsia="zh-CN"/>
        </w:rPr>
      </w:pPr>
      <w:r>
        <w:rPr>
          <w:rFonts w:hint="eastAsia" w:ascii="Times New Roman" w:hAnsi="Times New Roman" w:eastAsia="方正仿宋_GBK" w:cs="Times New Roman"/>
          <w:color w:val="auto"/>
          <w:kern w:val="2"/>
          <w:sz w:val="32"/>
          <w:szCs w:val="32"/>
          <w:u w:val="none"/>
          <w:lang w:val="en-US" w:eastAsia="zh-CN" w:bidi="ar-SA"/>
        </w:rPr>
        <w:t xml:space="preserve"> 本</w:t>
      </w:r>
      <w:r>
        <w:rPr>
          <w:rFonts w:hint="eastAsia" w:eastAsia="方正仿宋_GBK" w:cs="Times New Roman"/>
          <w:color w:val="auto"/>
          <w:kern w:val="2"/>
          <w:sz w:val="32"/>
          <w:szCs w:val="32"/>
          <w:u w:val="none"/>
          <w:lang w:val="en-US" w:eastAsia="zh-CN" w:bidi="ar-SA"/>
        </w:rPr>
        <w:t>细则</w:t>
      </w:r>
      <w:r>
        <w:rPr>
          <w:rFonts w:hint="eastAsia" w:ascii="Times New Roman" w:hAnsi="Times New Roman" w:eastAsia="方正仿宋_GBK" w:cs="Times New Roman"/>
          <w:color w:val="auto"/>
          <w:kern w:val="2"/>
          <w:sz w:val="32"/>
          <w:szCs w:val="32"/>
          <w:u w:val="none"/>
          <w:lang w:val="en-US" w:eastAsia="zh-CN" w:bidi="ar-SA"/>
        </w:rPr>
        <w:t>适用于在</w:t>
      </w:r>
      <w:r>
        <w:rPr>
          <w:rFonts w:hint="eastAsia" w:eastAsia="方正仿宋_GBK" w:cs="Times New Roman"/>
          <w:color w:val="auto"/>
          <w:kern w:val="2"/>
          <w:sz w:val="32"/>
          <w:szCs w:val="32"/>
          <w:u w:val="none"/>
          <w:lang w:val="en-US" w:eastAsia="zh-CN" w:bidi="ar-SA"/>
        </w:rPr>
        <w:t>渝中区</w:t>
      </w:r>
      <w:r>
        <w:rPr>
          <w:rFonts w:hint="eastAsia" w:ascii="Times New Roman" w:hAnsi="Times New Roman" w:eastAsia="方正仿宋_GBK" w:cs="Times New Roman"/>
          <w:color w:val="auto"/>
          <w:kern w:val="2"/>
          <w:sz w:val="32"/>
          <w:szCs w:val="32"/>
          <w:u w:val="none"/>
          <w:lang w:val="en-US" w:eastAsia="zh-CN" w:bidi="ar-SA"/>
        </w:rPr>
        <w:t>范围内审批登记的面向中小学生（含3—6岁学龄前儿童）的校外培训机构。</w:t>
      </w:r>
    </w:p>
    <w:p>
      <w:pPr>
        <w:keepNext w:val="0"/>
        <w:keepLines w:val="0"/>
        <w:pageBreakBefore w:val="0"/>
        <w:widowControl/>
        <w:kinsoku/>
        <w:wordWrap/>
        <w:overflowPunct w:val="0"/>
        <w:topLinePunct w:val="0"/>
        <w:autoSpaceDE/>
        <w:autoSpaceDN/>
        <w:bidi w:val="0"/>
        <w:adjustRightInd/>
        <w:snapToGrid/>
        <w:spacing w:line="580" w:lineRule="exact"/>
        <w:ind w:firstLine="640" w:firstLineChars="200"/>
        <w:jc w:val="both"/>
        <w:rPr>
          <w:rFonts w:hint="eastAsia" w:ascii="Times New Roman" w:hAnsi="Times New Roman" w:eastAsia="方正黑体_GBK" w:cs="Times New Roman"/>
          <w:color w:val="auto"/>
          <w:sz w:val="32"/>
          <w:szCs w:val="32"/>
          <w:u w:val="none"/>
          <w:lang w:val="en-US" w:eastAsia="zh-CN"/>
        </w:rPr>
      </w:pPr>
    </w:p>
    <w:p>
      <w:pPr>
        <w:keepNext w:val="0"/>
        <w:keepLines w:val="0"/>
        <w:pageBreakBefore w:val="0"/>
        <w:widowControl/>
        <w:kinsoku/>
        <w:wordWrap/>
        <w:overflowPunct w:val="0"/>
        <w:topLinePunct w:val="0"/>
        <w:autoSpaceDE/>
        <w:autoSpaceDN/>
        <w:bidi w:val="0"/>
        <w:adjustRightInd/>
        <w:snapToGrid/>
        <w:spacing w:line="580" w:lineRule="exact"/>
        <w:jc w:val="center"/>
        <w:rPr>
          <w:rFonts w:hint="default" w:ascii="Times New Roman" w:hAnsi="Times New Roman" w:eastAsia="方正仿宋_GBK" w:cs="Times New Roman"/>
          <w:color w:val="auto"/>
          <w:sz w:val="32"/>
          <w:szCs w:val="32"/>
          <w:u w:val="none"/>
          <w:lang w:val="en-US" w:eastAsia="zh-CN"/>
        </w:rPr>
      </w:pPr>
      <w:r>
        <w:rPr>
          <w:rFonts w:hint="eastAsia" w:ascii="Times New Roman" w:hAnsi="Times New Roman" w:eastAsia="方正黑体_GBK" w:cs="Times New Roman"/>
          <w:b/>
          <w:bCs/>
          <w:color w:val="auto"/>
          <w:sz w:val="32"/>
          <w:szCs w:val="32"/>
          <w:u w:val="none"/>
          <w:lang w:val="en-US" w:eastAsia="zh-CN"/>
        </w:rPr>
        <w:t>第二章</w:t>
      </w:r>
      <w:r>
        <w:rPr>
          <w:rFonts w:hint="eastAsia" w:ascii="Times New Roman" w:hAnsi="Times New Roman" w:eastAsia="方正黑体_GBK" w:cs="Times New Roman"/>
          <w:color w:val="auto"/>
          <w:sz w:val="32"/>
          <w:szCs w:val="32"/>
          <w:u w:val="none"/>
          <w:lang w:val="en-US" w:eastAsia="zh-CN"/>
        </w:rPr>
        <w:t xml:space="preserve">  </w:t>
      </w:r>
      <w:r>
        <w:rPr>
          <w:rFonts w:hint="default" w:ascii="Times New Roman" w:hAnsi="Times New Roman" w:eastAsia="方正黑体_GBK" w:cs="Times New Roman"/>
          <w:color w:val="auto"/>
          <w:sz w:val="32"/>
          <w:szCs w:val="32"/>
          <w:u w:val="none"/>
          <w:lang w:val="en-US" w:eastAsia="zh-CN"/>
        </w:rPr>
        <w:t>预收费管理</w:t>
      </w:r>
    </w:p>
    <w:p>
      <w:pPr>
        <w:keepNext w:val="0"/>
        <w:keepLines w:val="0"/>
        <w:pageBreakBefore w:val="0"/>
        <w:widowControl/>
        <w:numPr>
          <w:ilvl w:val="0"/>
          <w:numId w:val="0"/>
        </w:numPr>
        <w:kinsoku/>
        <w:wordWrap/>
        <w:overflowPunct w:val="0"/>
        <w:topLinePunct w:val="0"/>
        <w:autoSpaceDE/>
        <w:autoSpaceDN/>
        <w:bidi w:val="0"/>
        <w:adjustRightInd/>
        <w:snapToGrid/>
        <w:spacing w:line="580" w:lineRule="exact"/>
        <w:jc w:val="both"/>
        <w:rPr>
          <w:rFonts w:hint="eastAsia" w:ascii="方正黑体_GBK" w:hAnsi="方正黑体_GBK" w:eastAsia="方正黑体_GBK" w:cs="方正黑体_GBK"/>
          <w:color w:val="auto"/>
          <w:sz w:val="32"/>
          <w:szCs w:val="32"/>
          <w:u w:val="none"/>
          <w:lang w:val="en-US" w:eastAsia="zh-CN"/>
        </w:rPr>
      </w:pPr>
    </w:p>
    <w:p>
      <w:pPr>
        <w:keepNext w:val="0"/>
        <w:keepLines w:val="0"/>
        <w:pageBreakBefore w:val="0"/>
        <w:widowControl/>
        <w:numPr>
          <w:ilvl w:val="0"/>
          <w:numId w:val="1"/>
        </w:numPr>
        <w:kinsoku/>
        <w:wordWrap/>
        <w:overflowPunct w:val="0"/>
        <w:topLinePunct w:val="0"/>
        <w:autoSpaceDE/>
        <w:autoSpaceDN/>
        <w:bidi w:val="0"/>
        <w:adjustRightInd/>
        <w:snapToGrid/>
        <w:spacing w:line="580" w:lineRule="exact"/>
        <w:ind w:firstLine="640" w:firstLineChars="200"/>
        <w:jc w:val="both"/>
        <w:rPr>
          <w:rFonts w:hint="default" w:ascii="Times New Roman" w:hAnsi="Times New Roman" w:eastAsia="方正仿宋_GBK" w:cs="Times New Roman"/>
          <w:color w:val="auto"/>
          <w:sz w:val="32"/>
          <w:szCs w:val="32"/>
          <w:u w:val="none"/>
          <w:lang w:val="en-US" w:eastAsia="zh-CN"/>
        </w:rPr>
      </w:pPr>
      <w:r>
        <w:rPr>
          <w:rFonts w:hint="eastAsia" w:ascii="Times New Roman" w:hAnsi="Times New Roman" w:eastAsia="方正仿宋_GBK" w:cs="Times New Roman"/>
          <w:color w:val="auto"/>
          <w:kern w:val="2"/>
          <w:sz w:val="32"/>
          <w:szCs w:val="32"/>
          <w:u w:val="none"/>
          <w:lang w:val="en-US" w:eastAsia="zh-CN" w:bidi="ar-SA"/>
        </w:rPr>
        <w:t xml:space="preserve"> </w:t>
      </w:r>
      <w:r>
        <w:rPr>
          <w:rFonts w:hint="default" w:ascii="Times New Roman" w:hAnsi="Times New Roman" w:eastAsia="方正仿宋_GBK" w:cs="Times New Roman"/>
          <w:color w:val="auto"/>
          <w:sz w:val="32"/>
          <w:szCs w:val="32"/>
          <w:u w:val="none"/>
          <w:lang w:val="en-US" w:eastAsia="zh-CN"/>
        </w:rPr>
        <w:t>校外培训机构收费应当明码标价，收费项目、收费标准等信息应当向社会公开，接受社会监督，</w:t>
      </w:r>
      <w:r>
        <w:rPr>
          <w:rFonts w:hint="eastAsia" w:ascii="Times New Roman" w:hAnsi="Times New Roman" w:eastAsia="方正仿宋_GBK" w:cs="Times New Roman"/>
          <w:color w:val="auto"/>
          <w:sz w:val="32"/>
          <w:szCs w:val="32"/>
          <w:u w:val="none"/>
          <w:lang w:val="en-US" w:eastAsia="zh-CN"/>
        </w:rPr>
        <w:t>收费时段与教学安排应协调一致。</w:t>
      </w:r>
    </w:p>
    <w:p>
      <w:pPr>
        <w:keepNext w:val="0"/>
        <w:keepLines w:val="0"/>
        <w:pageBreakBefore w:val="0"/>
        <w:widowControl/>
        <w:numPr>
          <w:ilvl w:val="0"/>
          <w:numId w:val="1"/>
        </w:numPr>
        <w:kinsoku/>
        <w:wordWrap/>
        <w:overflowPunct w:val="0"/>
        <w:topLinePunct w:val="0"/>
        <w:autoSpaceDE/>
        <w:autoSpaceDN/>
        <w:bidi w:val="0"/>
        <w:adjustRightInd/>
        <w:snapToGrid/>
        <w:spacing w:line="580" w:lineRule="exact"/>
        <w:ind w:firstLine="640" w:firstLineChars="200"/>
        <w:jc w:val="both"/>
        <w:rPr>
          <w:rFonts w:hint="default" w:ascii="Times New Roman" w:hAnsi="Times New Roman" w:eastAsia="方正仿宋_GBK" w:cs="Times New Roman"/>
          <w:color w:val="auto"/>
          <w:sz w:val="32"/>
          <w:szCs w:val="32"/>
          <w:u w:val="none"/>
          <w:lang w:val="en-US" w:eastAsia="zh-CN"/>
        </w:rPr>
      </w:pPr>
      <w:r>
        <w:rPr>
          <w:rFonts w:hint="eastAsia" w:ascii="Times New Roman" w:hAnsi="Times New Roman" w:eastAsia="方正仿宋_GBK" w:cs="Times New Roman"/>
          <w:color w:val="auto"/>
          <w:sz w:val="32"/>
          <w:szCs w:val="32"/>
          <w:u w:val="none"/>
          <w:lang w:val="en-US" w:eastAsia="zh-CN"/>
        </w:rPr>
        <w:t xml:space="preserve"> </w:t>
      </w:r>
      <w:r>
        <w:rPr>
          <w:rFonts w:hint="default" w:ascii="Times New Roman" w:hAnsi="Times New Roman" w:eastAsia="方正仿宋_GBK" w:cs="Times New Roman"/>
          <w:color w:val="auto"/>
          <w:sz w:val="32"/>
          <w:szCs w:val="32"/>
          <w:u w:val="none"/>
          <w:lang w:val="en-US" w:eastAsia="zh-CN"/>
        </w:rPr>
        <w:t>校外培训机构</w:t>
      </w:r>
      <w:r>
        <w:rPr>
          <w:rFonts w:hint="eastAsia" w:ascii="Times New Roman" w:hAnsi="Times New Roman" w:eastAsia="方正仿宋_GBK" w:cs="Times New Roman"/>
          <w:color w:val="auto"/>
          <w:sz w:val="32"/>
          <w:szCs w:val="32"/>
          <w:u w:val="none"/>
          <w:lang w:val="en-US" w:eastAsia="zh-CN"/>
        </w:rPr>
        <w:t>不得一次性收取或以充值、次卡等形式变相收取时间跨度超过3个月或60课时的费用，且不得超过5000元。按培训周期收费的，不得超过</w:t>
      </w:r>
      <w:r>
        <w:rPr>
          <w:rFonts w:hint="default" w:ascii="Times New Roman" w:hAnsi="Times New Roman" w:eastAsia="方正仿宋_GBK" w:cs="Times New Roman"/>
          <w:color w:val="auto"/>
          <w:sz w:val="32"/>
          <w:szCs w:val="32"/>
          <w:u w:val="none"/>
          <w:lang w:val="en-US" w:eastAsia="zh-CN"/>
        </w:rPr>
        <w:t>3</w:t>
      </w:r>
      <w:r>
        <w:rPr>
          <w:rFonts w:hint="eastAsia" w:ascii="Times New Roman" w:hAnsi="Times New Roman" w:eastAsia="方正仿宋_GBK" w:cs="Times New Roman"/>
          <w:color w:val="auto"/>
          <w:sz w:val="32"/>
          <w:szCs w:val="32"/>
          <w:u w:val="none"/>
          <w:lang w:val="en-US" w:eastAsia="zh-CN"/>
        </w:rPr>
        <w:t>个月，收费时间不得早于新课开始前</w:t>
      </w:r>
      <w:r>
        <w:rPr>
          <w:rFonts w:hint="default" w:ascii="Times New Roman" w:hAnsi="Times New Roman" w:eastAsia="方正仿宋_GBK" w:cs="Times New Roman"/>
          <w:color w:val="auto"/>
          <w:sz w:val="32"/>
          <w:szCs w:val="32"/>
          <w:u w:val="none"/>
          <w:lang w:val="en-US" w:eastAsia="zh-CN"/>
        </w:rPr>
        <w:t>1</w:t>
      </w:r>
      <w:r>
        <w:rPr>
          <w:rFonts w:hint="eastAsia" w:ascii="Times New Roman" w:hAnsi="Times New Roman" w:eastAsia="方正仿宋_GBK" w:cs="Times New Roman"/>
          <w:color w:val="auto"/>
          <w:sz w:val="32"/>
          <w:szCs w:val="32"/>
          <w:u w:val="none"/>
          <w:lang w:val="en-US" w:eastAsia="zh-CN"/>
        </w:rPr>
        <w:t>个月；按课时收费的，不得超过</w:t>
      </w:r>
      <w:r>
        <w:rPr>
          <w:rFonts w:hint="default" w:ascii="Times New Roman" w:hAnsi="Times New Roman" w:eastAsia="方正仿宋_GBK" w:cs="Times New Roman"/>
          <w:color w:val="auto"/>
          <w:sz w:val="32"/>
          <w:szCs w:val="32"/>
          <w:u w:val="none"/>
          <w:lang w:val="en-US" w:eastAsia="zh-CN"/>
        </w:rPr>
        <w:t>60</w:t>
      </w:r>
      <w:r>
        <w:rPr>
          <w:rFonts w:hint="eastAsia" w:ascii="Times New Roman" w:hAnsi="Times New Roman" w:eastAsia="方正仿宋_GBK" w:cs="Times New Roman"/>
          <w:color w:val="auto"/>
          <w:sz w:val="32"/>
          <w:szCs w:val="32"/>
          <w:u w:val="none"/>
          <w:lang w:val="en-US" w:eastAsia="zh-CN"/>
        </w:rPr>
        <w:t>课时，续费的不得早于剩余</w:t>
      </w:r>
      <w:r>
        <w:rPr>
          <w:rFonts w:hint="default" w:ascii="Times New Roman" w:hAnsi="Times New Roman" w:eastAsia="方正仿宋_GBK" w:cs="Times New Roman"/>
          <w:color w:val="auto"/>
          <w:sz w:val="32"/>
          <w:szCs w:val="32"/>
          <w:u w:val="none"/>
          <w:lang w:val="en-US" w:eastAsia="zh-CN"/>
        </w:rPr>
        <w:t>20</w:t>
      </w:r>
      <w:r>
        <w:rPr>
          <w:rFonts w:hint="eastAsia" w:ascii="Times New Roman" w:hAnsi="Times New Roman" w:eastAsia="方正仿宋_GBK" w:cs="Times New Roman"/>
          <w:color w:val="auto"/>
          <w:sz w:val="32"/>
          <w:szCs w:val="32"/>
          <w:u w:val="none"/>
          <w:lang w:val="en-US" w:eastAsia="zh-CN"/>
        </w:rPr>
        <w:t>课时。不得使用培训贷方式收取培训费用。</w:t>
      </w:r>
    </w:p>
    <w:p>
      <w:pPr>
        <w:keepNext w:val="0"/>
        <w:keepLines w:val="0"/>
        <w:pageBreakBefore w:val="0"/>
        <w:widowControl/>
        <w:numPr>
          <w:ilvl w:val="0"/>
          <w:numId w:val="1"/>
        </w:numPr>
        <w:kinsoku/>
        <w:wordWrap/>
        <w:overflowPunct w:val="0"/>
        <w:topLinePunct w:val="0"/>
        <w:autoSpaceDE/>
        <w:autoSpaceDN/>
        <w:bidi w:val="0"/>
        <w:adjustRightInd/>
        <w:snapToGrid/>
        <w:spacing w:line="580" w:lineRule="exact"/>
        <w:ind w:firstLine="640" w:firstLineChars="200"/>
        <w:jc w:val="both"/>
        <w:rPr>
          <w:rFonts w:hint="default" w:ascii="Times New Roman" w:hAnsi="Times New Roman" w:eastAsia="方正仿宋_GBK" w:cs="Times New Roman"/>
          <w:color w:val="auto"/>
          <w:kern w:val="2"/>
          <w:sz w:val="32"/>
          <w:szCs w:val="32"/>
          <w:u w:val="none"/>
          <w:lang w:val="en-US" w:eastAsia="zh-CN" w:bidi="ar-SA"/>
        </w:rPr>
      </w:pPr>
      <w:r>
        <w:rPr>
          <w:rFonts w:hint="eastAsia" w:ascii="Times New Roman" w:hAnsi="Times New Roman" w:eastAsia="方正仿宋_GBK" w:cs="Times New Roman"/>
          <w:color w:val="auto"/>
          <w:sz w:val="32"/>
          <w:szCs w:val="32"/>
          <w:u w:val="none"/>
          <w:lang w:val="en-US" w:eastAsia="zh-CN"/>
        </w:rPr>
        <w:t xml:space="preserve"> </w:t>
      </w:r>
      <w:r>
        <w:rPr>
          <w:rFonts w:hint="eastAsia" w:ascii="Times New Roman" w:hAnsi="Times New Roman" w:eastAsia="方正仿宋_GBK" w:cs="Times New Roman"/>
          <w:color w:val="auto"/>
          <w:kern w:val="2"/>
          <w:sz w:val="32"/>
          <w:szCs w:val="32"/>
          <w:u w:val="none"/>
          <w:lang w:val="en-US" w:eastAsia="zh-CN" w:bidi="ar-SA"/>
        </w:rPr>
        <w:t>校外培训机构</w:t>
      </w:r>
      <w:r>
        <w:rPr>
          <w:rFonts w:hint="eastAsia" w:ascii="Times New Roman" w:hAnsi="Times New Roman" w:eastAsia="方正仿宋_GBK" w:cs="Times New Roman"/>
          <w:color w:val="auto"/>
          <w:sz w:val="32"/>
          <w:szCs w:val="32"/>
          <w:u w:val="none"/>
          <w:lang w:val="en-US" w:eastAsia="zh-CN"/>
        </w:rPr>
        <w:t>应全流程使用</w:t>
      </w:r>
      <w:r>
        <w:rPr>
          <w:rFonts w:hint="default" w:ascii="Times New Roman" w:hAnsi="Times New Roman" w:eastAsia="方正仿宋_GBK" w:cs="Times New Roman"/>
          <w:color w:val="auto"/>
          <w:sz w:val="32"/>
          <w:szCs w:val="32"/>
          <w:u w:val="none"/>
          <w:lang w:val="en-US" w:eastAsia="zh-CN"/>
        </w:rPr>
        <w:t>“全国校外教育培训监管与服务综合平台”（https://xwpx.eduyun.cn</w:t>
      </w:r>
      <w:r>
        <w:rPr>
          <w:rFonts w:hint="eastAsia" w:eastAsia="方正仿宋_GBK" w:cs="Times New Roman"/>
          <w:color w:val="auto"/>
          <w:sz w:val="32"/>
          <w:szCs w:val="32"/>
          <w:u w:val="none"/>
          <w:lang w:val="en-US" w:eastAsia="zh-CN"/>
        </w:rPr>
        <w:t>）（以下简称“平台”）。</w:t>
      </w:r>
      <w:r>
        <w:rPr>
          <w:rFonts w:hint="eastAsia" w:ascii="Times New Roman" w:hAnsi="Times New Roman" w:eastAsia="方正仿宋_GBK" w:cs="Times New Roman"/>
          <w:color w:val="auto"/>
          <w:kern w:val="2"/>
          <w:sz w:val="32"/>
          <w:szCs w:val="32"/>
          <w:u w:val="none"/>
          <w:lang w:val="en-US" w:eastAsia="zh-CN" w:bidi="ar-SA"/>
        </w:rPr>
        <w:t>校外培训机构</w:t>
      </w:r>
      <w:r>
        <w:rPr>
          <w:rFonts w:hint="eastAsia" w:ascii="Times New Roman" w:hAnsi="Times New Roman" w:eastAsia="方正仿宋_GBK" w:cs="Times New Roman"/>
          <w:color w:val="auto"/>
          <w:sz w:val="32"/>
          <w:szCs w:val="32"/>
          <w:u w:val="none"/>
          <w:lang w:val="en-US" w:eastAsia="zh-CN"/>
        </w:rPr>
        <w:t>应落实预收费监管的各项要求，</w:t>
      </w:r>
      <w:r>
        <w:rPr>
          <w:rFonts w:hint="eastAsia" w:eastAsia="方正仿宋_GBK" w:cs="Times New Roman"/>
          <w:color w:val="auto"/>
          <w:sz w:val="32"/>
          <w:szCs w:val="32"/>
          <w:u w:val="none"/>
          <w:lang w:val="en-US" w:eastAsia="zh-CN"/>
        </w:rPr>
        <w:t>在符合平台监管要求的银行</w:t>
      </w:r>
      <w:r>
        <w:rPr>
          <w:rFonts w:hint="eastAsia" w:ascii="Times New Roman" w:hAnsi="Times New Roman" w:eastAsia="方正仿宋_GBK" w:cs="Times New Roman"/>
          <w:color w:val="auto"/>
          <w:sz w:val="32"/>
          <w:szCs w:val="32"/>
          <w:u w:val="none"/>
          <w:lang w:val="en-US" w:eastAsia="zh-CN"/>
        </w:rPr>
        <w:t>设立唯一预收费资金托管专用账户</w:t>
      </w:r>
      <w:r>
        <w:rPr>
          <w:rFonts w:hint="eastAsia" w:eastAsia="方正仿宋_GBK" w:cs="Times New Roman"/>
          <w:color w:val="auto"/>
          <w:sz w:val="32"/>
          <w:szCs w:val="32"/>
          <w:u w:val="none"/>
          <w:lang w:val="en-US" w:eastAsia="zh-CN"/>
        </w:rPr>
        <w:t>（以下简称“托管账户”）</w:t>
      </w:r>
      <w:r>
        <w:rPr>
          <w:rFonts w:hint="eastAsia" w:ascii="Times New Roman" w:hAnsi="Times New Roman" w:eastAsia="方正仿宋_GBK" w:cs="Times New Roman"/>
          <w:color w:val="auto"/>
          <w:sz w:val="32"/>
          <w:szCs w:val="32"/>
          <w:u w:val="none"/>
          <w:lang w:val="en-US" w:eastAsia="zh-CN"/>
        </w:rPr>
        <w:t>，并向社会公开</w:t>
      </w:r>
      <w:r>
        <w:rPr>
          <w:rFonts w:hint="eastAsia" w:eastAsia="方正仿宋_GBK" w:cs="Times New Roman"/>
          <w:color w:val="auto"/>
          <w:sz w:val="32"/>
          <w:szCs w:val="32"/>
          <w:u w:val="none"/>
          <w:lang w:val="en-US" w:eastAsia="zh-CN"/>
        </w:rPr>
        <w:t>。</w:t>
      </w:r>
      <w:r>
        <w:rPr>
          <w:rFonts w:hint="eastAsia" w:ascii="Times New Roman" w:hAnsi="Times New Roman" w:eastAsia="方正仿宋_GBK" w:cs="Times New Roman"/>
          <w:color w:val="auto"/>
          <w:kern w:val="2"/>
          <w:sz w:val="32"/>
          <w:szCs w:val="32"/>
          <w:u w:val="none"/>
          <w:lang w:val="en-US" w:eastAsia="zh-CN" w:bidi="ar-SA"/>
        </w:rPr>
        <w:t>校外培训机构</w:t>
      </w:r>
      <w:r>
        <w:rPr>
          <w:rFonts w:hint="eastAsia" w:ascii="Times New Roman" w:hAnsi="Times New Roman" w:eastAsia="方正仿宋_GBK" w:cs="Times New Roman"/>
          <w:color w:val="auto"/>
          <w:sz w:val="32"/>
          <w:szCs w:val="32"/>
          <w:u w:val="none"/>
          <w:lang w:val="en-US" w:eastAsia="zh-CN"/>
        </w:rPr>
        <w:t>不得在</w:t>
      </w:r>
      <w:r>
        <w:rPr>
          <w:rFonts w:hint="eastAsia" w:eastAsia="方正仿宋_GBK" w:cs="Times New Roman"/>
          <w:color w:val="auto"/>
          <w:sz w:val="32"/>
          <w:szCs w:val="32"/>
          <w:u w:val="none"/>
          <w:lang w:val="en-US" w:eastAsia="zh-CN"/>
        </w:rPr>
        <w:t>托管账户</w:t>
      </w:r>
      <w:r>
        <w:rPr>
          <w:rFonts w:hint="eastAsia" w:ascii="Times New Roman" w:hAnsi="Times New Roman" w:eastAsia="方正仿宋_GBK" w:cs="Times New Roman"/>
          <w:color w:val="auto"/>
          <w:sz w:val="32"/>
          <w:szCs w:val="32"/>
          <w:u w:val="none"/>
          <w:lang w:val="en-US" w:eastAsia="zh-CN"/>
        </w:rPr>
        <w:t>外设立其他预收费账户，严禁将预收费</w:t>
      </w:r>
      <w:r>
        <w:rPr>
          <w:rFonts w:hint="default" w:ascii="Times New Roman" w:hAnsi="Times New Roman" w:eastAsia="方正仿宋_GBK" w:cs="Times New Roman"/>
          <w:color w:val="auto"/>
          <w:sz w:val="32"/>
          <w:szCs w:val="32"/>
          <w:u w:val="none"/>
          <w:lang w:val="en-US" w:eastAsia="zh-CN"/>
        </w:rPr>
        <w:t>存入</w:t>
      </w:r>
      <w:r>
        <w:rPr>
          <w:rFonts w:hint="eastAsia" w:ascii="Times New Roman" w:hAnsi="Times New Roman" w:eastAsia="方正仿宋_GBK" w:cs="Times New Roman"/>
          <w:color w:val="auto"/>
          <w:sz w:val="32"/>
          <w:szCs w:val="32"/>
          <w:u w:val="none"/>
          <w:lang w:val="en-US" w:eastAsia="zh-CN"/>
        </w:rPr>
        <w:t>其他账户（含对公账户、微信账户、支付宝账户等）</w:t>
      </w:r>
      <w:r>
        <w:rPr>
          <w:rFonts w:hint="default" w:ascii="Times New Roman" w:hAnsi="Times New Roman" w:eastAsia="方正仿宋_GBK" w:cs="Times New Roman"/>
          <w:color w:val="auto"/>
          <w:sz w:val="32"/>
          <w:szCs w:val="32"/>
          <w:u w:val="none"/>
          <w:lang w:val="en-US" w:eastAsia="zh-CN"/>
        </w:rPr>
        <w:t>。</w:t>
      </w:r>
    </w:p>
    <w:p>
      <w:pPr>
        <w:keepNext w:val="0"/>
        <w:keepLines w:val="0"/>
        <w:pageBreakBefore w:val="0"/>
        <w:widowControl/>
        <w:numPr>
          <w:ilvl w:val="0"/>
          <w:numId w:val="1"/>
        </w:numPr>
        <w:kinsoku/>
        <w:wordWrap/>
        <w:overflowPunct w:val="0"/>
        <w:topLinePunct w:val="0"/>
        <w:autoSpaceDE/>
        <w:autoSpaceDN/>
        <w:bidi w:val="0"/>
        <w:adjustRightInd/>
        <w:snapToGrid/>
        <w:spacing w:line="580" w:lineRule="exact"/>
        <w:ind w:firstLine="640" w:firstLineChars="200"/>
        <w:jc w:val="both"/>
        <w:rPr>
          <w:rFonts w:hint="default" w:ascii="Times New Roman" w:hAnsi="Times New Roman" w:eastAsia="方正仿宋_GBK" w:cs="Times New Roman"/>
          <w:color w:val="auto"/>
          <w:sz w:val="32"/>
          <w:szCs w:val="32"/>
          <w:u w:val="none"/>
          <w:lang w:val="en-US" w:eastAsia="zh-CN"/>
        </w:rPr>
      </w:pPr>
      <w:r>
        <w:rPr>
          <w:rFonts w:hint="eastAsia" w:ascii="Times New Roman" w:hAnsi="Times New Roman" w:eastAsia="方正仿宋_GBK" w:cs="Times New Roman"/>
          <w:color w:val="auto"/>
          <w:kern w:val="2"/>
          <w:sz w:val="32"/>
          <w:szCs w:val="32"/>
          <w:u w:val="none"/>
          <w:lang w:val="en-US" w:eastAsia="zh-CN" w:bidi="ar-SA"/>
        </w:rPr>
        <w:t xml:space="preserve"> </w:t>
      </w:r>
      <w:r>
        <w:rPr>
          <w:rFonts w:hint="default" w:ascii="Times New Roman" w:hAnsi="Times New Roman" w:eastAsia="方正仿宋_GBK" w:cs="Times New Roman"/>
          <w:color w:val="auto"/>
          <w:kern w:val="2"/>
          <w:sz w:val="32"/>
          <w:szCs w:val="32"/>
          <w:u w:val="none"/>
          <w:lang w:val="en-US" w:eastAsia="zh-CN" w:bidi="ar-SA"/>
        </w:rPr>
        <w:t>学员家长应当警惕校外培训机构以打折、促销等各类优惠方式诱导家长超额超期缴费，或不经平台收费，或以任何名义向培训对象摊派费用、强行集资，或组织培训贷等行为的法律风险和资金风险。校外培训机构存在前述行为的，家长有权拒绝并及时向相关部门反映。</w:t>
      </w:r>
    </w:p>
    <w:p>
      <w:pPr>
        <w:keepNext w:val="0"/>
        <w:keepLines w:val="0"/>
        <w:pageBreakBefore w:val="0"/>
        <w:widowControl/>
        <w:numPr>
          <w:ilvl w:val="0"/>
          <w:numId w:val="1"/>
        </w:numPr>
        <w:kinsoku/>
        <w:wordWrap/>
        <w:overflowPunct w:val="0"/>
        <w:topLinePunct w:val="0"/>
        <w:autoSpaceDE/>
        <w:autoSpaceDN/>
        <w:bidi w:val="0"/>
        <w:adjustRightInd/>
        <w:snapToGrid/>
        <w:spacing w:line="580" w:lineRule="exact"/>
        <w:ind w:firstLine="640" w:firstLineChars="200"/>
        <w:jc w:val="both"/>
        <w:rPr>
          <w:rFonts w:hint="default" w:ascii="Times New Roman" w:hAnsi="Times New Roman" w:eastAsia="方正仿宋_GBK" w:cs="Times New Roman"/>
          <w:color w:val="auto"/>
          <w:sz w:val="32"/>
          <w:szCs w:val="32"/>
          <w:u w:val="none"/>
          <w:lang w:val="en-US" w:eastAsia="zh-CN"/>
        </w:rPr>
      </w:pPr>
      <w:r>
        <w:rPr>
          <w:rFonts w:hint="eastAsia" w:ascii="Times New Roman" w:hAnsi="Times New Roman" w:eastAsia="方正仿宋_GBK" w:cs="Times New Roman"/>
          <w:color w:val="auto"/>
          <w:sz w:val="32"/>
          <w:szCs w:val="32"/>
          <w:u w:val="none"/>
          <w:lang w:val="en-US" w:eastAsia="zh-CN"/>
        </w:rPr>
        <w:t xml:space="preserve"> </w:t>
      </w:r>
      <w:r>
        <w:rPr>
          <w:rFonts w:hint="default" w:ascii="Times New Roman" w:hAnsi="Times New Roman" w:eastAsia="方正仿宋_GBK" w:cs="Times New Roman"/>
          <w:color w:val="auto"/>
          <w:sz w:val="32"/>
          <w:szCs w:val="32"/>
          <w:u w:val="none"/>
          <w:lang w:val="en-US" w:eastAsia="zh-CN"/>
        </w:rPr>
        <w:t>校外培训预收费须全部进入</w:t>
      </w:r>
      <w:r>
        <w:rPr>
          <w:rFonts w:hint="eastAsia" w:eastAsia="方正仿宋_GBK" w:cs="Times New Roman"/>
          <w:color w:val="auto"/>
          <w:sz w:val="32"/>
          <w:szCs w:val="32"/>
          <w:u w:val="none"/>
          <w:lang w:val="en-US" w:eastAsia="zh-CN"/>
        </w:rPr>
        <w:t>托管账户</w:t>
      </w:r>
      <w:r>
        <w:rPr>
          <w:rFonts w:hint="default" w:ascii="Times New Roman" w:hAnsi="Times New Roman" w:eastAsia="方正仿宋_GBK" w:cs="Times New Roman"/>
          <w:color w:val="auto"/>
          <w:sz w:val="32"/>
          <w:szCs w:val="32"/>
          <w:u w:val="none"/>
          <w:lang w:val="en-US" w:eastAsia="zh-CN"/>
        </w:rPr>
        <w:t>，</w:t>
      </w:r>
      <w:r>
        <w:rPr>
          <w:rFonts w:hint="eastAsia" w:eastAsia="方正仿宋_GBK" w:cs="Times New Roman"/>
          <w:color w:val="auto"/>
          <w:sz w:val="32"/>
          <w:szCs w:val="32"/>
          <w:u w:val="none"/>
          <w:lang w:val="en-US" w:eastAsia="zh-CN"/>
        </w:rPr>
        <w:t>托管账户</w:t>
      </w:r>
      <w:r>
        <w:rPr>
          <w:rFonts w:hint="default" w:ascii="Times New Roman" w:hAnsi="Times New Roman" w:eastAsia="方正仿宋_GBK" w:cs="Times New Roman"/>
          <w:color w:val="auto"/>
          <w:sz w:val="32"/>
          <w:szCs w:val="32"/>
          <w:u w:val="none"/>
          <w:lang w:val="en-US" w:eastAsia="zh-CN"/>
        </w:rPr>
        <w:t>中的资金拨付须与授课进度同步、同比例，实行“消拨同步”。校</w:t>
      </w:r>
      <w:r>
        <w:rPr>
          <w:rFonts w:hint="default" w:ascii="Times New Roman" w:hAnsi="Times New Roman" w:eastAsia="方正仿宋_GBK" w:cs="Times New Roman"/>
          <w:b w:val="0"/>
          <w:bCs w:val="0"/>
          <w:color w:val="auto"/>
          <w:sz w:val="32"/>
          <w:szCs w:val="32"/>
          <w:u w:val="none"/>
          <w:lang w:val="en-US" w:eastAsia="zh-CN"/>
        </w:rPr>
        <w:t>外培训机构授课完成并经</w:t>
      </w:r>
      <w:r>
        <w:rPr>
          <w:rFonts w:hint="eastAsia" w:eastAsia="方正仿宋_GBK" w:cs="Times New Roman"/>
          <w:b w:val="0"/>
          <w:bCs w:val="0"/>
          <w:color w:val="auto"/>
          <w:sz w:val="32"/>
          <w:szCs w:val="32"/>
          <w:u w:val="none"/>
          <w:lang w:val="en-US" w:eastAsia="zh-CN"/>
        </w:rPr>
        <w:t>学员家长</w:t>
      </w:r>
      <w:r>
        <w:rPr>
          <w:rFonts w:hint="default" w:ascii="Times New Roman" w:hAnsi="Times New Roman" w:eastAsia="方正仿宋_GBK" w:cs="Times New Roman"/>
          <w:b w:val="0"/>
          <w:bCs w:val="0"/>
          <w:color w:val="auto"/>
          <w:sz w:val="32"/>
          <w:szCs w:val="32"/>
          <w:u w:val="none"/>
          <w:lang w:val="en-US" w:eastAsia="zh-CN"/>
        </w:rPr>
        <w:t>确认同意</w:t>
      </w:r>
      <w:r>
        <w:rPr>
          <w:rFonts w:hint="eastAsia" w:eastAsia="方正仿宋_GBK" w:cs="Times New Roman"/>
          <w:b w:val="0"/>
          <w:bCs w:val="0"/>
          <w:color w:val="auto"/>
          <w:sz w:val="32"/>
          <w:szCs w:val="32"/>
          <w:u w:val="none"/>
          <w:lang w:val="en-US" w:eastAsia="zh-CN"/>
        </w:rPr>
        <w:t>后</w:t>
      </w:r>
      <w:r>
        <w:rPr>
          <w:rFonts w:hint="default" w:ascii="Times New Roman" w:hAnsi="Times New Roman" w:eastAsia="方正仿宋_GBK" w:cs="Times New Roman"/>
          <w:b w:val="0"/>
          <w:bCs w:val="0"/>
          <w:color w:val="auto"/>
          <w:sz w:val="32"/>
          <w:szCs w:val="32"/>
          <w:u w:val="none"/>
          <w:lang w:val="en-US" w:eastAsia="zh-CN"/>
        </w:rPr>
        <w:t>，平台</w:t>
      </w:r>
      <w:r>
        <w:rPr>
          <w:rFonts w:hint="eastAsia" w:eastAsia="方正仿宋_GBK" w:cs="Times New Roman"/>
          <w:b w:val="0"/>
          <w:bCs w:val="0"/>
          <w:color w:val="auto"/>
          <w:sz w:val="32"/>
          <w:szCs w:val="32"/>
          <w:u w:val="none"/>
          <w:lang w:val="en-US" w:eastAsia="zh-CN"/>
        </w:rPr>
        <w:t>发送划拨指令，</w:t>
      </w:r>
      <w:r>
        <w:rPr>
          <w:rFonts w:hint="default" w:ascii="Times New Roman" w:hAnsi="Times New Roman" w:eastAsia="方正仿宋_GBK" w:cs="Times New Roman"/>
          <w:b w:val="0"/>
          <w:bCs w:val="0"/>
          <w:color w:val="auto"/>
          <w:sz w:val="32"/>
          <w:szCs w:val="32"/>
          <w:u w:val="none"/>
          <w:lang w:val="en-US" w:eastAsia="zh-CN"/>
        </w:rPr>
        <w:t>托管银行将相应资金拨付至校外培训机构结算账户</w:t>
      </w:r>
      <w:r>
        <w:rPr>
          <w:rFonts w:hint="eastAsia" w:eastAsia="方正仿宋_GBK" w:cs="Times New Roman"/>
          <w:b w:val="0"/>
          <w:bCs w:val="0"/>
          <w:color w:val="auto"/>
          <w:sz w:val="32"/>
          <w:szCs w:val="32"/>
          <w:u w:val="none"/>
          <w:lang w:val="en-US" w:eastAsia="zh-CN"/>
        </w:rPr>
        <w:t>；</w:t>
      </w:r>
      <w:r>
        <w:rPr>
          <w:rFonts w:hint="default" w:ascii="Times New Roman" w:hAnsi="Times New Roman" w:eastAsia="方正仿宋_GBK" w:cs="Times New Roman"/>
          <w:b w:val="0"/>
          <w:bCs w:val="0"/>
          <w:color w:val="auto"/>
          <w:sz w:val="32"/>
          <w:szCs w:val="32"/>
          <w:u w:val="none"/>
          <w:lang w:val="en-US" w:eastAsia="zh-CN"/>
        </w:rPr>
        <w:t>学员</w:t>
      </w:r>
      <w:r>
        <w:rPr>
          <w:rFonts w:hint="eastAsia" w:eastAsia="方正仿宋_GBK" w:cs="Times New Roman"/>
          <w:b w:val="0"/>
          <w:bCs w:val="0"/>
          <w:color w:val="auto"/>
          <w:sz w:val="32"/>
          <w:szCs w:val="32"/>
          <w:u w:val="none"/>
          <w:lang w:val="en-US" w:eastAsia="zh-CN"/>
        </w:rPr>
        <w:t>家长</w:t>
      </w:r>
      <w:r>
        <w:rPr>
          <w:rFonts w:hint="default" w:ascii="Times New Roman" w:hAnsi="Times New Roman" w:eastAsia="方正仿宋_GBK" w:cs="Times New Roman"/>
          <w:b w:val="0"/>
          <w:bCs w:val="0"/>
          <w:color w:val="auto"/>
          <w:sz w:val="32"/>
          <w:szCs w:val="32"/>
          <w:u w:val="none"/>
          <w:lang w:val="en-US" w:eastAsia="zh-CN"/>
        </w:rPr>
        <w:t>超过</w:t>
      </w:r>
      <w:r>
        <w:rPr>
          <w:rFonts w:hint="eastAsia" w:eastAsia="方正仿宋_GBK" w:cs="Times New Roman"/>
          <w:b w:val="0"/>
          <w:bCs w:val="0"/>
          <w:color w:val="auto"/>
          <w:sz w:val="32"/>
          <w:szCs w:val="32"/>
          <w:u w:val="none"/>
          <w:lang w:val="en-US" w:eastAsia="zh-CN"/>
        </w:rPr>
        <w:t>7</w:t>
      </w:r>
      <w:r>
        <w:rPr>
          <w:rFonts w:hint="default" w:ascii="Times New Roman" w:hAnsi="Times New Roman" w:eastAsia="方正仿宋_GBK" w:cs="Times New Roman"/>
          <w:b w:val="0"/>
          <w:bCs w:val="0"/>
          <w:color w:val="auto"/>
          <w:sz w:val="32"/>
          <w:szCs w:val="32"/>
          <w:u w:val="none"/>
          <w:lang w:val="en-US" w:eastAsia="zh-CN"/>
        </w:rPr>
        <w:t>日未确认的，</w:t>
      </w:r>
      <w:r>
        <w:rPr>
          <w:rFonts w:hint="eastAsia" w:eastAsia="方正仿宋_GBK" w:cs="Times New Roman"/>
          <w:b w:val="0"/>
          <w:bCs w:val="0"/>
          <w:color w:val="auto"/>
          <w:sz w:val="32"/>
          <w:szCs w:val="32"/>
          <w:u w:val="none"/>
          <w:lang w:val="en-US" w:eastAsia="zh-CN"/>
        </w:rPr>
        <w:t>平台自动发送划拨指令</w:t>
      </w:r>
      <w:r>
        <w:rPr>
          <w:rFonts w:hint="default" w:ascii="Times New Roman" w:hAnsi="Times New Roman" w:eastAsia="方正仿宋_GBK" w:cs="Times New Roman"/>
          <w:b w:val="0"/>
          <w:bCs w:val="0"/>
          <w:color w:val="auto"/>
          <w:sz w:val="32"/>
          <w:szCs w:val="32"/>
          <w:u w:val="none"/>
          <w:lang w:val="en-US" w:eastAsia="zh-CN"/>
        </w:rPr>
        <w:t>。</w:t>
      </w:r>
    </w:p>
    <w:p>
      <w:pPr>
        <w:keepNext w:val="0"/>
        <w:keepLines w:val="0"/>
        <w:pageBreakBefore w:val="0"/>
        <w:widowControl/>
        <w:numPr>
          <w:ilvl w:val="0"/>
          <w:numId w:val="1"/>
        </w:numPr>
        <w:kinsoku/>
        <w:wordWrap/>
        <w:overflowPunct w:val="0"/>
        <w:topLinePunct w:val="0"/>
        <w:autoSpaceDE/>
        <w:autoSpaceDN/>
        <w:bidi w:val="0"/>
        <w:adjustRightInd/>
        <w:snapToGrid/>
        <w:spacing w:line="580" w:lineRule="exact"/>
        <w:ind w:firstLine="640" w:firstLineChars="200"/>
        <w:jc w:val="both"/>
        <w:rPr>
          <w:rFonts w:hint="default" w:ascii="Times New Roman" w:hAnsi="Times New Roman" w:eastAsia="方正仿宋_GBK" w:cs="Times New Roman"/>
          <w:b w:val="0"/>
          <w:bCs w:val="0"/>
          <w:color w:val="auto"/>
          <w:sz w:val="32"/>
          <w:szCs w:val="32"/>
          <w:u w:val="none"/>
          <w:lang w:val="en-US" w:eastAsia="zh-CN"/>
        </w:rPr>
      </w:pPr>
      <w:r>
        <w:rPr>
          <w:rFonts w:hint="eastAsia" w:ascii="Times New Roman" w:hAnsi="Times New Roman" w:eastAsia="方正仿宋_GBK" w:cs="Times New Roman"/>
          <w:b w:val="0"/>
          <w:bCs w:val="0"/>
          <w:color w:val="auto"/>
          <w:sz w:val="32"/>
          <w:szCs w:val="32"/>
          <w:u w:val="none"/>
          <w:lang w:val="en-US" w:eastAsia="zh-CN"/>
        </w:rPr>
        <w:t xml:space="preserve"> 校外培训机构要全面使用《中小学生校外培训服务合同（示范文本）》，严禁利用不公平格式条款侵害学员合法权益。</w:t>
      </w:r>
    </w:p>
    <w:p>
      <w:pPr>
        <w:keepNext w:val="0"/>
        <w:keepLines w:val="0"/>
        <w:pageBreakBefore w:val="0"/>
        <w:widowControl/>
        <w:numPr>
          <w:ilvl w:val="0"/>
          <w:numId w:val="1"/>
        </w:numPr>
        <w:kinsoku/>
        <w:wordWrap/>
        <w:overflowPunct w:val="0"/>
        <w:topLinePunct w:val="0"/>
        <w:autoSpaceDE/>
        <w:autoSpaceDN/>
        <w:bidi w:val="0"/>
        <w:adjustRightInd/>
        <w:snapToGrid/>
        <w:spacing w:line="580" w:lineRule="exact"/>
        <w:ind w:firstLine="640" w:firstLineChars="200"/>
        <w:jc w:val="both"/>
        <w:rPr>
          <w:rFonts w:hint="default" w:eastAsia="方正仿宋_GBK" w:cs="Times New Roman"/>
          <w:color w:val="auto"/>
          <w:sz w:val="32"/>
          <w:szCs w:val="32"/>
          <w:u w:val="none"/>
          <w:lang w:val="en-US" w:eastAsia="zh-CN"/>
        </w:rPr>
      </w:pPr>
      <w:r>
        <w:rPr>
          <w:rFonts w:hint="eastAsia" w:eastAsia="方正仿宋_GBK" w:cs="Times New Roman"/>
          <w:color w:val="auto"/>
          <w:sz w:val="32"/>
          <w:szCs w:val="32"/>
          <w:u w:val="none"/>
          <w:lang w:val="en-US" w:eastAsia="zh-CN"/>
        </w:rPr>
        <w:t xml:space="preserve"> 签订培训合同时，</w:t>
      </w:r>
      <w:r>
        <w:rPr>
          <w:rFonts w:hint="eastAsia" w:eastAsia="方正仿宋_GBK" w:cs="Times New Roman"/>
          <w:b w:val="0"/>
          <w:bCs w:val="0"/>
          <w:color w:val="auto"/>
          <w:sz w:val="32"/>
          <w:szCs w:val="32"/>
          <w:u w:val="none"/>
          <w:lang w:val="en-US" w:eastAsia="zh-CN"/>
        </w:rPr>
        <w:t>校外培训机构和</w:t>
      </w:r>
      <w:r>
        <w:rPr>
          <w:rFonts w:hint="eastAsia" w:eastAsia="方正仿宋_GBK" w:cs="Times New Roman"/>
          <w:color w:val="auto"/>
          <w:sz w:val="32"/>
          <w:szCs w:val="32"/>
          <w:u w:val="none"/>
          <w:lang w:val="en-US" w:eastAsia="zh-CN"/>
        </w:rPr>
        <w:t>学员家长须一并签订《风险告知书》，并在《风险告知书》中如实填写培训课时和缴费信息。校外培训机构应于每月末将培训合同签订情况汇总成册，并将汇总表和合同对应的《风险告知书》留档备查。</w:t>
      </w:r>
    </w:p>
    <w:p>
      <w:pPr>
        <w:keepNext w:val="0"/>
        <w:keepLines w:val="0"/>
        <w:pageBreakBefore w:val="0"/>
        <w:widowControl/>
        <w:numPr>
          <w:ilvl w:val="0"/>
          <w:numId w:val="0"/>
        </w:numPr>
        <w:kinsoku/>
        <w:wordWrap/>
        <w:overflowPunct w:val="0"/>
        <w:topLinePunct w:val="0"/>
        <w:autoSpaceDE/>
        <w:autoSpaceDN/>
        <w:bidi w:val="0"/>
        <w:adjustRightInd/>
        <w:snapToGrid/>
        <w:spacing w:line="580" w:lineRule="exact"/>
        <w:jc w:val="both"/>
        <w:rPr>
          <w:rFonts w:hint="eastAsia" w:ascii="Times New Roman" w:hAnsi="Times New Roman" w:eastAsia="方正黑体_GBK" w:cs="Times New Roman"/>
          <w:b/>
          <w:bCs/>
          <w:color w:val="auto"/>
          <w:sz w:val="32"/>
          <w:szCs w:val="32"/>
          <w:u w:val="none"/>
          <w:lang w:val="en-US" w:eastAsia="zh-CN"/>
        </w:rPr>
      </w:pPr>
    </w:p>
    <w:p>
      <w:pPr>
        <w:keepNext w:val="0"/>
        <w:keepLines w:val="0"/>
        <w:pageBreakBefore w:val="0"/>
        <w:widowControl/>
        <w:numPr>
          <w:ilvl w:val="0"/>
          <w:numId w:val="0"/>
        </w:numPr>
        <w:kinsoku/>
        <w:wordWrap/>
        <w:overflowPunct w:val="0"/>
        <w:topLinePunct w:val="0"/>
        <w:autoSpaceDE/>
        <w:autoSpaceDN/>
        <w:bidi w:val="0"/>
        <w:adjustRightInd/>
        <w:snapToGrid/>
        <w:spacing w:line="580" w:lineRule="exact"/>
        <w:jc w:val="center"/>
        <w:rPr>
          <w:rFonts w:hint="eastAsia" w:ascii="Times New Roman" w:hAnsi="Times New Roman" w:eastAsia="方正黑体_GBK" w:cs="Times New Roman"/>
          <w:color w:val="auto"/>
          <w:sz w:val="32"/>
          <w:szCs w:val="32"/>
          <w:u w:val="none"/>
          <w:lang w:val="en-US" w:eastAsia="zh-CN"/>
        </w:rPr>
      </w:pPr>
      <w:r>
        <w:rPr>
          <w:rFonts w:hint="eastAsia" w:ascii="Times New Roman" w:hAnsi="Times New Roman" w:eastAsia="方正黑体_GBK" w:cs="Times New Roman"/>
          <w:b/>
          <w:bCs/>
          <w:color w:val="auto"/>
          <w:sz w:val="32"/>
          <w:szCs w:val="32"/>
          <w:u w:val="none"/>
          <w:lang w:val="en-US" w:eastAsia="zh-CN"/>
        </w:rPr>
        <w:t>第三章</w:t>
      </w:r>
      <w:r>
        <w:rPr>
          <w:rFonts w:hint="eastAsia" w:ascii="Times New Roman" w:hAnsi="Times New Roman" w:eastAsia="方正黑体_GBK" w:cs="Times New Roman"/>
          <w:color w:val="auto"/>
          <w:sz w:val="32"/>
          <w:szCs w:val="32"/>
          <w:u w:val="none"/>
          <w:lang w:val="en-US" w:eastAsia="zh-CN"/>
        </w:rPr>
        <w:t xml:space="preserve">  </w:t>
      </w:r>
      <w:r>
        <w:rPr>
          <w:rFonts w:hint="default" w:ascii="Times New Roman" w:hAnsi="Times New Roman" w:eastAsia="方正黑体_GBK" w:cs="Times New Roman"/>
          <w:color w:val="auto"/>
          <w:sz w:val="32"/>
          <w:szCs w:val="32"/>
          <w:u w:val="none"/>
          <w:lang w:val="en-US" w:eastAsia="zh-CN"/>
        </w:rPr>
        <w:t>风险</w:t>
      </w:r>
      <w:r>
        <w:rPr>
          <w:rFonts w:hint="eastAsia" w:ascii="Times New Roman" w:hAnsi="Times New Roman" w:eastAsia="方正黑体_GBK" w:cs="Times New Roman"/>
          <w:color w:val="auto"/>
          <w:sz w:val="32"/>
          <w:szCs w:val="32"/>
          <w:u w:val="none"/>
          <w:lang w:val="en-US" w:eastAsia="zh-CN"/>
        </w:rPr>
        <w:t>保证金管理</w:t>
      </w:r>
    </w:p>
    <w:p>
      <w:pPr>
        <w:keepNext w:val="0"/>
        <w:keepLines w:val="0"/>
        <w:pageBreakBefore w:val="0"/>
        <w:widowControl/>
        <w:numPr>
          <w:ilvl w:val="0"/>
          <w:numId w:val="0"/>
        </w:numPr>
        <w:kinsoku/>
        <w:wordWrap/>
        <w:overflowPunct w:val="0"/>
        <w:topLinePunct w:val="0"/>
        <w:autoSpaceDE/>
        <w:autoSpaceDN/>
        <w:bidi w:val="0"/>
        <w:adjustRightInd/>
        <w:snapToGrid/>
        <w:spacing w:line="580" w:lineRule="exact"/>
        <w:jc w:val="both"/>
        <w:rPr>
          <w:rFonts w:hint="default" w:ascii="Times New Roman" w:hAnsi="Times New Roman" w:eastAsia="方正黑体_GBK" w:cs="Times New Roman"/>
          <w:color w:val="auto"/>
          <w:sz w:val="32"/>
          <w:szCs w:val="32"/>
          <w:u w:val="none"/>
          <w:lang w:val="en-US" w:eastAsia="zh-CN"/>
        </w:rPr>
      </w:pPr>
    </w:p>
    <w:p>
      <w:pPr>
        <w:keepNext w:val="0"/>
        <w:keepLines w:val="0"/>
        <w:pageBreakBefore w:val="0"/>
        <w:widowControl/>
        <w:numPr>
          <w:ilvl w:val="0"/>
          <w:numId w:val="1"/>
        </w:numPr>
        <w:kinsoku/>
        <w:wordWrap/>
        <w:overflowPunct w:val="0"/>
        <w:topLinePunct w:val="0"/>
        <w:autoSpaceDE/>
        <w:autoSpaceDN/>
        <w:bidi w:val="0"/>
        <w:adjustRightInd/>
        <w:snapToGrid/>
        <w:spacing w:line="580" w:lineRule="exact"/>
        <w:ind w:firstLine="640" w:firstLineChars="200"/>
        <w:jc w:val="both"/>
        <w:rPr>
          <w:rFonts w:hint="eastAsia" w:ascii="Times New Roman" w:hAnsi="Times New Roman" w:eastAsia="方正仿宋_GBK" w:cs="Times New Roman"/>
          <w:color w:val="auto"/>
          <w:sz w:val="32"/>
          <w:szCs w:val="32"/>
          <w:u w:val="none"/>
          <w:lang w:val="en-US" w:eastAsia="zh-CN"/>
        </w:rPr>
      </w:pPr>
      <w:r>
        <w:rPr>
          <w:rFonts w:hint="eastAsia" w:eastAsia="方正仿宋_GBK" w:cs="Times New Roman"/>
          <w:color w:val="auto"/>
          <w:sz w:val="32"/>
          <w:szCs w:val="32"/>
          <w:u w:val="none"/>
          <w:lang w:val="en-US" w:eastAsia="zh-CN"/>
        </w:rPr>
        <w:t xml:space="preserve"> </w:t>
      </w:r>
      <w:r>
        <w:rPr>
          <w:rFonts w:hint="eastAsia" w:ascii="Times New Roman" w:hAnsi="Times New Roman" w:eastAsia="方正仿宋_GBK" w:cs="Times New Roman"/>
          <w:b w:val="0"/>
          <w:bCs w:val="0"/>
          <w:color w:val="auto"/>
          <w:sz w:val="32"/>
          <w:szCs w:val="32"/>
          <w:u w:val="none"/>
          <w:lang w:val="en-US" w:eastAsia="zh-CN"/>
        </w:rPr>
        <w:t>校外培训机构应</w:t>
      </w:r>
      <w:r>
        <w:rPr>
          <w:rFonts w:hint="eastAsia" w:eastAsia="方正仿宋_GBK" w:cs="Times New Roman"/>
          <w:color w:val="auto"/>
          <w:sz w:val="32"/>
          <w:szCs w:val="32"/>
          <w:u w:val="none"/>
          <w:lang w:val="en-US" w:eastAsia="zh-CN"/>
        </w:rPr>
        <w:t>在符合平台监管要求的银行</w:t>
      </w:r>
      <w:r>
        <w:rPr>
          <w:rFonts w:hint="eastAsia" w:ascii="Times New Roman" w:hAnsi="Times New Roman" w:eastAsia="方正仿宋_GBK" w:cs="Times New Roman"/>
          <w:color w:val="auto"/>
          <w:sz w:val="32"/>
          <w:szCs w:val="32"/>
          <w:u w:val="none"/>
          <w:lang w:val="en-US" w:eastAsia="zh-CN"/>
        </w:rPr>
        <w:t>设立风险保证金</w:t>
      </w:r>
      <w:r>
        <w:rPr>
          <w:rFonts w:hint="default" w:ascii="Times New Roman" w:hAnsi="Times New Roman" w:eastAsia="方正仿宋_GBK" w:cs="Times New Roman"/>
          <w:color w:val="auto"/>
          <w:sz w:val="32"/>
          <w:szCs w:val="32"/>
          <w:u w:val="none"/>
          <w:lang w:val="en-US" w:eastAsia="zh-CN"/>
        </w:rPr>
        <w:t>专用账户</w:t>
      </w:r>
      <w:r>
        <w:rPr>
          <w:rFonts w:hint="eastAsia" w:ascii="Times New Roman" w:hAnsi="Times New Roman" w:eastAsia="方正仿宋_GBK" w:cs="Times New Roman"/>
          <w:color w:val="auto"/>
          <w:sz w:val="32"/>
          <w:szCs w:val="32"/>
          <w:u w:val="none"/>
          <w:lang w:val="en-US" w:eastAsia="zh-CN"/>
        </w:rPr>
        <w:t>（以下简称“保证金账户”）</w:t>
      </w:r>
      <w:r>
        <w:rPr>
          <w:rFonts w:hint="default" w:ascii="Times New Roman" w:hAnsi="Times New Roman" w:eastAsia="方正仿宋_GBK" w:cs="Times New Roman"/>
          <w:color w:val="auto"/>
          <w:sz w:val="32"/>
          <w:szCs w:val="32"/>
          <w:u w:val="none"/>
          <w:lang w:val="en-US" w:eastAsia="zh-CN"/>
        </w:rPr>
        <w:t>，由</w:t>
      </w:r>
      <w:r>
        <w:rPr>
          <w:rFonts w:hint="eastAsia" w:ascii="Times New Roman" w:hAnsi="Times New Roman" w:eastAsia="方正仿宋_GBK" w:cs="Times New Roman"/>
          <w:color w:val="auto"/>
          <w:sz w:val="32"/>
          <w:szCs w:val="32"/>
          <w:u w:val="none"/>
          <w:lang w:val="en-US" w:eastAsia="zh-CN"/>
        </w:rPr>
        <w:t>校外培训</w:t>
      </w:r>
      <w:r>
        <w:rPr>
          <w:rFonts w:hint="default" w:ascii="Times New Roman" w:hAnsi="Times New Roman" w:eastAsia="方正仿宋_GBK" w:cs="Times New Roman"/>
          <w:color w:val="auto"/>
          <w:sz w:val="32"/>
          <w:szCs w:val="32"/>
          <w:u w:val="none"/>
          <w:lang w:val="en-US" w:eastAsia="zh-CN"/>
        </w:rPr>
        <w:t>机构举办者存入一定金额的</w:t>
      </w:r>
      <w:r>
        <w:rPr>
          <w:rFonts w:hint="eastAsia" w:ascii="Times New Roman" w:hAnsi="Times New Roman" w:eastAsia="方正仿宋_GBK" w:cs="Times New Roman"/>
          <w:color w:val="auto"/>
          <w:sz w:val="32"/>
          <w:szCs w:val="32"/>
          <w:u w:val="none"/>
          <w:lang w:val="en-US" w:eastAsia="zh-CN"/>
        </w:rPr>
        <w:t>风险保证金</w:t>
      </w:r>
      <w:r>
        <w:rPr>
          <w:rFonts w:hint="default" w:ascii="Times New Roman" w:hAnsi="Times New Roman" w:eastAsia="方正仿宋_GBK" w:cs="Times New Roman"/>
          <w:color w:val="auto"/>
          <w:sz w:val="32"/>
          <w:szCs w:val="32"/>
          <w:u w:val="none"/>
          <w:lang w:val="en-US" w:eastAsia="zh-CN"/>
        </w:rPr>
        <w:t>作为确保</w:t>
      </w:r>
      <w:r>
        <w:rPr>
          <w:rFonts w:hint="eastAsia" w:ascii="Times New Roman" w:hAnsi="Times New Roman" w:eastAsia="方正仿宋_GBK" w:cs="Times New Roman"/>
          <w:color w:val="auto"/>
          <w:sz w:val="32"/>
          <w:szCs w:val="32"/>
          <w:u w:val="none"/>
          <w:lang w:val="en-US" w:eastAsia="zh-CN"/>
        </w:rPr>
        <w:t>校外培训</w:t>
      </w:r>
      <w:r>
        <w:rPr>
          <w:rFonts w:hint="default" w:ascii="Times New Roman" w:hAnsi="Times New Roman" w:eastAsia="方正仿宋_GBK" w:cs="Times New Roman"/>
          <w:color w:val="auto"/>
          <w:sz w:val="32"/>
          <w:szCs w:val="32"/>
          <w:u w:val="none"/>
          <w:lang w:val="en-US" w:eastAsia="zh-CN"/>
        </w:rPr>
        <w:t>机构正常运营的资金保证。</w:t>
      </w:r>
    </w:p>
    <w:p>
      <w:pPr>
        <w:keepNext w:val="0"/>
        <w:keepLines w:val="0"/>
        <w:pageBreakBefore w:val="0"/>
        <w:widowControl/>
        <w:numPr>
          <w:ilvl w:val="0"/>
          <w:numId w:val="1"/>
        </w:numPr>
        <w:kinsoku/>
        <w:wordWrap/>
        <w:overflowPunct w:val="0"/>
        <w:topLinePunct w:val="0"/>
        <w:autoSpaceDE/>
        <w:autoSpaceDN/>
        <w:bidi w:val="0"/>
        <w:adjustRightInd/>
        <w:snapToGrid/>
        <w:spacing w:line="580" w:lineRule="exact"/>
        <w:ind w:firstLine="640" w:firstLineChars="200"/>
        <w:jc w:val="both"/>
        <w:rPr>
          <w:rFonts w:hint="eastAsia" w:ascii="Times New Roman" w:hAnsi="Times New Roman" w:eastAsia="方正仿宋_GBK" w:cs="Times New Roman"/>
          <w:color w:val="auto"/>
          <w:sz w:val="32"/>
          <w:szCs w:val="32"/>
          <w:u w:val="none"/>
          <w:lang w:val="en-US" w:eastAsia="zh-CN"/>
        </w:rPr>
      </w:pPr>
      <w:r>
        <w:rPr>
          <w:rFonts w:hint="eastAsia" w:ascii="Times New Roman" w:hAnsi="Times New Roman" w:eastAsia="方正仿宋_GBK" w:cs="Times New Roman"/>
          <w:color w:val="auto"/>
          <w:sz w:val="32"/>
          <w:szCs w:val="32"/>
          <w:u w:val="none"/>
          <w:lang w:val="en-US" w:eastAsia="zh-CN"/>
        </w:rPr>
        <w:t xml:space="preserve"> 风险保证金</w:t>
      </w:r>
      <w:r>
        <w:rPr>
          <w:rFonts w:hint="default" w:ascii="Times New Roman" w:hAnsi="Times New Roman" w:eastAsia="方正仿宋_GBK" w:cs="Times New Roman"/>
          <w:color w:val="auto"/>
          <w:sz w:val="32"/>
          <w:szCs w:val="32"/>
          <w:u w:val="none"/>
          <w:lang w:val="en-US" w:eastAsia="zh-CN"/>
        </w:rPr>
        <w:t>最低额度不得低于校外培训机构收取的所有学员单个收费周期（3个月）的费用总金额。风险</w:t>
      </w:r>
      <w:r>
        <w:rPr>
          <w:rFonts w:hint="eastAsia" w:ascii="Times New Roman" w:hAnsi="Times New Roman" w:eastAsia="方正仿宋_GBK" w:cs="Times New Roman"/>
          <w:color w:val="auto"/>
          <w:sz w:val="32"/>
          <w:szCs w:val="32"/>
          <w:u w:val="none"/>
          <w:lang w:val="en-US" w:eastAsia="zh-CN"/>
        </w:rPr>
        <w:t>保证金</w:t>
      </w:r>
      <w:r>
        <w:rPr>
          <w:rFonts w:hint="default" w:ascii="Times New Roman" w:hAnsi="Times New Roman" w:eastAsia="方正仿宋_GBK" w:cs="Times New Roman"/>
          <w:color w:val="auto"/>
          <w:sz w:val="32"/>
          <w:szCs w:val="32"/>
          <w:u w:val="none"/>
          <w:lang w:val="en-US" w:eastAsia="zh-CN"/>
        </w:rPr>
        <w:t>额度由</w:t>
      </w:r>
      <w:r>
        <w:rPr>
          <w:rFonts w:hint="eastAsia" w:ascii="Times New Roman" w:hAnsi="Times New Roman" w:eastAsia="方正仿宋_GBK" w:cs="Times New Roman"/>
          <w:color w:val="auto"/>
          <w:sz w:val="32"/>
          <w:szCs w:val="32"/>
          <w:u w:val="none"/>
          <w:lang w:val="en-US" w:eastAsia="zh-CN"/>
        </w:rPr>
        <w:t>渝中区教育委员会</w:t>
      </w:r>
      <w:r>
        <w:rPr>
          <w:rFonts w:hint="default" w:ascii="Times New Roman" w:hAnsi="Times New Roman" w:eastAsia="方正仿宋_GBK" w:cs="Times New Roman"/>
          <w:color w:val="auto"/>
          <w:sz w:val="32"/>
          <w:szCs w:val="32"/>
          <w:u w:val="none"/>
          <w:lang w:val="en-US" w:eastAsia="zh-CN"/>
        </w:rPr>
        <w:t>负责核定，实行动态调整，并提供给托管银行，总金额可按上年度培训机构收取所有学员单个收费周期费用的平均值测算</w:t>
      </w:r>
      <w:r>
        <w:rPr>
          <w:rFonts w:hint="eastAsia" w:ascii="Times New Roman" w:hAnsi="Times New Roman" w:eastAsia="方正仿宋_GBK" w:cs="Times New Roman"/>
          <w:color w:val="auto"/>
          <w:sz w:val="32"/>
          <w:szCs w:val="32"/>
          <w:u w:val="none"/>
          <w:lang w:val="en-US" w:eastAsia="zh-CN"/>
        </w:rPr>
        <w:t>。</w:t>
      </w:r>
    </w:p>
    <w:p>
      <w:pPr>
        <w:widowControl/>
        <w:numPr>
          <w:ilvl w:val="0"/>
          <w:numId w:val="1"/>
        </w:numPr>
        <w:overflowPunct w:val="0"/>
        <w:spacing w:line="580" w:lineRule="exact"/>
        <w:ind w:firstLine="640" w:firstLineChars="200"/>
        <w:rPr>
          <w:rStyle w:val="4"/>
          <w:rFonts w:hint="eastAsia" w:ascii="Times New Roman" w:hAnsi="Times New Roman" w:eastAsia="方正仿宋_GBK" w:cs="Times New Roman"/>
          <w:color w:val="auto"/>
          <w:u w:val="none"/>
          <w:lang w:val="en-US" w:eastAsia="zh-CN"/>
        </w:rPr>
      </w:pPr>
      <w:r>
        <w:rPr>
          <w:rFonts w:hint="default" w:ascii="Times New Roman" w:hAnsi="Times New Roman" w:eastAsia="方正仿宋_GBK" w:cs="Times New Roman"/>
          <w:color w:val="auto"/>
          <w:sz w:val="32"/>
          <w:szCs w:val="32"/>
          <w:u w:val="none"/>
          <w:lang w:val="en-US" w:eastAsia="zh-CN"/>
        </w:rPr>
        <w:t>风险</w:t>
      </w:r>
      <w:r>
        <w:rPr>
          <w:rFonts w:hint="eastAsia" w:ascii="Times New Roman" w:hAnsi="Times New Roman" w:eastAsia="方正仿宋_GBK" w:cs="Times New Roman"/>
          <w:color w:val="auto"/>
          <w:sz w:val="32"/>
          <w:szCs w:val="32"/>
          <w:u w:val="none"/>
          <w:lang w:val="en-US" w:eastAsia="zh-CN"/>
        </w:rPr>
        <w:t>保证金由托管银行</w:t>
      </w:r>
      <w:r>
        <w:rPr>
          <w:rFonts w:hint="default" w:ascii="Times New Roman" w:hAnsi="Times New Roman" w:eastAsia="方正仿宋_GBK" w:cs="Times New Roman"/>
          <w:color w:val="auto"/>
          <w:sz w:val="32"/>
          <w:szCs w:val="32"/>
          <w:u w:val="none"/>
          <w:lang w:val="en-US" w:eastAsia="zh-CN"/>
        </w:rPr>
        <w:t>进行监管</w:t>
      </w:r>
      <w:r>
        <w:rPr>
          <w:rFonts w:hint="eastAsia" w:eastAsia="方正仿宋_GBK" w:cs="Times New Roman"/>
          <w:color w:val="auto"/>
          <w:sz w:val="32"/>
          <w:szCs w:val="32"/>
          <w:u w:val="none"/>
          <w:lang w:val="en-US" w:eastAsia="zh-CN"/>
        </w:rPr>
        <w:t>。</w:t>
      </w:r>
      <w:r>
        <w:rPr>
          <w:rFonts w:hint="eastAsia" w:ascii="Times New Roman" w:hAnsi="Times New Roman" w:eastAsia="方正仿宋_GBK" w:cs="Times New Roman"/>
          <w:color w:val="auto"/>
          <w:sz w:val="32"/>
          <w:szCs w:val="32"/>
          <w:u w:val="none"/>
          <w:lang w:val="en-US" w:eastAsia="zh-CN"/>
        </w:rPr>
        <w:t>托管银行</w:t>
      </w:r>
      <w:r>
        <w:rPr>
          <w:rFonts w:hint="eastAsia" w:eastAsia="方正仿宋_GBK" w:cs="Times New Roman"/>
          <w:color w:val="auto"/>
          <w:sz w:val="32"/>
          <w:szCs w:val="32"/>
          <w:u w:val="none"/>
          <w:lang w:val="en-US" w:eastAsia="zh-CN"/>
        </w:rPr>
        <w:t>应当分别与</w:t>
      </w:r>
      <w:r>
        <w:rPr>
          <w:rFonts w:hint="eastAsia" w:ascii="Times New Roman" w:hAnsi="Times New Roman" w:eastAsia="方正仿宋_GBK" w:cs="Times New Roman"/>
          <w:color w:val="auto"/>
          <w:sz w:val="32"/>
          <w:szCs w:val="32"/>
          <w:u w:val="none"/>
          <w:lang w:val="en-US" w:eastAsia="zh-CN"/>
        </w:rPr>
        <w:t>校外培训机构</w:t>
      </w:r>
      <w:r>
        <w:rPr>
          <w:rFonts w:hint="eastAsia" w:eastAsia="方正仿宋_GBK" w:cs="Times New Roman"/>
          <w:color w:val="auto"/>
          <w:sz w:val="32"/>
          <w:szCs w:val="32"/>
          <w:u w:val="none"/>
          <w:lang w:val="en-US" w:eastAsia="zh-CN"/>
        </w:rPr>
        <w:t>、</w:t>
      </w:r>
      <w:r>
        <w:rPr>
          <w:rFonts w:hint="eastAsia" w:ascii="Times New Roman" w:hAnsi="Times New Roman" w:eastAsia="方正仿宋_GBK" w:cs="Times New Roman"/>
          <w:color w:val="auto"/>
          <w:sz w:val="32"/>
          <w:szCs w:val="32"/>
          <w:u w:val="none"/>
          <w:lang w:val="en-US" w:eastAsia="zh-CN"/>
        </w:rPr>
        <w:t>渝中区教育委员会签订资金监管协议，对监管对象、监管方式</w:t>
      </w:r>
      <w:r>
        <w:rPr>
          <w:rFonts w:hint="eastAsia" w:eastAsia="方正仿宋_GBK" w:cs="Times New Roman"/>
          <w:color w:val="auto"/>
          <w:sz w:val="32"/>
          <w:szCs w:val="32"/>
          <w:u w:val="none"/>
          <w:lang w:val="en-US" w:eastAsia="zh-CN"/>
        </w:rPr>
        <w:t>、使用情形</w:t>
      </w:r>
      <w:r>
        <w:rPr>
          <w:rFonts w:hint="eastAsia" w:ascii="Times New Roman" w:hAnsi="Times New Roman" w:eastAsia="方正仿宋_GBK" w:cs="Times New Roman"/>
          <w:color w:val="auto"/>
          <w:sz w:val="32"/>
          <w:szCs w:val="32"/>
          <w:u w:val="none"/>
          <w:lang w:val="en-US" w:eastAsia="zh-CN"/>
        </w:rPr>
        <w:t>等内容进行约定。</w:t>
      </w:r>
    </w:p>
    <w:p>
      <w:pPr>
        <w:keepNext w:val="0"/>
        <w:keepLines w:val="0"/>
        <w:pageBreakBefore w:val="0"/>
        <w:widowControl/>
        <w:numPr>
          <w:ilvl w:val="0"/>
          <w:numId w:val="1"/>
        </w:numPr>
        <w:kinsoku/>
        <w:wordWrap/>
        <w:overflowPunct w:val="0"/>
        <w:topLinePunct w:val="0"/>
        <w:autoSpaceDE/>
        <w:autoSpaceDN/>
        <w:bidi w:val="0"/>
        <w:adjustRightInd/>
        <w:snapToGrid/>
        <w:spacing w:line="580" w:lineRule="exact"/>
        <w:ind w:firstLine="640" w:firstLineChars="200"/>
        <w:jc w:val="both"/>
        <w:rPr>
          <w:rFonts w:hint="eastAsia" w:ascii="Times New Roman" w:hAnsi="Times New Roman" w:eastAsia="方正仿宋_GBK" w:cs="Times New Roman"/>
          <w:color w:val="auto"/>
          <w:sz w:val="32"/>
          <w:szCs w:val="32"/>
          <w:u w:val="none"/>
          <w:lang w:val="en-US" w:eastAsia="zh-CN"/>
        </w:rPr>
      </w:pPr>
      <w:r>
        <w:rPr>
          <w:rFonts w:hint="eastAsia" w:ascii="Times New Roman" w:hAnsi="Times New Roman" w:eastAsia="方正仿宋_GBK" w:cs="Times New Roman"/>
          <w:color w:val="auto"/>
          <w:sz w:val="32"/>
          <w:szCs w:val="32"/>
          <w:u w:val="none"/>
          <w:lang w:val="en-US" w:eastAsia="zh-CN"/>
        </w:rPr>
        <w:t xml:space="preserve"> 学员家长提出退费要求的，校外培训机构</w:t>
      </w:r>
      <w:r>
        <w:rPr>
          <w:rFonts w:hint="eastAsia" w:eastAsia="方正仿宋_GBK" w:cs="Times New Roman"/>
          <w:color w:val="auto"/>
          <w:sz w:val="32"/>
          <w:szCs w:val="32"/>
          <w:u w:val="none"/>
          <w:lang w:val="en-US" w:eastAsia="zh-CN"/>
        </w:rPr>
        <w:t>按照与</w:t>
      </w:r>
      <w:r>
        <w:rPr>
          <w:rFonts w:hint="eastAsia" w:ascii="Times New Roman" w:hAnsi="Times New Roman" w:eastAsia="方正仿宋_GBK" w:cs="Times New Roman"/>
          <w:color w:val="auto"/>
          <w:sz w:val="32"/>
          <w:szCs w:val="32"/>
          <w:u w:val="none"/>
          <w:lang w:val="en-US" w:eastAsia="zh-CN"/>
        </w:rPr>
        <w:t>学员家长签订的《中小学生校外培训服务合同（示范文本）》中的“培训退费”条款约定处理。</w:t>
      </w:r>
    </w:p>
    <w:p>
      <w:pPr>
        <w:keepNext w:val="0"/>
        <w:keepLines w:val="0"/>
        <w:pageBreakBefore w:val="0"/>
        <w:widowControl/>
        <w:numPr>
          <w:ilvl w:val="0"/>
          <w:numId w:val="1"/>
        </w:numPr>
        <w:kinsoku/>
        <w:wordWrap/>
        <w:overflowPunct w:val="0"/>
        <w:topLinePunct w:val="0"/>
        <w:autoSpaceDE/>
        <w:autoSpaceDN/>
        <w:bidi w:val="0"/>
        <w:adjustRightInd/>
        <w:snapToGrid/>
        <w:spacing w:line="580" w:lineRule="exact"/>
        <w:ind w:firstLine="640" w:firstLineChars="200"/>
        <w:jc w:val="both"/>
        <w:rPr>
          <w:rFonts w:hint="eastAsia" w:ascii="Times New Roman" w:hAnsi="Times New Roman" w:eastAsia="方正仿宋_GBK" w:cs="Times New Roman"/>
          <w:color w:val="auto"/>
          <w:sz w:val="32"/>
          <w:szCs w:val="32"/>
          <w:u w:val="none"/>
          <w:lang w:val="en-US" w:eastAsia="zh-CN"/>
        </w:rPr>
      </w:pPr>
      <w:r>
        <w:rPr>
          <w:rFonts w:hint="eastAsia" w:ascii="Times New Roman" w:hAnsi="Times New Roman" w:eastAsia="方正仿宋_GBK" w:cs="Times New Roman"/>
          <w:color w:val="auto"/>
          <w:sz w:val="32"/>
          <w:szCs w:val="32"/>
          <w:u w:val="none"/>
          <w:lang w:val="en-US" w:eastAsia="zh-CN"/>
        </w:rPr>
        <w:t xml:space="preserve"> </w:t>
      </w:r>
      <w:r>
        <w:rPr>
          <w:rFonts w:hint="default" w:ascii="Times New Roman" w:hAnsi="Times New Roman" w:eastAsia="方正仿宋_GBK" w:cs="Times New Roman"/>
          <w:color w:val="auto"/>
          <w:sz w:val="32"/>
          <w:szCs w:val="32"/>
          <w:u w:val="none"/>
          <w:lang w:val="en-US" w:eastAsia="zh-CN"/>
        </w:rPr>
        <w:t>校外培训机构申请终止办学的，其风险</w:t>
      </w:r>
      <w:r>
        <w:rPr>
          <w:rFonts w:hint="eastAsia" w:ascii="Times New Roman" w:hAnsi="Times New Roman" w:eastAsia="方正仿宋_GBK" w:cs="Times New Roman"/>
          <w:color w:val="auto"/>
          <w:sz w:val="32"/>
          <w:szCs w:val="32"/>
          <w:u w:val="none"/>
          <w:lang w:val="en-US" w:eastAsia="zh-CN"/>
        </w:rPr>
        <w:t>保证金作为</w:t>
      </w:r>
      <w:r>
        <w:rPr>
          <w:rFonts w:hint="default" w:ascii="Times New Roman" w:hAnsi="Times New Roman" w:eastAsia="方正仿宋_GBK" w:cs="Times New Roman"/>
          <w:color w:val="auto"/>
          <w:sz w:val="32"/>
          <w:szCs w:val="32"/>
          <w:u w:val="none"/>
          <w:lang w:val="en-US" w:eastAsia="zh-CN"/>
        </w:rPr>
        <w:t>校外培训机构</w:t>
      </w:r>
      <w:r>
        <w:rPr>
          <w:rFonts w:hint="eastAsia" w:ascii="Times New Roman" w:hAnsi="Times New Roman" w:eastAsia="方正仿宋_GBK" w:cs="Times New Roman"/>
          <w:color w:val="auto"/>
          <w:sz w:val="32"/>
          <w:szCs w:val="32"/>
          <w:u w:val="none"/>
          <w:lang w:val="en-US" w:eastAsia="zh-CN"/>
        </w:rPr>
        <w:t>资产，按照《民办教育促进法》的规定分配。</w:t>
      </w:r>
    </w:p>
    <w:p>
      <w:pPr>
        <w:keepNext w:val="0"/>
        <w:keepLines w:val="0"/>
        <w:pageBreakBefore w:val="0"/>
        <w:widowControl/>
        <w:kinsoku/>
        <w:wordWrap/>
        <w:overflowPunct w:val="0"/>
        <w:topLinePunct w:val="0"/>
        <w:autoSpaceDE/>
        <w:autoSpaceDN/>
        <w:bidi w:val="0"/>
        <w:adjustRightInd/>
        <w:snapToGrid/>
        <w:spacing w:line="580" w:lineRule="exact"/>
        <w:jc w:val="center"/>
        <w:rPr>
          <w:rFonts w:hint="eastAsia" w:ascii="Times New Roman" w:hAnsi="Times New Roman" w:eastAsia="方正黑体_GBK" w:cs="Times New Roman"/>
          <w:b/>
          <w:bCs/>
          <w:color w:val="auto"/>
          <w:sz w:val="32"/>
          <w:szCs w:val="32"/>
          <w:u w:val="none"/>
          <w:lang w:val="en-US" w:eastAsia="zh-CN"/>
        </w:rPr>
      </w:pPr>
    </w:p>
    <w:p>
      <w:pPr>
        <w:keepNext w:val="0"/>
        <w:keepLines w:val="0"/>
        <w:pageBreakBefore w:val="0"/>
        <w:widowControl/>
        <w:kinsoku/>
        <w:wordWrap/>
        <w:overflowPunct w:val="0"/>
        <w:topLinePunct w:val="0"/>
        <w:autoSpaceDE/>
        <w:autoSpaceDN/>
        <w:bidi w:val="0"/>
        <w:adjustRightInd/>
        <w:snapToGrid/>
        <w:spacing w:line="580" w:lineRule="exact"/>
        <w:jc w:val="center"/>
        <w:rPr>
          <w:rFonts w:hint="eastAsia" w:ascii="Times New Roman" w:hAnsi="Times New Roman" w:eastAsia="方正黑体_GBK" w:cs="Times New Roman"/>
          <w:b/>
          <w:bCs/>
          <w:color w:val="auto"/>
          <w:sz w:val="32"/>
          <w:szCs w:val="32"/>
          <w:u w:val="none"/>
          <w:lang w:val="en-US" w:eastAsia="zh-CN"/>
        </w:rPr>
      </w:pPr>
      <w:r>
        <w:rPr>
          <w:rFonts w:hint="eastAsia" w:ascii="Times New Roman" w:hAnsi="Times New Roman" w:eastAsia="方正黑体_GBK" w:cs="Times New Roman"/>
          <w:b/>
          <w:bCs/>
          <w:color w:val="auto"/>
          <w:sz w:val="32"/>
          <w:szCs w:val="32"/>
          <w:u w:val="none"/>
          <w:lang w:val="en-US" w:eastAsia="zh-CN"/>
        </w:rPr>
        <w:t>第四章  风险预警</w:t>
      </w:r>
    </w:p>
    <w:p>
      <w:pPr>
        <w:keepNext w:val="0"/>
        <w:keepLines w:val="0"/>
        <w:pageBreakBefore w:val="0"/>
        <w:widowControl/>
        <w:numPr>
          <w:ilvl w:val="0"/>
          <w:numId w:val="0"/>
        </w:numPr>
        <w:kinsoku/>
        <w:wordWrap/>
        <w:overflowPunct w:val="0"/>
        <w:topLinePunct w:val="0"/>
        <w:autoSpaceDE/>
        <w:autoSpaceDN/>
        <w:bidi w:val="0"/>
        <w:adjustRightInd/>
        <w:snapToGrid/>
        <w:spacing w:line="580" w:lineRule="exact"/>
        <w:jc w:val="both"/>
        <w:rPr>
          <w:rFonts w:hint="default" w:ascii="Times New Roman" w:hAnsi="Times New Roman" w:eastAsia="方正仿宋_GBK" w:cs="Times New Roman"/>
          <w:color w:val="auto"/>
          <w:sz w:val="32"/>
          <w:szCs w:val="32"/>
          <w:u w:val="none"/>
          <w:lang w:val="en-US" w:eastAsia="zh-CN"/>
        </w:rPr>
      </w:pPr>
    </w:p>
    <w:p>
      <w:pPr>
        <w:keepNext w:val="0"/>
        <w:keepLines w:val="0"/>
        <w:pageBreakBefore w:val="0"/>
        <w:widowControl/>
        <w:numPr>
          <w:ilvl w:val="0"/>
          <w:numId w:val="1"/>
        </w:numPr>
        <w:kinsoku/>
        <w:wordWrap/>
        <w:overflowPunct w:val="0"/>
        <w:topLinePunct w:val="0"/>
        <w:autoSpaceDE/>
        <w:autoSpaceDN/>
        <w:bidi w:val="0"/>
        <w:adjustRightInd/>
        <w:snapToGrid/>
        <w:spacing w:line="580" w:lineRule="exact"/>
        <w:ind w:firstLine="640" w:firstLineChars="200"/>
        <w:jc w:val="both"/>
        <w:rPr>
          <w:rFonts w:hint="default" w:ascii="Times New Roman" w:hAnsi="Times New Roman" w:eastAsia="方正仿宋_GBK" w:cs="Times New Roman"/>
          <w:color w:val="auto"/>
          <w:sz w:val="32"/>
          <w:szCs w:val="32"/>
          <w:u w:val="none"/>
          <w:lang w:val="en-US" w:eastAsia="zh-CN"/>
        </w:rPr>
      </w:pPr>
      <w:r>
        <w:rPr>
          <w:rFonts w:hint="eastAsia" w:ascii="Times New Roman" w:hAnsi="Times New Roman" w:eastAsia="方正仿宋_GBK" w:cs="Times New Roman"/>
          <w:color w:val="auto"/>
          <w:sz w:val="32"/>
          <w:szCs w:val="32"/>
          <w:u w:val="none"/>
          <w:lang w:val="en-US" w:eastAsia="zh-CN"/>
        </w:rPr>
        <w:t xml:space="preserve"> </w:t>
      </w:r>
      <w:r>
        <w:rPr>
          <w:rFonts w:hint="eastAsia" w:ascii="方正仿宋_GBK" w:hAnsi="方正仿宋_GBK" w:eastAsia="方正仿宋_GBK" w:cs="方正仿宋_GBK"/>
          <w:b w:val="0"/>
          <w:bCs w:val="0"/>
          <w:color w:val="auto"/>
          <w:sz w:val="32"/>
          <w:szCs w:val="40"/>
          <w:u w:val="none"/>
          <w:lang w:val="en-US" w:eastAsia="zh-CN"/>
        </w:rPr>
        <w:t>渝中区教育委员会与税务、市场监管等部门及时共享各部门发现的校外培训机构异常信息。</w:t>
      </w:r>
      <w:r>
        <w:rPr>
          <w:rFonts w:hint="eastAsia" w:ascii="Times New Roman" w:hAnsi="Times New Roman" w:eastAsia="方正仿宋_GBK" w:cs="Times New Roman"/>
          <w:b w:val="0"/>
          <w:bCs w:val="0"/>
          <w:color w:val="auto"/>
          <w:sz w:val="32"/>
          <w:szCs w:val="32"/>
          <w:u w:val="none"/>
          <w:lang w:val="en-US" w:eastAsia="zh-CN"/>
        </w:rPr>
        <w:t>渝中区教育委员会、渝中区市场监督管理局</w:t>
      </w:r>
      <w:r>
        <w:rPr>
          <w:rFonts w:hint="eastAsia" w:eastAsia="方正仿宋_GBK" w:cs="Times New Roman"/>
          <w:b w:val="0"/>
          <w:bCs w:val="0"/>
          <w:color w:val="auto"/>
          <w:sz w:val="32"/>
          <w:szCs w:val="32"/>
          <w:u w:val="none"/>
          <w:lang w:val="en-US" w:eastAsia="zh-CN"/>
        </w:rPr>
        <w:t>结合异</w:t>
      </w:r>
      <w:r>
        <w:rPr>
          <w:rFonts w:hint="eastAsia" w:eastAsia="方正仿宋_GBK" w:cs="Times New Roman"/>
          <w:color w:val="auto"/>
          <w:sz w:val="32"/>
          <w:szCs w:val="32"/>
          <w:u w:val="none"/>
          <w:lang w:val="en-US" w:eastAsia="zh-CN"/>
        </w:rPr>
        <w:t>常信息研判预收费监管风险，并依法依规处置</w:t>
      </w:r>
      <w:r>
        <w:rPr>
          <w:rFonts w:hint="eastAsia" w:ascii="Times New Roman" w:hAnsi="Times New Roman" w:eastAsia="方正仿宋_GBK" w:cs="Times New Roman"/>
          <w:color w:val="auto"/>
          <w:sz w:val="32"/>
          <w:szCs w:val="32"/>
          <w:u w:val="none"/>
          <w:lang w:val="en-US" w:eastAsia="zh-CN"/>
        </w:rPr>
        <w:t>。</w:t>
      </w:r>
    </w:p>
    <w:p>
      <w:pPr>
        <w:keepNext w:val="0"/>
        <w:keepLines w:val="0"/>
        <w:pageBreakBefore w:val="0"/>
        <w:widowControl/>
        <w:numPr>
          <w:ilvl w:val="0"/>
          <w:numId w:val="1"/>
        </w:numPr>
        <w:kinsoku/>
        <w:wordWrap/>
        <w:overflowPunct w:val="0"/>
        <w:topLinePunct w:val="0"/>
        <w:autoSpaceDE/>
        <w:autoSpaceDN/>
        <w:bidi w:val="0"/>
        <w:adjustRightInd/>
        <w:snapToGrid/>
        <w:spacing w:line="580" w:lineRule="exact"/>
        <w:ind w:firstLine="640" w:firstLineChars="200"/>
        <w:jc w:val="both"/>
        <w:rPr>
          <w:rFonts w:hint="default" w:eastAsia="方正仿宋_GBK" w:cs="Times New Roman"/>
          <w:color w:val="auto"/>
          <w:sz w:val="32"/>
          <w:szCs w:val="32"/>
          <w:u w:val="none"/>
          <w:lang w:val="en-US" w:eastAsia="zh-CN"/>
        </w:rPr>
      </w:pPr>
      <w:r>
        <w:rPr>
          <w:rFonts w:hint="eastAsia" w:ascii="Times New Roman" w:hAnsi="Times New Roman" w:eastAsia="方正仿宋_GBK" w:cs="Times New Roman"/>
          <w:color w:val="auto"/>
          <w:sz w:val="32"/>
          <w:szCs w:val="32"/>
          <w:u w:val="none"/>
          <w:lang w:val="en-US" w:eastAsia="zh-CN"/>
        </w:rPr>
        <w:t xml:space="preserve"> </w:t>
      </w:r>
      <w:r>
        <w:rPr>
          <w:rFonts w:hint="default" w:ascii="Times New Roman" w:hAnsi="Times New Roman" w:eastAsia="方正仿宋_GBK" w:cs="Times New Roman"/>
          <w:color w:val="auto"/>
          <w:sz w:val="32"/>
          <w:szCs w:val="32"/>
          <w:u w:val="none"/>
          <w:lang w:val="en-US" w:eastAsia="zh-CN"/>
        </w:rPr>
        <w:t>校外培训机构应与托管银行签订</w:t>
      </w:r>
      <w:r>
        <w:rPr>
          <w:rFonts w:hint="eastAsia" w:ascii="Times New Roman" w:hAnsi="Times New Roman" w:eastAsia="方正仿宋_GBK" w:cs="Times New Roman"/>
          <w:color w:val="auto"/>
          <w:sz w:val="32"/>
          <w:szCs w:val="32"/>
          <w:u w:val="none"/>
          <w:lang w:val="en-US" w:eastAsia="zh-CN"/>
        </w:rPr>
        <w:t>托管账户及保证金账户</w:t>
      </w:r>
      <w:r>
        <w:rPr>
          <w:rFonts w:hint="default" w:ascii="Times New Roman" w:hAnsi="Times New Roman" w:eastAsia="方正仿宋_GBK" w:cs="Times New Roman"/>
          <w:color w:val="auto"/>
          <w:sz w:val="32"/>
          <w:szCs w:val="32"/>
          <w:u w:val="none"/>
          <w:lang w:val="en-US" w:eastAsia="zh-CN"/>
        </w:rPr>
        <w:t>管理协议，授权托管银行对</w:t>
      </w:r>
      <w:r>
        <w:rPr>
          <w:rFonts w:hint="eastAsia" w:ascii="Times New Roman" w:hAnsi="Times New Roman" w:eastAsia="方正仿宋_GBK" w:cs="Times New Roman"/>
          <w:color w:val="auto"/>
          <w:sz w:val="32"/>
          <w:szCs w:val="32"/>
          <w:u w:val="none"/>
          <w:lang w:val="en-US" w:eastAsia="zh-CN"/>
        </w:rPr>
        <w:t>托管账户及保证金</w:t>
      </w:r>
      <w:r>
        <w:rPr>
          <w:rFonts w:hint="default" w:ascii="Times New Roman" w:hAnsi="Times New Roman" w:eastAsia="方正仿宋_GBK" w:cs="Times New Roman"/>
          <w:color w:val="auto"/>
          <w:sz w:val="32"/>
          <w:szCs w:val="32"/>
          <w:u w:val="none"/>
          <w:lang w:val="en-US" w:eastAsia="zh-CN"/>
        </w:rPr>
        <w:t>账户进行资金监测</w:t>
      </w:r>
      <w:r>
        <w:rPr>
          <w:rFonts w:hint="eastAsia" w:ascii="Times New Roman" w:hAnsi="Times New Roman" w:eastAsia="方正仿宋_GBK" w:cs="Times New Roman"/>
          <w:color w:val="auto"/>
          <w:sz w:val="32"/>
          <w:szCs w:val="32"/>
          <w:u w:val="none"/>
          <w:lang w:val="en-US" w:eastAsia="zh-CN"/>
        </w:rPr>
        <w:t>，并</w:t>
      </w:r>
      <w:r>
        <w:rPr>
          <w:rFonts w:hint="default" w:ascii="Times New Roman" w:hAnsi="Times New Roman" w:eastAsia="方正仿宋_GBK" w:cs="Times New Roman"/>
          <w:color w:val="auto"/>
          <w:sz w:val="32"/>
          <w:szCs w:val="32"/>
          <w:u w:val="none"/>
          <w:lang w:val="en-US" w:eastAsia="zh-CN"/>
        </w:rPr>
        <w:t>向</w:t>
      </w:r>
      <w:r>
        <w:rPr>
          <w:rFonts w:hint="eastAsia" w:ascii="Times New Roman" w:hAnsi="Times New Roman" w:eastAsia="方正仿宋_GBK" w:cs="Times New Roman"/>
          <w:color w:val="auto"/>
          <w:sz w:val="32"/>
          <w:szCs w:val="32"/>
          <w:u w:val="none"/>
          <w:lang w:val="en-US" w:eastAsia="zh-CN"/>
        </w:rPr>
        <w:t>渝中区教育委员会</w:t>
      </w:r>
      <w:r>
        <w:rPr>
          <w:rFonts w:hint="default" w:ascii="Times New Roman" w:hAnsi="Times New Roman" w:eastAsia="方正仿宋_GBK" w:cs="Times New Roman"/>
          <w:color w:val="auto"/>
          <w:sz w:val="32"/>
          <w:szCs w:val="32"/>
          <w:u w:val="none"/>
          <w:lang w:val="en-US" w:eastAsia="zh-CN"/>
        </w:rPr>
        <w:t>提供资金</w:t>
      </w:r>
      <w:r>
        <w:rPr>
          <w:rFonts w:hint="eastAsia" w:ascii="Times New Roman" w:hAnsi="Times New Roman" w:eastAsia="方正仿宋_GBK" w:cs="Times New Roman"/>
          <w:color w:val="auto"/>
          <w:sz w:val="32"/>
          <w:szCs w:val="32"/>
          <w:u w:val="none"/>
          <w:lang w:val="en-US" w:eastAsia="zh-CN"/>
        </w:rPr>
        <w:t>监测</w:t>
      </w:r>
      <w:r>
        <w:rPr>
          <w:rFonts w:hint="default" w:ascii="Times New Roman" w:hAnsi="Times New Roman" w:eastAsia="方正仿宋_GBK" w:cs="Times New Roman"/>
          <w:color w:val="auto"/>
          <w:sz w:val="32"/>
          <w:szCs w:val="32"/>
          <w:u w:val="none"/>
          <w:lang w:val="en-US" w:eastAsia="zh-CN"/>
        </w:rPr>
        <w:t>信息</w:t>
      </w:r>
      <w:r>
        <w:rPr>
          <w:rFonts w:hint="eastAsia" w:ascii="Times New Roman" w:hAnsi="Times New Roman" w:eastAsia="方正仿宋_GBK" w:cs="Times New Roman"/>
          <w:color w:val="auto"/>
          <w:sz w:val="32"/>
          <w:szCs w:val="32"/>
          <w:u w:val="none"/>
          <w:lang w:val="en-US" w:eastAsia="zh-CN"/>
        </w:rPr>
        <w:t>，以便掌握</w:t>
      </w:r>
      <w:r>
        <w:rPr>
          <w:rFonts w:hint="default" w:ascii="Times New Roman" w:hAnsi="Times New Roman" w:eastAsia="方正仿宋_GBK" w:cs="Times New Roman"/>
          <w:color w:val="auto"/>
          <w:sz w:val="32"/>
          <w:szCs w:val="32"/>
          <w:u w:val="none"/>
          <w:lang w:val="en-US" w:eastAsia="zh-CN"/>
        </w:rPr>
        <w:t>资金使用情况。</w:t>
      </w:r>
    </w:p>
    <w:p>
      <w:pPr>
        <w:keepNext w:val="0"/>
        <w:keepLines w:val="0"/>
        <w:pageBreakBefore w:val="0"/>
        <w:widowControl/>
        <w:kinsoku/>
        <w:wordWrap/>
        <w:overflowPunct w:val="0"/>
        <w:topLinePunct w:val="0"/>
        <w:autoSpaceDE/>
        <w:autoSpaceDN/>
        <w:bidi w:val="0"/>
        <w:adjustRightInd/>
        <w:snapToGrid/>
        <w:spacing w:line="580" w:lineRule="exact"/>
        <w:jc w:val="both"/>
        <w:rPr>
          <w:rFonts w:hint="eastAsia" w:ascii="Times New Roman" w:hAnsi="Times New Roman" w:eastAsia="方正黑体_GBK" w:cs="Times New Roman"/>
          <w:b/>
          <w:bCs/>
          <w:color w:val="auto"/>
          <w:sz w:val="32"/>
          <w:szCs w:val="32"/>
          <w:u w:val="none"/>
          <w:lang w:val="en-US" w:eastAsia="zh-CN"/>
        </w:rPr>
      </w:pPr>
    </w:p>
    <w:p>
      <w:pPr>
        <w:keepNext w:val="0"/>
        <w:keepLines w:val="0"/>
        <w:pageBreakBefore w:val="0"/>
        <w:widowControl/>
        <w:kinsoku/>
        <w:wordWrap/>
        <w:overflowPunct w:val="0"/>
        <w:topLinePunct w:val="0"/>
        <w:autoSpaceDE/>
        <w:autoSpaceDN/>
        <w:bidi w:val="0"/>
        <w:adjustRightInd/>
        <w:snapToGrid/>
        <w:spacing w:line="580" w:lineRule="exact"/>
        <w:jc w:val="center"/>
        <w:rPr>
          <w:rFonts w:hint="default" w:ascii="Times New Roman" w:hAnsi="Times New Roman" w:eastAsia="方正黑体_GBK" w:cs="Times New Roman"/>
          <w:b/>
          <w:bCs/>
          <w:color w:val="auto"/>
          <w:sz w:val="32"/>
          <w:szCs w:val="32"/>
          <w:u w:val="none"/>
          <w:lang w:val="en-US" w:eastAsia="zh-CN"/>
        </w:rPr>
      </w:pPr>
      <w:r>
        <w:rPr>
          <w:rFonts w:hint="eastAsia" w:ascii="Times New Roman" w:hAnsi="Times New Roman" w:eastAsia="方正黑体_GBK" w:cs="Times New Roman"/>
          <w:b/>
          <w:bCs/>
          <w:color w:val="auto"/>
          <w:sz w:val="32"/>
          <w:szCs w:val="32"/>
          <w:u w:val="none"/>
          <w:lang w:val="en-US" w:eastAsia="zh-CN"/>
        </w:rPr>
        <w:t>第五章  信息公开</w:t>
      </w:r>
    </w:p>
    <w:p>
      <w:pPr>
        <w:keepNext w:val="0"/>
        <w:keepLines w:val="0"/>
        <w:pageBreakBefore w:val="0"/>
        <w:widowControl/>
        <w:kinsoku/>
        <w:wordWrap/>
        <w:overflowPunct w:val="0"/>
        <w:topLinePunct w:val="0"/>
        <w:autoSpaceDE/>
        <w:autoSpaceDN/>
        <w:bidi w:val="0"/>
        <w:adjustRightInd/>
        <w:snapToGrid/>
        <w:spacing w:line="580" w:lineRule="exact"/>
        <w:ind w:firstLine="643" w:firstLineChars="200"/>
        <w:jc w:val="both"/>
        <w:rPr>
          <w:rFonts w:hint="eastAsia" w:ascii="Times New Roman" w:hAnsi="Times New Roman" w:eastAsia="方正仿宋_GBK" w:cs="Times New Roman"/>
          <w:b/>
          <w:bCs/>
          <w:color w:val="auto"/>
          <w:sz w:val="32"/>
          <w:szCs w:val="32"/>
          <w:u w:val="none"/>
          <w:lang w:val="en-US" w:eastAsia="zh-CN"/>
        </w:rPr>
      </w:pPr>
    </w:p>
    <w:p>
      <w:pPr>
        <w:keepNext w:val="0"/>
        <w:keepLines w:val="0"/>
        <w:pageBreakBefore w:val="0"/>
        <w:widowControl/>
        <w:numPr>
          <w:ilvl w:val="0"/>
          <w:numId w:val="1"/>
        </w:numPr>
        <w:kinsoku/>
        <w:wordWrap/>
        <w:overflowPunct w:val="0"/>
        <w:topLinePunct w:val="0"/>
        <w:autoSpaceDE/>
        <w:autoSpaceDN/>
        <w:bidi w:val="0"/>
        <w:adjustRightInd/>
        <w:snapToGrid/>
        <w:spacing w:line="580" w:lineRule="exact"/>
        <w:ind w:firstLine="640" w:firstLineChars="200"/>
        <w:jc w:val="both"/>
        <w:rPr>
          <w:rFonts w:hint="eastAsia" w:ascii="Times New Roman" w:hAnsi="Times New Roman" w:eastAsia="方正仿宋_GBK" w:cs="Times New Roman"/>
          <w:color w:val="auto"/>
          <w:sz w:val="32"/>
          <w:szCs w:val="32"/>
          <w:u w:val="none"/>
          <w:lang w:val="en-US" w:eastAsia="zh-CN"/>
        </w:rPr>
      </w:pPr>
      <w:r>
        <w:rPr>
          <w:rFonts w:hint="eastAsia" w:ascii="Times New Roman" w:hAnsi="Times New Roman" w:eastAsia="方正仿宋_GBK" w:cs="Times New Roman"/>
          <w:color w:val="auto"/>
          <w:sz w:val="32"/>
          <w:szCs w:val="32"/>
          <w:u w:val="none"/>
          <w:lang w:val="en-US" w:eastAsia="zh-CN"/>
        </w:rPr>
        <w:t xml:space="preserve"> 校外培训机构应当将</w:t>
      </w:r>
      <w:r>
        <w:rPr>
          <w:rFonts w:hint="default" w:ascii="Times New Roman" w:hAnsi="Times New Roman" w:eastAsia="方正仿宋_GBK" w:cs="Times New Roman"/>
          <w:color w:val="auto"/>
          <w:sz w:val="32"/>
          <w:szCs w:val="32"/>
          <w:u w:val="none"/>
          <w:lang w:val="en-US" w:eastAsia="zh-CN"/>
        </w:rPr>
        <w:t>办学许可证、民办非企业单位登记证书或营业执照、收费项目与标准、</w:t>
      </w:r>
      <w:r>
        <w:rPr>
          <w:rFonts w:hint="eastAsia" w:ascii="Times New Roman" w:hAnsi="Times New Roman" w:eastAsia="方正仿宋_GBK" w:cs="Times New Roman"/>
          <w:color w:val="auto"/>
          <w:sz w:val="32"/>
          <w:szCs w:val="32"/>
          <w:u w:val="none"/>
          <w:lang w:val="en-US" w:eastAsia="zh-CN"/>
        </w:rPr>
        <w:t>预收费资金托管专用账户</w:t>
      </w:r>
      <w:r>
        <w:rPr>
          <w:rFonts w:hint="default" w:ascii="Times New Roman" w:hAnsi="Times New Roman" w:eastAsia="方正仿宋_GBK" w:cs="Times New Roman"/>
          <w:color w:val="auto"/>
          <w:sz w:val="32"/>
          <w:szCs w:val="32"/>
          <w:u w:val="none"/>
          <w:lang w:val="en-US" w:eastAsia="zh-CN"/>
        </w:rPr>
        <w:t>、投诉电话等信息在校外培训机构办学场所、网站等显著位置进行公示，并于培训服务前向学员明示</w:t>
      </w:r>
      <w:r>
        <w:rPr>
          <w:rFonts w:hint="eastAsia" w:ascii="Times New Roman" w:hAnsi="Times New Roman" w:eastAsia="方正仿宋_GBK" w:cs="Times New Roman"/>
          <w:color w:val="auto"/>
          <w:sz w:val="32"/>
          <w:szCs w:val="32"/>
          <w:u w:val="none"/>
          <w:lang w:val="en-US" w:eastAsia="zh-CN"/>
        </w:rPr>
        <w:t>，</w:t>
      </w:r>
      <w:r>
        <w:rPr>
          <w:rFonts w:hint="default" w:ascii="Times New Roman" w:hAnsi="Times New Roman" w:eastAsia="方正仿宋_GBK" w:cs="Times New Roman"/>
          <w:color w:val="auto"/>
          <w:sz w:val="32"/>
          <w:szCs w:val="32"/>
          <w:u w:val="none"/>
          <w:lang w:val="en-US" w:eastAsia="zh-CN"/>
        </w:rPr>
        <w:t>不得在公示的项目和标准外收取其他费用，不得以任何名义摊派费用或者强行集资</w:t>
      </w:r>
      <w:r>
        <w:rPr>
          <w:rFonts w:hint="eastAsia" w:ascii="Times New Roman" w:hAnsi="Times New Roman" w:eastAsia="方正仿宋_GBK" w:cs="Times New Roman"/>
          <w:color w:val="auto"/>
          <w:sz w:val="32"/>
          <w:szCs w:val="32"/>
          <w:u w:val="none"/>
          <w:lang w:val="en-US" w:eastAsia="zh-CN"/>
        </w:rPr>
        <w:t>。</w:t>
      </w:r>
    </w:p>
    <w:p>
      <w:pPr>
        <w:keepNext w:val="0"/>
        <w:keepLines w:val="0"/>
        <w:pageBreakBefore w:val="0"/>
        <w:widowControl/>
        <w:kinsoku/>
        <w:wordWrap/>
        <w:overflowPunct w:val="0"/>
        <w:topLinePunct w:val="0"/>
        <w:autoSpaceDE/>
        <w:autoSpaceDN/>
        <w:bidi w:val="0"/>
        <w:adjustRightInd/>
        <w:snapToGrid/>
        <w:spacing w:line="580" w:lineRule="exact"/>
        <w:jc w:val="center"/>
        <w:rPr>
          <w:rFonts w:hint="eastAsia" w:ascii="Times New Roman" w:hAnsi="Times New Roman" w:eastAsia="方正黑体_GBK" w:cs="Times New Roman"/>
          <w:b/>
          <w:bCs/>
          <w:color w:val="auto"/>
          <w:sz w:val="32"/>
          <w:szCs w:val="32"/>
          <w:u w:val="none"/>
          <w:lang w:val="en-US" w:eastAsia="zh-CN"/>
        </w:rPr>
      </w:pPr>
    </w:p>
    <w:p>
      <w:pPr>
        <w:keepNext w:val="0"/>
        <w:keepLines w:val="0"/>
        <w:pageBreakBefore w:val="0"/>
        <w:widowControl/>
        <w:kinsoku/>
        <w:wordWrap/>
        <w:overflowPunct w:val="0"/>
        <w:topLinePunct w:val="0"/>
        <w:autoSpaceDE/>
        <w:autoSpaceDN/>
        <w:bidi w:val="0"/>
        <w:adjustRightInd/>
        <w:snapToGrid/>
        <w:spacing w:line="580" w:lineRule="exact"/>
        <w:jc w:val="center"/>
        <w:rPr>
          <w:rFonts w:hint="default" w:ascii="Times New Roman" w:hAnsi="Times New Roman" w:eastAsia="方正仿宋_GBK" w:cs="Times New Roman"/>
          <w:b/>
          <w:bCs/>
          <w:color w:val="auto"/>
          <w:sz w:val="32"/>
          <w:szCs w:val="32"/>
          <w:u w:val="none"/>
          <w:lang w:val="en-US" w:eastAsia="zh-CN"/>
        </w:rPr>
      </w:pPr>
      <w:r>
        <w:rPr>
          <w:rFonts w:hint="eastAsia" w:ascii="Times New Roman" w:hAnsi="Times New Roman" w:eastAsia="方正黑体_GBK" w:cs="Times New Roman"/>
          <w:b/>
          <w:bCs/>
          <w:color w:val="auto"/>
          <w:sz w:val="32"/>
          <w:szCs w:val="32"/>
          <w:u w:val="none"/>
          <w:lang w:val="en-US" w:eastAsia="zh-CN"/>
        </w:rPr>
        <w:t xml:space="preserve">第六章  </w:t>
      </w:r>
      <w:r>
        <w:rPr>
          <w:rFonts w:hint="default" w:ascii="Times New Roman" w:hAnsi="Times New Roman" w:eastAsia="方正黑体_GBK" w:cs="Times New Roman"/>
          <w:b/>
          <w:bCs/>
          <w:color w:val="auto"/>
          <w:sz w:val="32"/>
          <w:szCs w:val="32"/>
          <w:u w:val="none"/>
          <w:lang w:val="en-US" w:eastAsia="zh-CN"/>
        </w:rPr>
        <w:t>联合监管机制</w:t>
      </w:r>
    </w:p>
    <w:p>
      <w:pPr>
        <w:keepNext w:val="0"/>
        <w:keepLines w:val="0"/>
        <w:pageBreakBefore w:val="0"/>
        <w:widowControl/>
        <w:kinsoku/>
        <w:wordWrap/>
        <w:overflowPunct w:val="0"/>
        <w:topLinePunct w:val="0"/>
        <w:autoSpaceDE/>
        <w:autoSpaceDN/>
        <w:bidi w:val="0"/>
        <w:adjustRightInd/>
        <w:snapToGrid/>
        <w:spacing w:line="580" w:lineRule="exact"/>
        <w:ind w:firstLine="643" w:firstLineChars="200"/>
        <w:jc w:val="both"/>
        <w:rPr>
          <w:rFonts w:hint="eastAsia" w:ascii="Times New Roman" w:hAnsi="Times New Roman" w:eastAsia="方正仿宋_GBK" w:cs="Times New Roman"/>
          <w:b/>
          <w:bCs/>
          <w:color w:val="auto"/>
          <w:sz w:val="32"/>
          <w:szCs w:val="32"/>
          <w:u w:val="none"/>
          <w:lang w:val="en-US" w:eastAsia="zh-CN"/>
        </w:rPr>
      </w:pPr>
    </w:p>
    <w:p>
      <w:pPr>
        <w:keepNext w:val="0"/>
        <w:keepLines w:val="0"/>
        <w:pageBreakBefore w:val="0"/>
        <w:widowControl/>
        <w:numPr>
          <w:ilvl w:val="0"/>
          <w:numId w:val="1"/>
        </w:numPr>
        <w:kinsoku/>
        <w:wordWrap/>
        <w:overflowPunct w:val="0"/>
        <w:topLinePunct w:val="0"/>
        <w:autoSpaceDE/>
        <w:autoSpaceDN/>
        <w:bidi w:val="0"/>
        <w:adjustRightInd/>
        <w:snapToGrid/>
        <w:spacing w:line="580" w:lineRule="exact"/>
        <w:ind w:firstLine="640" w:firstLineChars="200"/>
        <w:jc w:val="both"/>
        <w:rPr>
          <w:rFonts w:hint="eastAsia" w:ascii="Times New Roman" w:hAnsi="Times New Roman" w:eastAsia="方正仿宋_GBK" w:cs="Times New Roman"/>
          <w:b w:val="0"/>
          <w:bCs w:val="0"/>
          <w:color w:val="auto"/>
          <w:sz w:val="32"/>
          <w:szCs w:val="32"/>
          <w:u w:val="none"/>
          <w:lang w:val="en-US" w:eastAsia="zh-CN"/>
        </w:rPr>
      </w:pPr>
      <w:r>
        <w:rPr>
          <w:rFonts w:hint="eastAsia" w:ascii="Times New Roman" w:hAnsi="Times New Roman" w:eastAsia="方正仿宋_GBK" w:cs="Times New Roman"/>
          <w:color w:val="auto"/>
          <w:sz w:val="32"/>
          <w:szCs w:val="32"/>
          <w:u w:val="none"/>
          <w:lang w:val="en-US" w:eastAsia="zh-CN"/>
        </w:rPr>
        <w:t xml:space="preserve"> 建立教育、发改、市场监管、民政、税务、公安等部门参与的</w:t>
      </w:r>
      <w:r>
        <w:rPr>
          <w:rFonts w:hint="default" w:ascii="Times New Roman" w:hAnsi="Times New Roman" w:eastAsia="方正仿宋_GBK" w:cs="Times New Roman"/>
          <w:color w:val="auto"/>
          <w:sz w:val="32"/>
          <w:szCs w:val="32"/>
          <w:u w:val="none"/>
          <w:lang w:val="en-US" w:eastAsia="zh-CN"/>
        </w:rPr>
        <w:t>联合监管机制，形成监管合力</w:t>
      </w:r>
      <w:r>
        <w:rPr>
          <w:rFonts w:hint="eastAsia" w:ascii="Times New Roman" w:hAnsi="Times New Roman" w:eastAsia="方正仿宋_GBK" w:cs="Times New Roman"/>
          <w:color w:val="auto"/>
          <w:sz w:val="32"/>
          <w:szCs w:val="32"/>
          <w:u w:val="none"/>
          <w:lang w:val="en-US" w:eastAsia="zh-CN"/>
        </w:rPr>
        <w:t>，将预收费监管列入对校外培训机构的日常监管、专项检查、年审年检和教育督</w:t>
      </w:r>
      <w:r>
        <w:rPr>
          <w:rFonts w:hint="eastAsia" w:ascii="Times New Roman" w:hAnsi="Times New Roman" w:eastAsia="方正仿宋_GBK" w:cs="Times New Roman"/>
          <w:b w:val="0"/>
          <w:bCs w:val="0"/>
          <w:color w:val="auto"/>
          <w:sz w:val="32"/>
          <w:szCs w:val="32"/>
          <w:u w:val="none"/>
          <w:lang w:val="en-US" w:eastAsia="zh-CN"/>
        </w:rPr>
        <w:t>导范围，确保培训服务交易安全，切实维护社会大局稳定。</w:t>
      </w:r>
    </w:p>
    <w:p>
      <w:pPr>
        <w:keepNext w:val="0"/>
        <w:keepLines w:val="0"/>
        <w:pageBreakBefore w:val="0"/>
        <w:widowControl/>
        <w:numPr>
          <w:ilvl w:val="0"/>
          <w:numId w:val="1"/>
        </w:numPr>
        <w:kinsoku/>
        <w:wordWrap/>
        <w:overflowPunct w:val="0"/>
        <w:topLinePunct w:val="0"/>
        <w:autoSpaceDE/>
        <w:autoSpaceDN/>
        <w:bidi w:val="0"/>
        <w:adjustRightInd/>
        <w:snapToGrid/>
        <w:spacing w:line="580" w:lineRule="exact"/>
        <w:ind w:firstLine="640" w:firstLineChars="200"/>
        <w:jc w:val="both"/>
        <w:rPr>
          <w:rFonts w:hint="eastAsia" w:ascii="Times New Roman" w:hAnsi="Times New Roman" w:eastAsia="方正仿宋_GBK" w:cs="Times New Roman"/>
          <w:b w:val="0"/>
          <w:bCs w:val="0"/>
          <w:color w:val="auto"/>
          <w:sz w:val="32"/>
          <w:szCs w:val="32"/>
          <w:u w:val="none"/>
          <w:lang w:val="en-US" w:eastAsia="zh-CN"/>
        </w:rPr>
      </w:pPr>
      <w:r>
        <w:rPr>
          <w:rFonts w:hint="eastAsia" w:ascii="Times New Roman" w:hAnsi="Times New Roman" w:eastAsia="方正仿宋_GBK" w:cs="Times New Roman"/>
          <w:b w:val="0"/>
          <w:bCs w:val="0"/>
          <w:color w:val="auto"/>
          <w:sz w:val="32"/>
          <w:szCs w:val="32"/>
          <w:u w:val="none"/>
          <w:lang w:val="en-US" w:eastAsia="zh-CN"/>
        </w:rPr>
        <w:t xml:space="preserve"> 渝中区教育委员会负责牵头做好非学科类培训机构的行政审批、日常监管、年度检查事项处理，全国校外教育培训监管与服务综合平台的管理使用。</w:t>
      </w:r>
    </w:p>
    <w:p>
      <w:pPr>
        <w:keepNext w:val="0"/>
        <w:keepLines w:val="0"/>
        <w:pageBreakBefore w:val="0"/>
        <w:widowControl/>
        <w:numPr>
          <w:ilvl w:val="0"/>
          <w:numId w:val="1"/>
        </w:numPr>
        <w:kinsoku/>
        <w:wordWrap/>
        <w:overflowPunct w:val="0"/>
        <w:topLinePunct w:val="0"/>
        <w:autoSpaceDE/>
        <w:autoSpaceDN/>
        <w:bidi w:val="0"/>
        <w:adjustRightInd/>
        <w:snapToGrid/>
        <w:spacing w:line="580" w:lineRule="exact"/>
        <w:ind w:firstLine="640" w:firstLineChars="200"/>
        <w:jc w:val="both"/>
        <w:rPr>
          <w:rFonts w:hint="eastAsia" w:ascii="Times New Roman" w:hAnsi="Times New Roman" w:eastAsia="方正仿宋_GBK" w:cs="Times New Roman"/>
          <w:b w:val="0"/>
          <w:bCs w:val="0"/>
          <w:color w:val="auto"/>
          <w:sz w:val="32"/>
          <w:szCs w:val="32"/>
          <w:u w:val="none"/>
          <w:lang w:val="en-US" w:eastAsia="zh-CN"/>
        </w:rPr>
      </w:pPr>
      <w:r>
        <w:rPr>
          <w:rFonts w:hint="eastAsia" w:ascii="Times New Roman" w:hAnsi="Times New Roman" w:eastAsia="方正仿宋_GBK" w:cs="Times New Roman"/>
          <w:b w:val="0"/>
          <w:bCs w:val="0"/>
          <w:color w:val="auto"/>
          <w:sz w:val="32"/>
          <w:szCs w:val="32"/>
          <w:u w:val="none"/>
          <w:lang w:val="en-US" w:eastAsia="zh-CN"/>
        </w:rPr>
        <w:t xml:space="preserve"> 渝中区发展与改革委会同渝中区教育委员会对非学科类校外培训机构收费标准进行备案，落实相关收费政策。</w:t>
      </w:r>
    </w:p>
    <w:p>
      <w:pPr>
        <w:keepNext w:val="0"/>
        <w:keepLines w:val="0"/>
        <w:pageBreakBefore w:val="0"/>
        <w:widowControl/>
        <w:numPr>
          <w:ilvl w:val="0"/>
          <w:numId w:val="1"/>
        </w:numPr>
        <w:kinsoku/>
        <w:wordWrap/>
        <w:overflowPunct w:val="0"/>
        <w:topLinePunct w:val="0"/>
        <w:autoSpaceDE/>
        <w:autoSpaceDN/>
        <w:bidi w:val="0"/>
        <w:adjustRightInd/>
        <w:snapToGrid/>
        <w:spacing w:line="580" w:lineRule="exact"/>
        <w:ind w:firstLine="640" w:firstLineChars="200"/>
        <w:jc w:val="both"/>
        <w:rPr>
          <w:rFonts w:hint="eastAsia" w:ascii="Times New Roman" w:hAnsi="Times New Roman" w:eastAsia="方正仿宋_GBK" w:cs="Times New Roman"/>
          <w:color w:val="auto"/>
          <w:sz w:val="32"/>
          <w:szCs w:val="32"/>
          <w:u w:val="none"/>
          <w:lang w:val="en-US" w:eastAsia="zh-CN"/>
        </w:rPr>
      </w:pPr>
      <w:r>
        <w:rPr>
          <w:rFonts w:hint="eastAsia" w:ascii="Times New Roman" w:hAnsi="Times New Roman" w:eastAsia="方正仿宋_GBK" w:cs="Times New Roman"/>
          <w:b w:val="0"/>
          <w:bCs w:val="0"/>
          <w:color w:val="auto"/>
          <w:sz w:val="32"/>
          <w:szCs w:val="32"/>
          <w:u w:val="none"/>
          <w:lang w:val="en-US" w:eastAsia="zh-CN"/>
        </w:rPr>
        <w:t xml:space="preserve"> </w:t>
      </w:r>
      <w:r>
        <w:rPr>
          <w:rFonts w:hint="eastAsia" w:eastAsia="方正仿宋_GBK" w:cs="Times New Roman"/>
          <w:b w:val="0"/>
          <w:bCs w:val="0"/>
          <w:color w:val="auto"/>
          <w:sz w:val="32"/>
          <w:szCs w:val="32"/>
          <w:u w:val="none"/>
          <w:lang w:val="en-US" w:eastAsia="zh-CN"/>
        </w:rPr>
        <w:t>渝中区市场监督</w:t>
      </w:r>
      <w:r>
        <w:rPr>
          <w:rFonts w:hint="eastAsia" w:eastAsia="方正仿宋_GBK" w:cs="Times New Roman"/>
          <w:color w:val="auto"/>
          <w:sz w:val="32"/>
          <w:szCs w:val="32"/>
          <w:u w:val="none"/>
          <w:lang w:val="en-US" w:eastAsia="zh-CN"/>
        </w:rPr>
        <w:t>管理局</w:t>
      </w:r>
      <w:r>
        <w:rPr>
          <w:rFonts w:hint="eastAsia" w:ascii="Times New Roman" w:hAnsi="Times New Roman" w:eastAsia="方正仿宋_GBK" w:cs="Times New Roman"/>
          <w:color w:val="auto"/>
          <w:sz w:val="32"/>
          <w:szCs w:val="32"/>
          <w:u w:val="none"/>
          <w:lang w:val="en-US" w:eastAsia="zh-CN"/>
        </w:rPr>
        <w:t>负责营利性非学科类培训机构登记及价格监管工作。</w:t>
      </w:r>
    </w:p>
    <w:p>
      <w:pPr>
        <w:keepNext w:val="0"/>
        <w:keepLines w:val="0"/>
        <w:pageBreakBefore w:val="0"/>
        <w:widowControl/>
        <w:numPr>
          <w:ilvl w:val="0"/>
          <w:numId w:val="1"/>
        </w:numPr>
        <w:kinsoku/>
        <w:wordWrap/>
        <w:overflowPunct w:val="0"/>
        <w:topLinePunct w:val="0"/>
        <w:autoSpaceDE/>
        <w:autoSpaceDN/>
        <w:bidi w:val="0"/>
        <w:adjustRightInd/>
        <w:snapToGrid/>
        <w:spacing w:line="580" w:lineRule="exact"/>
        <w:ind w:firstLine="640" w:firstLineChars="200"/>
        <w:jc w:val="both"/>
        <w:rPr>
          <w:rFonts w:hint="default" w:ascii="Times New Roman" w:hAnsi="Times New Roman" w:eastAsia="方正仿宋_GBK" w:cs="Times New Roman"/>
          <w:color w:val="auto"/>
          <w:sz w:val="32"/>
          <w:szCs w:val="32"/>
          <w:u w:val="none"/>
          <w:lang w:val="en-US" w:eastAsia="zh-CN"/>
        </w:rPr>
      </w:pPr>
      <w:r>
        <w:rPr>
          <w:rFonts w:hint="eastAsia" w:ascii="Times New Roman" w:hAnsi="Times New Roman" w:eastAsia="方正仿宋_GBK" w:cs="Times New Roman"/>
          <w:color w:val="auto"/>
          <w:sz w:val="32"/>
          <w:szCs w:val="32"/>
          <w:u w:val="none"/>
          <w:lang w:val="en-US" w:eastAsia="zh-CN"/>
        </w:rPr>
        <w:t xml:space="preserve"> 渝中区民政局负责非营利性非学科类培训机构的登记、监管、年检及违规行为查处等工作。必要时，单独或联合有关部门开展行政执法及督查检查工作。</w:t>
      </w:r>
    </w:p>
    <w:p>
      <w:pPr>
        <w:keepNext w:val="0"/>
        <w:keepLines w:val="0"/>
        <w:pageBreakBefore w:val="0"/>
        <w:widowControl/>
        <w:numPr>
          <w:ilvl w:val="0"/>
          <w:numId w:val="1"/>
        </w:numPr>
        <w:kinsoku/>
        <w:wordWrap/>
        <w:overflowPunct w:val="0"/>
        <w:topLinePunct w:val="0"/>
        <w:autoSpaceDE/>
        <w:autoSpaceDN/>
        <w:bidi w:val="0"/>
        <w:adjustRightInd/>
        <w:snapToGrid/>
        <w:spacing w:line="580" w:lineRule="exact"/>
        <w:ind w:firstLine="640" w:firstLineChars="200"/>
        <w:jc w:val="both"/>
        <w:rPr>
          <w:rFonts w:hint="eastAsia" w:ascii="Times New Roman" w:hAnsi="Times New Roman" w:eastAsia="方正仿宋_GBK" w:cs="Times New Roman"/>
          <w:color w:val="auto"/>
          <w:sz w:val="32"/>
          <w:szCs w:val="32"/>
          <w:u w:val="none"/>
          <w:lang w:val="en-US" w:eastAsia="zh-CN"/>
        </w:rPr>
      </w:pPr>
      <w:r>
        <w:rPr>
          <w:rFonts w:hint="eastAsia" w:ascii="Times New Roman" w:hAnsi="Times New Roman" w:eastAsia="方正仿宋_GBK" w:cs="Times New Roman"/>
          <w:color w:val="auto"/>
          <w:sz w:val="32"/>
          <w:szCs w:val="32"/>
          <w:u w:val="none"/>
          <w:lang w:val="en-US" w:eastAsia="zh-CN"/>
        </w:rPr>
        <w:t xml:space="preserve"> 渝中区税务局负责监管校外培训机构纳税情况，依法查处校外培训机构涉税违法行为。</w:t>
      </w:r>
    </w:p>
    <w:p>
      <w:pPr>
        <w:keepNext w:val="0"/>
        <w:keepLines w:val="0"/>
        <w:pageBreakBefore w:val="0"/>
        <w:widowControl/>
        <w:numPr>
          <w:ilvl w:val="0"/>
          <w:numId w:val="1"/>
        </w:numPr>
        <w:kinsoku/>
        <w:wordWrap/>
        <w:overflowPunct w:val="0"/>
        <w:topLinePunct w:val="0"/>
        <w:autoSpaceDE/>
        <w:autoSpaceDN/>
        <w:bidi w:val="0"/>
        <w:adjustRightInd/>
        <w:snapToGrid/>
        <w:spacing w:line="580" w:lineRule="exact"/>
        <w:ind w:firstLine="640" w:firstLineChars="200"/>
        <w:jc w:val="both"/>
        <w:rPr>
          <w:rFonts w:hint="default" w:ascii="Times New Roman" w:hAnsi="Times New Roman" w:eastAsia="方正仿宋_GBK" w:cs="Times New Roman"/>
          <w:color w:val="auto"/>
          <w:sz w:val="32"/>
          <w:szCs w:val="32"/>
          <w:u w:val="none"/>
          <w:lang w:val="en-US" w:eastAsia="zh-CN"/>
        </w:rPr>
      </w:pPr>
      <w:r>
        <w:rPr>
          <w:rFonts w:hint="eastAsia" w:ascii="Times New Roman" w:hAnsi="Times New Roman" w:eastAsia="方正仿宋_GBK" w:cs="Times New Roman"/>
          <w:color w:val="auto"/>
          <w:sz w:val="32"/>
          <w:szCs w:val="32"/>
          <w:u w:val="none"/>
          <w:lang w:val="en-US" w:eastAsia="zh-CN"/>
        </w:rPr>
        <w:t xml:space="preserve"> 渝中区公安分局负责联动开展情报信息搜集研判和预警预防工作，做好相关涉稳事件应急处置，依法查处利用培训之名实施诈骗、组织培训贷，以及“恶意关停”、“卷钱跑路”等涉嫌违法犯罪的行为。</w:t>
      </w:r>
    </w:p>
    <w:p>
      <w:pPr>
        <w:keepNext w:val="0"/>
        <w:keepLines w:val="0"/>
        <w:pageBreakBefore w:val="0"/>
        <w:widowControl/>
        <w:kinsoku/>
        <w:wordWrap/>
        <w:overflowPunct w:val="0"/>
        <w:topLinePunct w:val="0"/>
        <w:autoSpaceDE/>
        <w:autoSpaceDN/>
        <w:bidi w:val="0"/>
        <w:adjustRightInd/>
        <w:snapToGrid/>
        <w:spacing w:line="580" w:lineRule="exact"/>
        <w:jc w:val="center"/>
        <w:rPr>
          <w:rFonts w:hint="eastAsia" w:ascii="Times New Roman" w:hAnsi="Times New Roman" w:eastAsia="方正黑体_GBK" w:cs="Times New Roman"/>
          <w:b/>
          <w:bCs/>
          <w:color w:val="auto"/>
          <w:sz w:val="32"/>
          <w:szCs w:val="32"/>
          <w:u w:val="none"/>
          <w:lang w:val="en-US" w:eastAsia="zh-CN"/>
        </w:rPr>
      </w:pPr>
    </w:p>
    <w:p>
      <w:pPr>
        <w:keepNext w:val="0"/>
        <w:keepLines w:val="0"/>
        <w:pageBreakBefore w:val="0"/>
        <w:widowControl/>
        <w:kinsoku/>
        <w:wordWrap/>
        <w:overflowPunct w:val="0"/>
        <w:topLinePunct w:val="0"/>
        <w:autoSpaceDE/>
        <w:autoSpaceDN/>
        <w:bidi w:val="0"/>
        <w:adjustRightInd/>
        <w:snapToGrid/>
        <w:spacing w:line="580" w:lineRule="exact"/>
        <w:jc w:val="center"/>
        <w:rPr>
          <w:rFonts w:hint="default" w:ascii="Times New Roman" w:hAnsi="Times New Roman" w:eastAsia="方正黑体_GBK" w:cs="Times New Roman"/>
          <w:b/>
          <w:bCs/>
          <w:color w:val="auto"/>
          <w:sz w:val="32"/>
          <w:szCs w:val="32"/>
          <w:u w:val="none"/>
          <w:lang w:val="en-US" w:eastAsia="zh-CN"/>
        </w:rPr>
      </w:pPr>
      <w:r>
        <w:rPr>
          <w:rFonts w:hint="eastAsia" w:ascii="Times New Roman" w:hAnsi="Times New Roman" w:eastAsia="方正黑体_GBK" w:cs="Times New Roman"/>
          <w:b/>
          <w:bCs/>
          <w:color w:val="auto"/>
          <w:sz w:val="32"/>
          <w:szCs w:val="32"/>
          <w:u w:val="none"/>
          <w:lang w:val="en-US" w:eastAsia="zh-CN"/>
        </w:rPr>
        <w:t xml:space="preserve">第七章  </w:t>
      </w:r>
      <w:r>
        <w:rPr>
          <w:rFonts w:hint="default" w:ascii="Times New Roman" w:hAnsi="Times New Roman" w:eastAsia="方正黑体_GBK" w:cs="Times New Roman"/>
          <w:b/>
          <w:bCs/>
          <w:color w:val="auto"/>
          <w:sz w:val="32"/>
          <w:szCs w:val="32"/>
          <w:u w:val="none"/>
          <w:lang w:val="en-US" w:eastAsia="zh-CN"/>
        </w:rPr>
        <w:t>投诉处理</w:t>
      </w:r>
    </w:p>
    <w:p>
      <w:pPr>
        <w:keepNext w:val="0"/>
        <w:keepLines w:val="0"/>
        <w:pageBreakBefore w:val="0"/>
        <w:widowControl/>
        <w:kinsoku/>
        <w:wordWrap/>
        <w:overflowPunct w:val="0"/>
        <w:topLinePunct w:val="0"/>
        <w:autoSpaceDE/>
        <w:autoSpaceDN/>
        <w:bidi w:val="0"/>
        <w:adjustRightInd/>
        <w:snapToGrid/>
        <w:spacing w:line="580" w:lineRule="exact"/>
        <w:ind w:firstLine="640" w:firstLineChars="200"/>
        <w:jc w:val="both"/>
        <w:rPr>
          <w:rFonts w:hint="eastAsia" w:ascii="Times New Roman" w:hAnsi="Times New Roman" w:eastAsia="方正仿宋_GBK" w:cs="Times New Roman"/>
          <w:color w:val="auto"/>
          <w:sz w:val="32"/>
          <w:szCs w:val="32"/>
          <w:u w:val="none"/>
          <w:lang w:val="en-US" w:eastAsia="zh-CN"/>
        </w:rPr>
      </w:pPr>
    </w:p>
    <w:p>
      <w:pPr>
        <w:keepNext w:val="0"/>
        <w:keepLines w:val="0"/>
        <w:pageBreakBefore w:val="0"/>
        <w:widowControl/>
        <w:numPr>
          <w:ilvl w:val="0"/>
          <w:numId w:val="1"/>
        </w:numPr>
        <w:kinsoku/>
        <w:wordWrap/>
        <w:overflowPunct w:val="0"/>
        <w:topLinePunct w:val="0"/>
        <w:autoSpaceDE/>
        <w:autoSpaceDN/>
        <w:bidi w:val="0"/>
        <w:adjustRightInd/>
        <w:snapToGrid/>
        <w:spacing w:line="580" w:lineRule="exact"/>
        <w:ind w:firstLine="640" w:firstLineChars="200"/>
        <w:jc w:val="both"/>
        <w:rPr>
          <w:rFonts w:hint="default" w:ascii="Times New Roman" w:hAnsi="Times New Roman" w:eastAsia="方正仿宋_GBK" w:cs="Times New Roman"/>
          <w:color w:val="auto"/>
          <w:sz w:val="32"/>
          <w:szCs w:val="32"/>
          <w:u w:val="none"/>
          <w:lang w:val="en-US" w:eastAsia="zh-CN"/>
        </w:rPr>
      </w:pPr>
      <w:r>
        <w:rPr>
          <w:rFonts w:hint="eastAsia" w:ascii="Times New Roman" w:hAnsi="Times New Roman" w:eastAsia="方正仿宋_GBK" w:cs="Times New Roman"/>
          <w:color w:val="auto"/>
          <w:sz w:val="32"/>
          <w:szCs w:val="32"/>
          <w:u w:val="none"/>
          <w:lang w:val="en-US" w:eastAsia="zh-CN"/>
        </w:rPr>
        <w:t xml:space="preserve"> 渝中区教育委员会和渝中区市场监督管理局</w:t>
      </w:r>
      <w:r>
        <w:rPr>
          <w:rFonts w:hint="default" w:ascii="Times New Roman" w:hAnsi="Times New Roman" w:eastAsia="方正仿宋_GBK" w:cs="Times New Roman"/>
          <w:color w:val="auto"/>
          <w:sz w:val="32"/>
          <w:szCs w:val="32"/>
          <w:u w:val="none"/>
          <w:lang w:val="en-US" w:eastAsia="zh-CN"/>
        </w:rPr>
        <w:t>设立专门的投诉举报渠道，及时受理和处理消费者对</w:t>
      </w:r>
      <w:r>
        <w:rPr>
          <w:rFonts w:hint="eastAsia" w:ascii="Times New Roman" w:hAnsi="Times New Roman" w:eastAsia="方正仿宋_GBK" w:cs="Times New Roman"/>
          <w:color w:val="auto"/>
          <w:sz w:val="32"/>
          <w:szCs w:val="32"/>
          <w:u w:val="none"/>
          <w:lang w:val="en-US" w:eastAsia="zh-CN"/>
        </w:rPr>
        <w:t>校外</w:t>
      </w:r>
      <w:r>
        <w:rPr>
          <w:rFonts w:hint="default" w:ascii="Times New Roman" w:hAnsi="Times New Roman" w:eastAsia="方正仿宋_GBK" w:cs="Times New Roman"/>
          <w:color w:val="auto"/>
          <w:sz w:val="32"/>
          <w:szCs w:val="32"/>
          <w:u w:val="none"/>
          <w:lang w:val="en-US" w:eastAsia="zh-CN"/>
        </w:rPr>
        <w:t>培训机构的投诉举报</w:t>
      </w:r>
      <w:r>
        <w:rPr>
          <w:rFonts w:hint="eastAsia" w:ascii="Times New Roman" w:hAnsi="Times New Roman" w:eastAsia="方正仿宋_GBK" w:cs="Times New Roman"/>
          <w:color w:val="auto"/>
          <w:sz w:val="32"/>
          <w:szCs w:val="32"/>
          <w:u w:val="none"/>
          <w:lang w:val="en-US" w:eastAsia="zh-CN"/>
        </w:rPr>
        <w:t>，</w:t>
      </w:r>
      <w:r>
        <w:rPr>
          <w:rFonts w:hint="default" w:ascii="Times New Roman" w:hAnsi="Times New Roman" w:eastAsia="方正仿宋_GBK" w:cs="Times New Roman"/>
          <w:color w:val="auto"/>
          <w:sz w:val="32"/>
          <w:szCs w:val="32"/>
          <w:u w:val="none"/>
          <w:lang w:val="en-US" w:eastAsia="zh-CN"/>
        </w:rPr>
        <w:t>对于查实的违规行为，依法依规严肃处理，并将处理结果向社会公布。学员家长与机构因收退费问题发生争议的，可以通过下列途径解决：</w:t>
      </w:r>
    </w:p>
    <w:p>
      <w:pPr>
        <w:keepNext w:val="0"/>
        <w:keepLines w:val="0"/>
        <w:pageBreakBefore w:val="0"/>
        <w:widowControl/>
        <w:numPr>
          <w:ilvl w:val="0"/>
          <w:numId w:val="2"/>
        </w:numPr>
        <w:kinsoku/>
        <w:wordWrap/>
        <w:overflowPunct w:val="0"/>
        <w:topLinePunct w:val="0"/>
        <w:autoSpaceDE/>
        <w:autoSpaceDN/>
        <w:bidi w:val="0"/>
        <w:adjustRightInd/>
        <w:snapToGrid/>
        <w:spacing w:line="580" w:lineRule="exact"/>
        <w:ind w:left="0" w:leftChars="0" w:firstLine="640" w:firstLineChars="200"/>
        <w:jc w:val="both"/>
        <w:rPr>
          <w:rFonts w:hint="default" w:ascii="Times New Roman" w:hAnsi="Times New Roman" w:eastAsia="方正仿宋_GBK" w:cs="Times New Roman"/>
          <w:color w:val="auto"/>
          <w:sz w:val="32"/>
          <w:szCs w:val="32"/>
          <w:u w:val="none"/>
          <w:lang w:val="en-US" w:eastAsia="zh-CN"/>
        </w:rPr>
      </w:pPr>
      <w:r>
        <w:rPr>
          <w:rFonts w:hint="default" w:ascii="Times New Roman" w:hAnsi="Times New Roman" w:eastAsia="方正仿宋_GBK" w:cs="Times New Roman"/>
          <w:color w:val="auto"/>
          <w:sz w:val="32"/>
          <w:szCs w:val="32"/>
          <w:u w:val="none"/>
          <w:lang w:val="en-US" w:eastAsia="zh-CN"/>
        </w:rPr>
        <w:t>学员与机构协商解决；</w:t>
      </w:r>
    </w:p>
    <w:p>
      <w:pPr>
        <w:keepNext w:val="0"/>
        <w:keepLines w:val="0"/>
        <w:pageBreakBefore w:val="0"/>
        <w:widowControl/>
        <w:numPr>
          <w:ilvl w:val="0"/>
          <w:numId w:val="0"/>
        </w:numPr>
        <w:kinsoku/>
        <w:wordWrap/>
        <w:overflowPunct w:val="0"/>
        <w:topLinePunct w:val="0"/>
        <w:autoSpaceDE/>
        <w:autoSpaceDN/>
        <w:bidi w:val="0"/>
        <w:adjustRightInd/>
        <w:snapToGrid/>
        <w:spacing w:line="600" w:lineRule="exact"/>
        <w:ind w:left="0" w:leftChars="0" w:firstLine="640" w:firstLineChars="200"/>
        <w:jc w:val="both"/>
        <w:textAlignment w:val="auto"/>
        <w:rPr>
          <w:rFonts w:hint="default" w:ascii="Times New Roman" w:hAnsi="Times New Roman" w:eastAsia="方正仿宋_GBK" w:cs="Times New Roman"/>
          <w:b/>
          <w:bCs/>
          <w:color w:val="auto"/>
          <w:sz w:val="32"/>
          <w:szCs w:val="32"/>
          <w:highlight w:val="none"/>
          <w:u w:val="none"/>
          <w:lang w:val="en-US" w:eastAsia="zh-CN"/>
        </w:rPr>
      </w:pPr>
      <w:r>
        <w:rPr>
          <w:rFonts w:hint="eastAsia" w:eastAsia="方正仿宋_GBK" w:cs="Times New Roman"/>
          <w:color w:val="auto"/>
          <w:sz w:val="32"/>
          <w:szCs w:val="32"/>
          <w:u w:val="none"/>
          <w:lang w:val="en-US" w:eastAsia="zh-CN"/>
        </w:rPr>
        <w:t>（二）</w:t>
      </w:r>
      <w:r>
        <w:rPr>
          <w:rFonts w:hint="default" w:ascii="Times New Roman" w:hAnsi="Times New Roman" w:eastAsia="方正仿宋_GBK" w:cs="Times New Roman"/>
          <w:color w:val="auto"/>
          <w:sz w:val="32"/>
          <w:szCs w:val="32"/>
          <w:u w:val="none"/>
          <w:lang w:val="en-US" w:eastAsia="zh-CN"/>
        </w:rPr>
        <w:t>向</w:t>
      </w:r>
      <w:r>
        <w:rPr>
          <w:rFonts w:hint="eastAsia" w:ascii="Times New Roman" w:hAnsi="Times New Roman" w:eastAsia="方正仿宋_GBK" w:cs="Times New Roman"/>
          <w:color w:val="auto"/>
          <w:sz w:val="32"/>
          <w:szCs w:val="32"/>
          <w:u w:val="none"/>
          <w:lang w:val="en-US" w:eastAsia="zh-CN"/>
        </w:rPr>
        <w:t>相关</w:t>
      </w:r>
      <w:r>
        <w:rPr>
          <w:rFonts w:hint="default" w:ascii="Times New Roman" w:hAnsi="Times New Roman" w:eastAsia="方正仿宋_GBK" w:cs="Times New Roman"/>
          <w:color w:val="auto"/>
          <w:sz w:val="32"/>
          <w:szCs w:val="32"/>
          <w:u w:val="none"/>
          <w:lang w:val="en-US" w:eastAsia="zh-CN"/>
        </w:rPr>
        <w:t>部门投诉；</w:t>
      </w:r>
    </w:p>
    <w:p>
      <w:pPr>
        <w:keepNext w:val="0"/>
        <w:keepLines w:val="0"/>
        <w:pageBreakBefore w:val="0"/>
        <w:widowControl/>
        <w:numPr>
          <w:ilvl w:val="0"/>
          <w:numId w:val="0"/>
        </w:numPr>
        <w:kinsoku/>
        <w:wordWrap/>
        <w:overflowPunct w:val="0"/>
        <w:topLinePunct w:val="0"/>
        <w:autoSpaceDE/>
        <w:autoSpaceDN/>
        <w:bidi w:val="0"/>
        <w:adjustRightInd/>
        <w:snapToGrid/>
        <w:spacing w:line="600" w:lineRule="exact"/>
        <w:ind w:left="0" w:leftChars="0" w:firstLine="640" w:firstLineChars="200"/>
        <w:jc w:val="both"/>
        <w:textAlignment w:val="auto"/>
        <w:rPr>
          <w:rFonts w:hint="default" w:ascii="Times New Roman" w:hAnsi="Times New Roman" w:eastAsia="方正仿宋_GBK" w:cs="Times New Roman"/>
          <w:b/>
          <w:bCs/>
          <w:color w:val="auto"/>
          <w:sz w:val="32"/>
          <w:szCs w:val="32"/>
          <w:highlight w:val="none"/>
          <w:u w:val="none"/>
          <w:lang w:val="en-US" w:eastAsia="zh-CN"/>
        </w:rPr>
      </w:pPr>
      <w:r>
        <w:rPr>
          <w:rFonts w:hint="eastAsia" w:eastAsia="方正仿宋_GBK" w:cs="Times New Roman"/>
          <w:color w:val="auto"/>
          <w:sz w:val="32"/>
          <w:szCs w:val="32"/>
          <w:u w:val="none"/>
          <w:lang w:val="en-US" w:eastAsia="zh-CN"/>
        </w:rPr>
        <w:t>（三）</w:t>
      </w:r>
      <w:r>
        <w:rPr>
          <w:rFonts w:hint="default" w:ascii="Times New Roman" w:hAnsi="Times New Roman" w:eastAsia="方正仿宋_GBK" w:cs="Times New Roman"/>
          <w:color w:val="auto"/>
          <w:sz w:val="32"/>
          <w:szCs w:val="32"/>
          <w:u w:val="none"/>
          <w:lang w:val="en-US" w:eastAsia="zh-CN"/>
        </w:rPr>
        <w:t>请求消费者协会组织调解；</w:t>
      </w:r>
    </w:p>
    <w:p>
      <w:pPr>
        <w:keepNext w:val="0"/>
        <w:keepLines w:val="0"/>
        <w:pageBreakBefore w:val="0"/>
        <w:widowControl/>
        <w:numPr>
          <w:ilvl w:val="0"/>
          <w:numId w:val="0"/>
        </w:numPr>
        <w:kinsoku/>
        <w:wordWrap/>
        <w:overflowPunct w:val="0"/>
        <w:topLinePunct w:val="0"/>
        <w:autoSpaceDE/>
        <w:autoSpaceDN/>
        <w:bidi w:val="0"/>
        <w:adjustRightInd/>
        <w:snapToGrid/>
        <w:spacing w:line="580" w:lineRule="exact"/>
        <w:ind w:firstLine="640" w:firstLineChars="200"/>
        <w:jc w:val="both"/>
        <w:rPr>
          <w:rFonts w:hint="default" w:ascii="Times New Roman" w:hAnsi="Times New Roman" w:eastAsia="方正仿宋_GBK" w:cs="Times New Roman"/>
          <w:color w:val="auto"/>
          <w:sz w:val="32"/>
          <w:szCs w:val="32"/>
          <w:u w:val="none"/>
          <w:lang w:val="en-US" w:eastAsia="zh-CN"/>
        </w:rPr>
      </w:pPr>
      <w:r>
        <w:rPr>
          <w:rFonts w:hint="eastAsia" w:eastAsia="方正仿宋_GBK" w:cs="Times New Roman"/>
          <w:color w:val="auto"/>
          <w:sz w:val="32"/>
          <w:szCs w:val="32"/>
          <w:u w:val="none"/>
          <w:lang w:val="en-US" w:eastAsia="zh-CN"/>
        </w:rPr>
        <w:t>（四）</w:t>
      </w:r>
      <w:r>
        <w:rPr>
          <w:rFonts w:hint="default" w:ascii="Times New Roman" w:hAnsi="Times New Roman" w:eastAsia="方正仿宋_GBK" w:cs="Times New Roman"/>
          <w:color w:val="auto"/>
          <w:sz w:val="32"/>
          <w:szCs w:val="32"/>
          <w:u w:val="none"/>
          <w:lang w:val="en-US" w:eastAsia="zh-CN"/>
        </w:rPr>
        <w:t>根据与机构达成的仲裁协议提请仲裁机构仲裁；</w:t>
      </w:r>
    </w:p>
    <w:p>
      <w:pPr>
        <w:keepNext w:val="0"/>
        <w:keepLines w:val="0"/>
        <w:pageBreakBefore w:val="0"/>
        <w:widowControl/>
        <w:numPr>
          <w:ilvl w:val="0"/>
          <w:numId w:val="0"/>
        </w:numPr>
        <w:kinsoku/>
        <w:wordWrap/>
        <w:overflowPunct w:val="0"/>
        <w:topLinePunct w:val="0"/>
        <w:autoSpaceDE/>
        <w:autoSpaceDN/>
        <w:bidi w:val="0"/>
        <w:adjustRightInd/>
        <w:snapToGrid/>
        <w:spacing w:line="580" w:lineRule="exact"/>
        <w:ind w:firstLine="640" w:firstLineChars="200"/>
        <w:jc w:val="both"/>
        <w:rPr>
          <w:rFonts w:hint="default" w:ascii="Times New Roman" w:hAnsi="Times New Roman" w:eastAsia="方正仿宋_GBK" w:cs="Times New Roman"/>
          <w:color w:val="auto"/>
          <w:sz w:val="32"/>
          <w:szCs w:val="32"/>
          <w:u w:val="none"/>
          <w:lang w:val="en-US" w:eastAsia="zh-CN"/>
        </w:rPr>
      </w:pPr>
      <w:r>
        <w:rPr>
          <w:rFonts w:hint="eastAsia" w:eastAsia="方正仿宋_GBK" w:cs="Times New Roman"/>
          <w:color w:val="auto"/>
          <w:sz w:val="32"/>
          <w:szCs w:val="32"/>
          <w:u w:val="none"/>
          <w:lang w:val="en-US" w:eastAsia="zh-CN"/>
        </w:rPr>
        <w:t>（五）</w:t>
      </w:r>
      <w:r>
        <w:rPr>
          <w:rFonts w:hint="default" w:ascii="Times New Roman" w:hAnsi="Times New Roman" w:eastAsia="方正仿宋_GBK" w:cs="Times New Roman"/>
          <w:color w:val="auto"/>
          <w:sz w:val="32"/>
          <w:szCs w:val="32"/>
          <w:u w:val="none"/>
          <w:lang w:val="en-US" w:eastAsia="zh-CN"/>
        </w:rPr>
        <w:t>向人民法院提起诉讼。</w:t>
      </w:r>
    </w:p>
    <w:p>
      <w:pPr>
        <w:keepNext w:val="0"/>
        <w:keepLines w:val="0"/>
        <w:pageBreakBefore w:val="0"/>
        <w:widowControl/>
        <w:numPr>
          <w:ilvl w:val="0"/>
          <w:numId w:val="0"/>
        </w:numPr>
        <w:kinsoku/>
        <w:wordWrap/>
        <w:overflowPunct w:val="0"/>
        <w:topLinePunct w:val="0"/>
        <w:autoSpaceDE/>
        <w:autoSpaceDN/>
        <w:bidi w:val="0"/>
        <w:adjustRightInd/>
        <w:snapToGrid/>
        <w:spacing w:line="580" w:lineRule="exact"/>
        <w:jc w:val="center"/>
        <w:rPr>
          <w:rFonts w:hint="eastAsia" w:ascii="Times New Roman" w:hAnsi="Times New Roman" w:eastAsia="方正黑体_GBK" w:cs="Times New Roman"/>
          <w:b/>
          <w:bCs/>
          <w:color w:val="auto"/>
          <w:sz w:val="32"/>
          <w:szCs w:val="32"/>
          <w:u w:val="none"/>
          <w:lang w:val="en-US" w:eastAsia="zh-CN"/>
        </w:rPr>
      </w:pPr>
    </w:p>
    <w:p>
      <w:pPr>
        <w:keepNext w:val="0"/>
        <w:keepLines w:val="0"/>
        <w:pageBreakBefore w:val="0"/>
        <w:widowControl/>
        <w:numPr>
          <w:ilvl w:val="0"/>
          <w:numId w:val="0"/>
        </w:numPr>
        <w:kinsoku/>
        <w:wordWrap/>
        <w:overflowPunct w:val="0"/>
        <w:topLinePunct w:val="0"/>
        <w:autoSpaceDE/>
        <w:autoSpaceDN/>
        <w:bidi w:val="0"/>
        <w:adjustRightInd/>
        <w:snapToGrid/>
        <w:spacing w:line="580" w:lineRule="exact"/>
        <w:jc w:val="center"/>
        <w:rPr>
          <w:rFonts w:hint="eastAsia" w:ascii="Times New Roman" w:hAnsi="Times New Roman" w:eastAsia="方正黑体_GBK" w:cs="Times New Roman"/>
          <w:b/>
          <w:bCs/>
          <w:color w:val="auto"/>
          <w:sz w:val="32"/>
          <w:szCs w:val="32"/>
          <w:u w:val="none"/>
          <w:lang w:val="en-US" w:eastAsia="zh-CN"/>
        </w:rPr>
      </w:pPr>
    </w:p>
    <w:p>
      <w:pPr>
        <w:keepNext w:val="0"/>
        <w:keepLines w:val="0"/>
        <w:pageBreakBefore w:val="0"/>
        <w:widowControl/>
        <w:numPr>
          <w:ilvl w:val="0"/>
          <w:numId w:val="0"/>
        </w:numPr>
        <w:kinsoku/>
        <w:wordWrap/>
        <w:overflowPunct w:val="0"/>
        <w:topLinePunct w:val="0"/>
        <w:autoSpaceDE/>
        <w:autoSpaceDN/>
        <w:bidi w:val="0"/>
        <w:adjustRightInd/>
        <w:snapToGrid/>
        <w:spacing w:line="580" w:lineRule="exact"/>
        <w:jc w:val="center"/>
        <w:rPr>
          <w:rFonts w:hint="eastAsia" w:ascii="Times New Roman" w:hAnsi="Times New Roman" w:eastAsia="方正黑体_GBK" w:cs="Times New Roman"/>
          <w:b/>
          <w:bCs/>
          <w:color w:val="auto"/>
          <w:sz w:val="32"/>
          <w:szCs w:val="32"/>
          <w:u w:val="none"/>
          <w:lang w:val="en-US" w:eastAsia="zh-CN"/>
        </w:rPr>
      </w:pPr>
      <w:r>
        <w:rPr>
          <w:rFonts w:hint="eastAsia" w:ascii="Times New Roman" w:hAnsi="Times New Roman" w:eastAsia="方正黑体_GBK" w:cs="Times New Roman"/>
          <w:b/>
          <w:bCs/>
          <w:color w:val="auto"/>
          <w:sz w:val="32"/>
          <w:szCs w:val="32"/>
          <w:u w:val="none"/>
          <w:lang w:val="en-US" w:eastAsia="zh-CN"/>
        </w:rPr>
        <w:t>第八章  法律责任</w:t>
      </w:r>
    </w:p>
    <w:p>
      <w:pPr>
        <w:keepNext w:val="0"/>
        <w:keepLines w:val="0"/>
        <w:pageBreakBefore w:val="0"/>
        <w:widowControl/>
        <w:numPr>
          <w:ilvl w:val="0"/>
          <w:numId w:val="0"/>
        </w:numPr>
        <w:kinsoku/>
        <w:wordWrap/>
        <w:overflowPunct w:val="0"/>
        <w:topLinePunct w:val="0"/>
        <w:autoSpaceDE/>
        <w:autoSpaceDN/>
        <w:bidi w:val="0"/>
        <w:adjustRightInd/>
        <w:snapToGrid/>
        <w:spacing w:line="580" w:lineRule="exact"/>
        <w:jc w:val="center"/>
        <w:rPr>
          <w:rFonts w:hint="default" w:ascii="Times New Roman" w:hAnsi="Times New Roman" w:eastAsia="方正黑体_GBK" w:cs="Times New Roman"/>
          <w:b/>
          <w:bCs/>
          <w:color w:val="auto"/>
          <w:sz w:val="32"/>
          <w:szCs w:val="32"/>
          <w:u w:val="none"/>
          <w:lang w:val="en-US" w:eastAsia="zh-CN"/>
        </w:rPr>
      </w:pPr>
    </w:p>
    <w:p>
      <w:pPr>
        <w:keepNext w:val="0"/>
        <w:keepLines w:val="0"/>
        <w:pageBreakBefore w:val="0"/>
        <w:widowControl/>
        <w:numPr>
          <w:ilvl w:val="0"/>
          <w:numId w:val="1"/>
        </w:numPr>
        <w:kinsoku/>
        <w:wordWrap/>
        <w:overflowPunct w:val="0"/>
        <w:topLinePunct w:val="0"/>
        <w:autoSpaceDE/>
        <w:autoSpaceDN/>
        <w:bidi w:val="0"/>
        <w:adjustRightInd/>
        <w:snapToGrid/>
        <w:spacing w:line="580" w:lineRule="exact"/>
        <w:ind w:firstLine="640" w:firstLineChars="200"/>
        <w:jc w:val="both"/>
        <w:rPr>
          <w:rFonts w:hint="default" w:ascii="Times New Roman" w:hAnsi="Times New Roman" w:eastAsia="方正仿宋_GBK" w:cs="Times New Roman"/>
          <w:color w:val="auto"/>
          <w:sz w:val="32"/>
          <w:szCs w:val="32"/>
          <w:u w:val="none"/>
          <w:lang w:val="en-US" w:eastAsia="zh-CN"/>
        </w:rPr>
      </w:pPr>
      <w:r>
        <w:rPr>
          <w:rFonts w:hint="eastAsia" w:ascii="Times New Roman" w:hAnsi="Times New Roman" w:eastAsia="方正仿宋_GBK" w:cs="Times New Roman"/>
          <w:color w:val="auto"/>
          <w:sz w:val="32"/>
          <w:szCs w:val="32"/>
          <w:u w:val="none"/>
          <w:lang w:val="en-US" w:eastAsia="zh-CN"/>
        </w:rPr>
        <w:t xml:space="preserve"> 校外培训机构违反本实施细则的，由市场监管部门根据情节轻重，依法依规给予责令限期改正并警告、退还所收费用、没收违法所得、责令停止招生、吊销办学许可证等处罚。</w:t>
      </w:r>
    </w:p>
    <w:p>
      <w:pPr>
        <w:keepNext w:val="0"/>
        <w:keepLines w:val="0"/>
        <w:pageBreakBefore w:val="0"/>
        <w:widowControl/>
        <w:numPr>
          <w:ilvl w:val="0"/>
          <w:numId w:val="1"/>
        </w:numPr>
        <w:kinsoku/>
        <w:wordWrap/>
        <w:overflowPunct w:val="0"/>
        <w:topLinePunct w:val="0"/>
        <w:autoSpaceDE/>
        <w:autoSpaceDN/>
        <w:bidi w:val="0"/>
        <w:adjustRightInd/>
        <w:snapToGrid/>
        <w:spacing w:line="580" w:lineRule="exact"/>
        <w:ind w:firstLine="640" w:firstLineChars="200"/>
        <w:jc w:val="both"/>
        <w:rPr>
          <w:rFonts w:hint="eastAsia" w:ascii="Times New Roman" w:hAnsi="Times New Roman" w:eastAsia="方正仿宋_GBK" w:cs="Times New Roman"/>
          <w:color w:val="auto"/>
          <w:sz w:val="32"/>
          <w:szCs w:val="32"/>
          <w:u w:val="none"/>
          <w:lang w:val="en-US" w:eastAsia="zh-CN"/>
        </w:rPr>
      </w:pPr>
      <w:r>
        <w:rPr>
          <w:rFonts w:hint="eastAsia" w:ascii="Times New Roman" w:hAnsi="Times New Roman" w:eastAsia="方正仿宋_GBK" w:cs="Times New Roman"/>
          <w:color w:val="auto"/>
          <w:sz w:val="32"/>
          <w:szCs w:val="32"/>
          <w:u w:val="none"/>
          <w:lang w:val="en-US" w:eastAsia="zh-CN"/>
        </w:rPr>
        <w:t xml:space="preserve"> 本实施细则自印发之日起试行。</w:t>
      </w:r>
    </w:p>
    <w:p/>
    <w:p>
      <w:pPr>
        <w:rPr>
          <w:rFonts w:ascii="微软雅黑" w:hAnsi="微软雅黑" w:eastAsia="微软雅黑" w:cs="微软雅黑"/>
          <w:i w:val="0"/>
          <w:caps w:val="0"/>
          <w:color w:val="000000"/>
          <w:spacing w:val="0"/>
          <w:sz w:val="39"/>
          <w:szCs w:val="39"/>
          <w:shd w:val="clear" w:fill="FFFFFF"/>
        </w:rPr>
      </w:pPr>
    </w:p>
    <w:p/>
    <w:sectPr>
      <w:pgSz w:w="11906" w:h="16838"/>
      <w:pgMar w:top="1417" w:right="1587" w:bottom="1417" w:left="1587" w:header="851" w:footer="992" w:gutter="0"/>
      <w:cols w:space="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方正仿宋_GBK">
    <w:panose1 w:val="03000509000000000000"/>
    <w:charset w:val="86"/>
    <w:family w:val="auto"/>
    <w:pitch w:val="default"/>
    <w:sig w:usb0="00000001" w:usb1="080E0000" w:usb2="00000000" w:usb3="00000000" w:csb0="00040000" w:csb1="00000000"/>
  </w:font>
  <w:font w:name="FSJ-PK74820000008-Identity-H">
    <w:altName w:val="Calibri"/>
    <w:panose1 w:val="00000000000000000000"/>
    <w:charset w:val="00"/>
    <w:family w:val="auto"/>
    <w:pitch w:val="default"/>
    <w:sig w:usb0="00000000" w:usb1="00000000" w:usb2="00000000" w:usb3="00000000" w:csb0="00040001" w:csb1="00000000"/>
  </w:font>
  <w:font w:name="方正小标宋_GBK">
    <w:panose1 w:val="03000509000000000000"/>
    <w:charset w:val="86"/>
    <w:family w:val="auto"/>
    <w:pitch w:val="default"/>
    <w:sig w:usb0="00000001" w:usb1="080E0000" w:usb2="00000000" w:usb3="00000000" w:csb0="00040000" w:csb1="00000000"/>
  </w:font>
  <w:font w:name="方正黑体_GBK">
    <w:panose1 w:val="03000509000000000000"/>
    <w:charset w:val="86"/>
    <w:family w:val="auto"/>
    <w:pitch w:val="default"/>
    <w:sig w:usb0="00000001" w:usb1="080E0000" w:usb2="00000000" w:usb3="00000000" w:csb0="00040000" w:csb1="00000000"/>
  </w:font>
  <w:font w:name="方正楷体_GBK">
    <w:panose1 w:val="03000509000000000000"/>
    <w:charset w:val="86"/>
    <w:family w:val="script"/>
    <w:pitch w:val="default"/>
    <w:sig w:usb0="00000001" w:usb1="080E0000" w:usb2="00000000" w:usb3="00000000" w:csb0="00040000" w:csb1="00000000"/>
  </w:font>
  <w:font w:name="微软雅黑">
    <w:panose1 w:val="020B0503020204020204"/>
    <w:charset w:val="86"/>
    <w:family w:val="auto"/>
    <w:pitch w:val="default"/>
    <w:sig w:usb0="80000287" w:usb1="280F3C52" w:usb2="00000016" w:usb3="00000000" w:csb0="0004001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D49CD463"/>
    <w:multiLevelType w:val="singleLevel"/>
    <w:tmpl w:val="D49CD463"/>
    <w:lvl w:ilvl="0" w:tentative="0">
      <w:start w:val="1"/>
      <w:numFmt w:val="chineseCounting"/>
      <w:suff w:val="nothing"/>
      <w:lvlText w:val="（%1）"/>
      <w:lvlJc w:val="left"/>
      <w:pPr>
        <w:ind w:left="0" w:firstLine="420"/>
      </w:pPr>
      <w:rPr>
        <w:rFonts w:hint="eastAsia"/>
      </w:rPr>
    </w:lvl>
  </w:abstractNum>
  <w:abstractNum w:abstractNumId="1">
    <w:nsid w:val="5FC4D892"/>
    <w:multiLevelType w:val="singleLevel"/>
    <w:tmpl w:val="5FC4D892"/>
    <w:lvl w:ilvl="0" w:tentative="0">
      <w:start w:val="1"/>
      <w:numFmt w:val="chineseCounting"/>
      <w:suff w:val="space"/>
      <w:lvlText w:val="第%1条"/>
      <w:lvlJc w:val="left"/>
      <w:rPr>
        <w:rFonts w:hint="eastAsia" w:ascii="方正仿宋_GBK" w:hAnsi="方正仿宋_GBK" w:eastAsia="方正仿宋_GBK" w:cs="方正仿宋_GBK"/>
        <w:b/>
        <w:bCs/>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487A3E26"/>
    <w:rsid w:val="487A3E26"/>
    <w:rsid w:val="740704A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3">
    <w:name w:val="Default Paragraph Font"/>
    <w:semiHidden/>
    <w:uiPriority w:val="0"/>
  </w:style>
  <w:style w:type="table" w:default="1" w:styleId="2">
    <w:name w:val="Normal Table"/>
    <w:semiHidden/>
    <w:uiPriority w:val="0"/>
    <w:tblPr>
      <w:tblCellMar>
        <w:top w:w="0" w:type="dxa"/>
        <w:left w:w="108" w:type="dxa"/>
        <w:bottom w:w="0" w:type="dxa"/>
        <w:right w:w="108" w:type="dxa"/>
      </w:tblCellMar>
    </w:tblPr>
  </w:style>
  <w:style w:type="character" w:customStyle="1" w:styleId="4">
    <w:name w:val="fontstyle11"/>
    <w:qFormat/>
    <w:uiPriority w:val="0"/>
    <w:rPr>
      <w:rFonts w:ascii="方正仿宋_GBK" w:hAnsi="FSJ-PK74820000008-Identity-H" w:eastAsia="方正仿宋_GBK" w:cs="FSJ-PK74820000008-Identity-H"/>
      <w:color w:val="000000"/>
      <w:spacing w:val="0"/>
      <w:w w:val="100"/>
      <w:sz w:val="32"/>
      <w:szCs w:val="32"/>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Office_11.1.0.9662_F1E327BC-269C-435d-A152-05C5408002CA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2025-02-12T10:23:00Z</dcterms:created>
  <dc:creator>${userName!}</dc:creator>
  <cp:lastModifiedBy>${userName!}</cp:lastModifiedBy>
  <dcterms:modified xsi:type="dcterms:W3CDTF">2025-02-12T10:23:24Z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2052-11.1.0.9662</vt:lpwstr>
  </property>
</Properties>
</file>