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textAlignment w:val="auto"/>
        <w:rPr>
          <w:rFonts w:eastAsia="方正小标宋_GBK"/>
          <w:sz w:val="44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rPr>
          <w:rFonts w:eastAsia="方正小标宋_GBK"/>
          <w:sz w:val="44"/>
          <w:szCs w:val="32"/>
        </w:rPr>
      </w:pPr>
      <w:r>
        <w:rPr>
          <w:rFonts w:hint="eastAsia" w:eastAsia="方正小标宋_GBK"/>
          <w:sz w:val="44"/>
          <w:szCs w:val="32"/>
          <w:lang w:eastAsia="zh-CN"/>
        </w:rPr>
        <w:t>渝中区电创园管委会</w:t>
      </w:r>
      <w:r>
        <w:rPr>
          <w:rFonts w:hint="eastAsia" w:eastAsia="方正小标宋_GBK"/>
          <w:sz w:val="44"/>
          <w:szCs w:val="32"/>
        </w:rPr>
        <w:t>重庆互联网产业园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rPr>
          <w:rFonts w:eastAsia="方正小标宋_GBK"/>
          <w:sz w:val="44"/>
          <w:szCs w:val="32"/>
        </w:rPr>
      </w:pPr>
      <w:r>
        <w:rPr>
          <w:rFonts w:hint="eastAsia" w:eastAsia="方正小标宋_GBK"/>
          <w:sz w:val="44"/>
          <w:szCs w:val="32"/>
        </w:rPr>
        <w:t>2019年度整体支出绩效评价报告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jc w:val="center"/>
        <w:textAlignment w:val="auto"/>
        <w:rPr>
          <w:rFonts w:eastAsia="方正仿宋_GBK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一、基本概况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重庆互联网产业园</w:t>
      </w:r>
      <w:r>
        <w:rPr>
          <w:rFonts w:hint="eastAsia" w:eastAsia="方正仿宋_GBK"/>
          <w:sz w:val="32"/>
          <w:szCs w:val="32"/>
          <w:lang w:eastAsia="zh-CN"/>
        </w:rPr>
        <w:t>（原名为渝中区上清寺互联网产业园</w:t>
      </w:r>
      <w:bookmarkStart w:id="0" w:name="_GoBack"/>
      <w:bookmarkEnd w:id="0"/>
      <w:r>
        <w:rPr>
          <w:rFonts w:hint="eastAsia" w:eastAsia="方正仿宋_GBK"/>
          <w:sz w:val="32"/>
          <w:szCs w:val="32"/>
          <w:lang w:eastAsia="zh-CN"/>
        </w:rPr>
        <w:t>）</w:t>
      </w:r>
      <w:r>
        <w:rPr>
          <w:rFonts w:eastAsia="方正仿宋_GBK"/>
          <w:sz w:val="32"/>
          <w:szCs w:val="32"/>
        </w:rPr>
        <w:t>核心区包含环球广场大厦、广发大厦、港天大厦、中安大厦的和中邮大厦部分楼层，共计4.07万平方米，均为区国资公司购买（或租用）。区科技局、区经信委联合区国资公司于2007年启动重庆互联网产业园建设，在市科技局、市经信委等相关部门指导和支持下，园区重点培育成长性互联网企业，于2010年获评“市级园区”，2011年获评“国家级科技企业孵化器”。已成功孵化了百润科技、智佳信息科技、君盾科技、途作林杰、云威科技等科创企业，这些公司在各自的行业均发展成为了重点企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2</w:t>
      </w:r>
      <w:r>
        <w:rPr>
          <w:rFonts w:eastAsia="方正仿宋_GBK"/>
          <w:sz w:val="32"/>
          <w:szCs w:val="32"/>
        </w:rPr>
        <w:t>019</w:t>
      </w:r>
      <w:r>
        <w:rPr>
          <w:rFonts w:hint="eastAsia" w:eastAsia="方正仿宋_GBK"/>
          <w:sz w:val="32"/>
          <w:szCs w:val="32"/>
        </w:rPr>
        <w:t>年度</w:t>
      </w:r>
      <w:r>
        <w:rPr>
          <w:rFonts w:eastAsia="方正仿宋_GBK"/>
          <w:sz w:val="32"/>
          <w:szCs w:val="32"/>
        </w:rPr>
        <w:t>园区已入驻企业58家，国资持有载体利用率达100%，2019年度园区规上互联网企业营业收入达12.9亿元。其中，两路口移动电子商务产业园（中邮大厦）4楼E+众创空间通过打造完善的创业生态环境，营造大众创业、万众创新的良好氛围，现发展成为重庆市创新创业人才、技术、产品及资本的集散地，当前已入驻创新创业团队13个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eastAsia="方正楷体_GBK"/>
          <w:sz w:val="32"/>
          <w:szCs w:val="32"/>
        </w:rPr>
      </w:pPr>
      <w:r>
        <w:rPr>
          <w:rFonts w:eastAsia="方正楷体_GBK"/>
          <w:sz w:val="32"/>
          <w:szCs w:val="32"/>
        </w:rPr>
        <w:t>（一）园区楼宇情况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1.</w:t>
      </w:r>
      <w:r>
        <w:rPr>
          <w:rFonts w:eastAsia="方正仿宋_GBK"/>
          <w:b/>
          <w:sz w:val="32"/>
          <w:szCs w:val="32"/>
        </w:rPr>
        <w:t>环球广场大厦。</w:t>
      </w:r>
      <w:r>
        <w:rPr>
          <w:rFonts w:eastAsia="方正仿宋_GBK"/>
          <w:sz w:val="32"/>
          <w:szCs w:val="32"/>
        </w:rPr>
        <w:t>位于上清寺路9号，总建筑面积为64520平方米，共33层。2010年经由市经济和信息委员会、市科学技术委员会、渝中区人民政府共同打造为“</w:t>
      </w:r>
      <w:r>
        <w:rPr>
          <w:rFonts w:eastAsia="方正仿宋_GBK"/>
          <w:b/>
          <w:sz w:val="32"/>
          <w:szCs w:val="32"/>
        </w:rPr>
        <w:t>重庆市环球互联网产业园</w:t>
      </w:r>
      <w:r>
        <w:rPr>
          <w:rFonts w:eastAsia="方正仿宋_GBK"/>
          <w:sz w:val="32"/>
          <w:szCs w:val="32"/>
        </w:rPr>
        <w:t>”。2018年3月荣获渝中区人民政府颁发的“甲级商务楼宇”称号，目前已入驻购物狂科技、趣米网络等81家企业，其中国资持有面积19681.47平方米。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eastAsia="方正仿宋_GBK"/>
          <w:sz w:val="32"/>
          <w:szCs w:val="32"/>
        </w:rPr>
      </w:pPr>
      <w:r>
        <w:rPr>
          <w:rFonts w:eastAsia="方正楷体_GBK"/>
          <w:sz w:val="32"/>
          <w:szCs w:val="32"/>
        </w:rPr>
        <w:t>2.</w:t>
      </w:r>
      <w:r>
        <w:rPr>
          <w:rFonts w:eastAsia="方正仿宋_GBK"/>
          <w:b/>
          <w:sz w:val="32"/>
          <w:szCs w:val="32"/>
        </w:rPr>
        <w:t>广发大厦。</w:t>
      </w:r>
      <w:r>
        <w:rPr>
          <w:rFonts w:eastAsia="方正仿宋_GBK"/>
          <w:sz w:val="32"/>
          <w:szCs w:val="32"/>
        </w:rPr>
        <w:t>位于重庆市渝中区中山三路161号，总建筑面积25857平方米，共26层，目前已入驻安云网络科技、启程行科技等25家企业，其中国资持有面积6979.1平方米。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eastAsia="方正仿宋_GBK"/>
          <w:spacing w:val="-20"/>
          <w:sz w:val="32"/>
          <w:szCs w:val="32"/>
        </w:rPr>
      </w:pPr>
      <w:r>
        <w:rPr>
          <w:rFonts w:eastAsia="方正仿宋_GBK"/>
          <w:sz w:val="32"/>
          <w:szCs w:val="32"/>
        </w:rPr>
        <w:t>3.</w:t>
      </w:r>
      <w:r>
        <w:rPr>
          <w:rFonts w:eastAsia="方正仿宋_GBK"/>
          <w:b/>
          <w:sz w:val="32"/>
          <w:szCs w:val="32"/>
        </w:rPr>
        <w:t>港天大厦。</w:t>
      </w:r>
      <w:r>
        <w:rPr>
          <w:rFonts w:eastAsia="方正仿宋_GBK"/>
          <w:sz w:val="32"/>
          <w:szCs w:val="32"/>
        </w:rPr>
        <w:t>位于重庆市渝中区中山二路192-200号，总建筑面积47679平方米，共34层，目前已入驻重庆百润信息、</w:t>
      </w:r>
      <w:r>
        <w:rPr>
          <w:rFonts w:eastAsia="方正仿宋_GBK"/>
          <w:spacing w:val="-20"/>
          <w:sz w:val="32"/>
          <w:szCs w:val="32"/>
        </w:rPr>
        <w:t>欧艺职业培训学校等80余家企业，</w:t>
      </w:r>
      <w:r>
        <w:rPr>
          <w:rFonts w:eastAsia="方正仿宋_GBK"/>
          <w:sz w:val="32"/>
          <w:szCs w:val="32"/>
        </w:rPr>
        <w:t>其中国资持有面积6458.33平方米</w:t>
      </w:r>
      <w:r>
        <w:rPr>
          <w:rFonts w:eastAsia="方正仿宋_GBK"/>
          <w:spacing w:val="-2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4.</w:t>
      </w:r>
      <w:r>
        <w:rPr>
          <w:rFonts w:eastAsia="方正仿宋_GBK"/>
          <w:b/>
          <w:sz w:val="32"/>
          <w:szCs w:val="32"/>
        </w:rPr>
        <w:t>移动电子商务产业园（中邮大厦）。</w:t>
      </w:r>
      <w:r>
        <w:rPr>
          <w:rFonts w:eastAsia="方正仿宋_GBK"/>
          <w:sz w:val="32"/>
          <w:szCs w:val="32"/>
        </w:rPr>
        <w:t>位于渝中区体育村44号，总建筑面积7583平方米，国资公司持有5856平方米，共12层，目前已入驻玖万科技、云威科技、汇博新程互联网科技有限公司等企业及单位12家。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eastAsia="方正仿宋_GBK"/>
          <w:sz w:val="32"/>
          <w:szCs w:val="32"/>
        </w:rPr>
      </w:pPr>
      <w:r>
        <w:rPr>
          <w:rFonts w:eastAsia="方正楷体_GBK"/>
          <w:sz w:val="32"/>
          <w:szCs w:val="32"/>
        </w:rPr>
        <w:t>5.</w:t>
      </w:r>
      <w:r>
        <w:rPr>
          <w:rFonts w:eastAsia="方正仿宋_GBK"/>
          <w:b/>
          <w:sz w:val="32"/>
          <w:szCs w:val="32"/>
        </w:rPr>
        <w:t>中安大厦。</w:t>
      </w:r>
      <w:r>
        <w:rPr>
          <w:rFonts w:eastAsia="方正仿宋_GBK"/>
          <w:sz w:val="32"/>
          <w:szCs w:val="32"/>
        </w:rPr>
        <w:t>位于重庆市渝中区中山三路168号，总建筑面积40857平方米，共28层，目前已入驻筑梦者文化传媒等企业43家，其中国资持有面积1692.13平方米。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eastAsia="方正楷体_GBK"/>
          <w:sz w:val="32"/>
          <w:szCs w:val="32"/>
        </w:rPr>
      </w:pPr>
      <w:r>
        <w:rPr>
          <w:rFonts w:eastAsia="方正楷体_GBK"/>
          <w:sz w:val="32"/>
          <w:szCs w:val="32"/>
        </w:rPr>
        <w:t>（二）园区入驻企业总体情况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重庆互联网产业园由国资持有载体部分面积达4.07万㎡，入驻企业58家，其中规上互联网企业12家，行业类型以软件和信息技术服务业及互联网和相关服务业为主，覆盖电信服务、专业技术服务等多个行业。2019年度园区规模以上企业营收合计12.9亿元，2018年度园区规模以上企业营收合计12.1亿元，同比增长6.7%。其中，百润信息技术2019年度营收86427.7万元，同比增长2.3%；趣米网络2019年度营收7567.3万元，同比增长27.7%；云威科技2019年度营收5890.6万元，同比增长3.7%；购物狂网络技术2019年度营收4601万元，同比增长13.9%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二、项目整体支出绩效目标</w:t>
      </w:r>
    </w:p>
    <w:tbl>
      <w:tblPr>
        <w:tblStyle w:val="5"/>
        <w:tblW w:w="8950" w:type="dxa"/>
        <w:tblInd w:w="8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0"/>
        <w:gridCol w:w="1200"/>
        <w:gridCol w:w="2400"/>
        <w:gridCol w:w="429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6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center"/>
              <w:textAlignment w:val="auto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2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center"/>
              <w:textAlignment w:val="auto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4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center"/>
              <w:textAlignment w:val="auto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429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center"/>
              <w:textAlignment w:val="auto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hAnsi="宋体"/>
                <w:b/>
                <w:bCs/>
                <w:kern w:val="0"/>
                <w:sz w:val="20"/>
                <w:szCs w:val="20"/>
              </w:rPr>
              <w:t>明细指标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060" w:type="dxa"/>
            <w:vMerge w:val="restart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center"/>
              <w:textAlignment w:val="auto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产出</w:t>
            </w:r>
          </w:p>
        </w:tc>
        <w:tc>
          <w:tcPr>
            <w:tcW w:w="12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center"/>
              <w:textAlignment w:val="auto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项</w:t>
            </w:r>
            <w:r>
              <w:rPr>
                <w:kern w:val="0"/>
                <w:sz w:val="20"/>
                <w:szCs w:val="20"/>
              </w:rPr>
              <w:br w:type="textWrapping"/>
            </w:r>
            <w:r>
              <w:rPr>
                <w:rFonts w:hAnsi="宋体"/>
                <w:kern w:val="0"/>
                <w:sz w:val="20"/>
                <w:szCs w:val="20"/>
              </w:rPr>
              <w:t>目</w:t>
            </w:r>
            <w:r>
              <w:rPr>
                <w:kern w:val="0"/>
                <w:sz w:val="20"/>
                <w:szCs w:val="20"/>
              </w:rPr>
              <w:br w:type="textWrapping"/>
            </w:r>
            <w:r>
              <w:rPr>
                <w:rFonts w:hAnsi="宋体"/>
                <w:kern w:val="0"/>
                <w:sz w:val="20"/>
                <w:szCs w:val="20"/>
              </w:rPr>
              <w:t>产</w:t>
            </w:r>
            <w:r>
              <w:rPr>
                <w:kern w:val="0"/>
                <w:sz w:val="20"/>
                <w:szCs w:val="20"/>
              </w:rPr>
              <w:br w:type="textWrapping"/>
            </w:r>
            <w:r>
              <w:rPr>
                <w:rFonts w:hAnsi="宋体"/>
                <w:kern w:val="0"/>
                <w:sz w:val="20"/>
                <w:szCs w:val="20"/>
              </w:rPr>
              <w:t>出</w:t>
            </w:r>
          </w:p>
        </w:tc>
        <w:tc>
          <w:tcPr>
            <w:tcW w:w="24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center"/>
              <w:textAlignment w:val="auto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实际完成率</w:t>
            </w:r>
          </w:p>
        </w:tc>
        <w:tc>
          <w:tcPr>
            <w:tcW w:w="4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left"/>
              <w:textAlignment w:val="auto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企业入驻率超过</w:t>
            </w:r>
            <w:r>
              <w:rPr>
                <w:kern w:val="0"/>
                <w:sz w:val="20"/>
                <w:szCs w:val="20"/>
              </w:rPr>
              <w:t>95%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1060" w:type="dxa"/>
            <w:vMerge w:val="continue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left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left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24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left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left"/>
              <w:textAlignment w:val="auto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众创空间入驻团队</w:t>
            </w:r>
            <w:r>
              <w:rPr>
                <w:kern w:val="0"/>
                <w:sz w:val="20"/>
                <w:szCs w:val="20"/>
              </w:rPr>
              <w:t>10</w:t>
            </w:r>
            <w:r>
              <w:rPr>
                <w:rFonts w:hAnsi="宋体"/>
                <w:kern w:val="0"/>
                <w:sz w:val="20"/>
                <w:szCs w:val="20"/>
              </w:rPr>
              <w:t>个以上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06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center"/>
              <w:textAlignment w:val="auto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效果</w:t>
            </w:r>
          </w:p>
        </w:tc>
        <w:tc>
          <w:tcPr>
            <w:tcW w:w="1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center"/>
              <w:textAlignment w:val="auto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center"/>
              <w:textAlignment w:val="auto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4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left"/>
              <w:textAlignment w:val="auto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园区规上互联网企业营业收入不低于</w:t>
            </w:r>
            <w:r>
              <w:rPr>
                <w:kern w:val="0"/>
                <w:sz w:val="20"/>
                <w:szCs w:val="20"/>
              </w:rPr>
              <w:t>3</w:t>
            </w:r>
            <w:r>
              <w:rPr>
                <w:rFonts w:hAnsi="宋体"/>
                <w:kern w:val="0"/>
                <w:sz w:val="20"/>
                <w:szCs w:val="20"/>
              </w:rPr>
              <w:t>亿元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060" w:type="dxa"/>
            <w:vMerge w:val="restart"/>
            <w:tcBorders>
              <w:top w:val="nil"/>
              <w:left w:val="single" w:color="auto" w:sz="8" w:space="0"/>
              <w:bottom w:val="single" w:color="000000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center"/>
              <w:textAlignment w:val="auto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管理</w:t>
            </w:r>
          </w:p>
        </w:tc>
        <w:tc>
          <w:tcPr>
            <w:tcW w:w="1200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center"/>
              <w:textAlignment w:val="auto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决</w:t>
            </w:r>
            <w:r>
              <w:rPr>
                <w:kern w:val="0"/>
                <w:sz w:val="20"/>
                <w:szCs w:val="20"/>
              </w:rPr>
              <w:br w:type="textWrapping"/>
            </w:r>
            <w:r>
              <w:rPr>
                <w:rFonts w:hAnsi="宋体"/>
                <w:kern w:val="0"/>
                <w:sz w:val="20"/>
                <w:szCs w:val="20"/>
              </w:rPr>
              <w:t>策</w:t>
            </w:r>
            <w:r>
              <w:rPr>
                <w:kern w:val="0"/>
                <w:sz w:val="20"/>
                <w:szCs w:val="20"/>
              </w:rPr>
              <w:br w:type="textWrapping"/>
            </w:r>
            <w:r>
              <w:rPr>
                <w:rFonts w:hAnsi="宋体"/>
                <w:kern w:val="0"/>
                <w:sz w:val="20"/>
                <w:szCs w:val="20"/>
              </w:rPr>
              <w:t>管</w:t>
            </w:r>
            <w:r>
              <w:rPr>
                <w:kern w:val="0"/>
                <w:sz w:val="20"/>
                <w:szCs w:val="20"/>
              </w:rPr>
              <w:br w:type="textWrapping"/>
            </w:r>
            <w:r>
              <w:rPr>
                <w:rFonts w:hAnsi="宋体"/>
                <w:kern w:val="0"/>
                <w:sz w:val="20"/>
                <w:szCs w:val="20"/>
              </w:rPr>
              <w:t>理</w:t>
            </w:r>
          </w:p>
        </w:tc>
        <w:tc>
          <w:tcPr>
            <w:tcW w:w="2400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center"/>
              <w:textAlignment w:val="auto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立项依据</w:t>
            </w:r>
          </w:p>
        </w:tc>
        <w:tc>
          <w:tcPr>
            <w:tcW w:w="4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left"/>
              <w:textAlignment w:val="auto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必要性，项目实施符合渝中区当年重点任务目标，具有紧迫性，符合现实政策情况，符合客观发展需要。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060" w:type="dxa"/>
            <w:vMerge w:val="continue"/>
            <w:tcBorders>
              <w:top w:val="nil"/>
              <w:left w:val="single" w:color="auto" w:sz="8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left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left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240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left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left"/>
              <w:textAlignment w:val="auto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充分性，项目的实施过程符合国家相关法律法规和党委政府决策等，项目的前期可行性研究、前期决策等充分。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060" w:type="dxa"/>
            <w:vMerge w:val="continue"/>
            <w:tcBorders>
              <w:top w:val="nil"/>
              <w:left w:val="single" w:color="auto" w:sz="8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left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center"/>
              <w:textAlignment w:val="auto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资金管理</w:t>
            </w:r>
          </w:p>
        </w:tc>
        <w:tc>
          <w:tcPr>
            <w:tcW w:w="24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center"/>
              <w:textAlignment w:val="auto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资金使用合规性</w:t>
            </w:r>
          </w:p>
        </w:tc>
        <w:tc>
          <w:tcPr>
            <w:tcW w:w="4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left"/>
              <w:textAlignment w:val="auto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资金专款专用，无挤占项目资金的情况。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1060" w:type="dxa"/>
            <w:vMerge w:val="continue"/>
            <w:tcBorders>
              <w:top w:val="nil"/>
              <w:left w:val="single" w:color="auto" w:sz="8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left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left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24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left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left"/>
              <w:textAlignment w:val="auto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资金管理合规性，已对项目资金进行收支专项核算。已严格执行会计法规，并完成内部控制制度的建设和落实。财务数据准确。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060" w:type="dxa"/>
            <w:vMerge w:val="continue"/>
            <w:tcBorders>
              <w:top w:val="nil"/>
              <w:left w:val="single" w:color="auto" w:sz="8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left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left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24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left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4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left"/>
              <w:textAlignment w:val="auto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资金管理程序性，已采取相应的财务检查等必要的监控措施，资金支付皆有完整的审批程序和手续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060" w:type="dxa"/>
            <w:vMerge w:val="continue"/>
            <w:tcBorders>
              <w:top w:val="nil"/>
              <w:left w:val="single" w:color="auto" w:sz="8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left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center"/>
              <w:textAlignment w:val="auto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业务管理</w:t>
            </w: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center"/>
              <w:textAlignment w:val="auto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预算执行度</w:t>
            </w:r>
          </w:p>
        </w:tc>
        <w:tc>
          <w:tcPr>
            <w:tcW w:w="4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left"/>
              <w:textAlignment w:val="auto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预算执行准确度，单位支出率，项目调整率以及项目调整是否通过规定程序。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060" w:type="dxa"/>
            <w:vMerge w:val="continue"/>
            <w:tcBorders>
              <w:top w:val="nil"/>
              <w:left w:val="single" w:color="auto" w:sz="8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left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left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center"/>
              <w:textAlignment w:val="auto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政府采购执行率</w:t>
            </w:r>
          </w:p>
        </w:tc>
        <w:tc>
          <w:tcPr>
            <w:tcW w:w="4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left"/>
              <w:textAlignment w:val="auto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政府采购执行准确率</w:t>
            </w:r>
            <w:r>
              <w:rPr>
                <w:kern w:val="0"/>
                <w:sz w:val="20"/>
                <w:szCs w:val="20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60" w:type="dxa"/>
            <w:vMerge w:val="continue"/>
            <w:tcBorders>
              <w:top w:val="nil"/>
              <w:left w:val="single" w:color="auto" w:sz="8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left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left"/>
              <w:textAlignment w:val="auto"/>
              <w:rPr>
                <w:kern w:val="0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center"/>
              <w:textAlignment w:val="auto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管理制度健全性</w:t>
            </w:r>
          </w:p>
        </w:tc>
        <w:tc>
          <w:tcPr>
            <w:tcW w:w="42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94" w:lineRule="exact"/>
              <w:jc w:val="left"/>
              <w:textAlignment w:val="auto"/>
              <w:rPr>
                <w:kern w:val="0"/>
                <w:sz w:val="20"/>
                <w:szCs w:val="20"/>
              </w:rPr>
            </w:pPr>
            <w:r>
              <w:rPr>
                <w:rFonts w:hAnsi="宋体"/>
                <w:kern w:val="0"/>
                <w:sz w:val="20"/>
                <w:szCs w:val="20"/>
              </w:rPr>
              <w:t>制度健全完善，已具备相应的业务及项目管理制度；业务管理制度皆合法、合规、完整。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eastAsia="方正仿宋_GBK"/>
          <w:sz w:val="32"/>
          <w:szCs w:val="32"/>
        </w:rPr>
      </w:pPr>
      <w:r>
        <w:rPr>
          <w:rFonts w:eastAsia="方正黑体_GBK"/>
          <w:sz w:val="32"/>
          <w:szCs w:val="32"/>
        </w:rPr>
        <w:t>三、绩效评价工作情况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1.园区入驻企业58家，国资持有载体入驻率100%；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2.园区中邮大厦4楼e+众创空间入驻团队13家；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3.园区规上互联网企业营业收入12.91亿元；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4.园区已兑现全年房屋租金补贴共计3691463.26元（大写：叁佰陆拾玖万壹仟肆佰陆拾叁元贰角陆分），其中环球广场、广发大厦、中安大厦、港天大厦全年兑现房屋租金补贴共计1985022.60元（大写：壹佰玖拾捌万伍仟零贰拾贰元陆角），中邮大厦全年兑现房屋租金补贴共计1706440.66元（大写：壹佰柒拾万陆仟肆佰肆拾元六角六分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此外，园区中邮大厦四楼e+众创空间已缴纳全年物业管理费，全年设施设备管理费（物业服务费），一楼大厅、四楼e+众创空间1-11月水电费，四楼e+众创空间6-12月保洁费用</w:t>
      </w:r>
      <w:r>
        <w:rPr>
          <w:rFonts w:hint="eastAsia" w:eastAsia="方正仿宋_GBK"/>
          <w:sz w:val="32"/>
          <w:szCs w:val="32"/>
          <w:lang w:eastAsia="zh-CN"/>
        </w:rPr>
        <w:t>等支持项目建设相关费用，</w:t>
      </w:r>
      <w:r>
        <w:rPr>
          <w:rFonts w:eastAsia="方正仿宋_GBK"/>
          <w:sz w:val="32"/>
          <w:szCs w:val="32"/>
        </w:rPr>
        <w:t>全年总计完成经费支出</w:t>
      </w:r>
      <w:r>
        <w:rPr>
          <w:rFonts w:hint="eastAsia" w:eastAsia="方正仿宋_GBK"/>
          <w:sz w:val="32"/>
          <w:szCs w:val="32"/>
          <w:lang w:val="en-US" w:eastAsia="zh-CN"/>
        </w:rPr>
        <w:t>4429500.00</w:t>
      </w:r>
      <w:r>
        <w:rPr>
          <w:rFonts w:eastAsia="方正仿宋_GBK"/>
          <w:sz w:val="32"/>
          <w:szCs w:val="32"/>
        </w:rPr>
        <w:t>元（大写：</w:t>
      </w:r>
      <w:r>
        <w:rPr>
          <w:rFonts w:hint="eastAsia" w:eastAsia="方正仿宋_GBK"/>
          <w:sz w:val="32"/>
          <w:szCs w:val="32"/>
          <w:lang w:eastAsia="zh-CN"/>
        </w:rPr>
        <w:t>肆佰肆拾贰万玖仟伍佰元整</w:t>
      </w:r>
      <w:r>
        <w:rPr>
          <w:rFonts w:eastAsia="方正仿宋_GBK"/>
          <w:sz w:val="32"/>
          <w:szCs w:val="32"/>
        </w:rPr>
        <w:t>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以上所有指标均已完成。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eastAsia="方正仿宋_GBK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eastAsia" w:eastAsia="方正仿宋_GBK"/>
          <w:sz w:val="32"/>
          <w:szCs w:val="32"/>
          <w:lang w:val="en-US" w:eastAsia="zh-CN"/>
        </w:rPr>
      </w:pPr>
      <w:r>
        <w:rPr>
          <w:rFonts w:hint="eastAsia" w:eastAsia="方正仿宋_GBK"/>
          <w:sz w:val="32"/>
          <w:szCs w:val="32"/>
          <w:lang w:val="en-US" w:eastAsia="zh-CN"/>
        </w:rPr>
        <w:t xml:space="preserve">                              渝中区电创园管委会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94" w:lineRule="exact"/>
        <w:ind w:firstLine="640" w:firstLineChars="200"/>
        <w:textAlignment w:val="auto"/>
        <w:rPr>
          <w:rFonts w:hint="default" w:eastAsia="方正仿宋_GBK"/>
          <w:sz w:val="32"/>
          <w:szCs w:val="32"/>
          <w:lang w:val="en-US" w:eastAsia="zh-CN"/>
        </w:rPr>
      </w:pPr>
      <w:r>
        <w:rPr>
          <w:rFonts w:hint="eastAsia" w:eastAsia="方正仿宋_GBK"/>
          <w:sz w:val="32"/>
          <w:szCs w:val="32"/>
          <w:lang w:val="en-US" w:eastAsia="zh-CN"/>
        </w:rPr>
        <w:t xml:space="preserve">                               2020年4月20 日</w:t>
      </w:r>
    </w:p>
    <w:sectPr>
      <w:pgSz w:w="11906" w:h="16838"/>
      <w:pgMar w:top="1984" w:right="1446" w:bottom="1644" w:left="14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06865"/>
    <w:rsid w:val="00034D66"/>
    <w:rsid w:val="000575E2"/>
    <w:rsid w:val="000C51A0"/>
    <w:rsid w:val="000C7D67"/>
    <w:rsid w:val="001331C3"/>
    <w:rsid w:val="00190AD0"/>
    <w:rsid w:val="00291052"/>
    <w:rsid w:val="00296821"/>
    <w:rsid w:val="00304E8A"/>
    <w:rsid w:val="00304F85"/>
    <w:rsid w:val="003073E3"/>
    <w:rsid w:val="00321E40"/>
    <w:rsid w:val="00381982"/>
    <w:rsid w:val="004506AC"/>
    <w:rsid w:val="0047358A"/>
    <w:rsid w:val="0061151A"/>
    <w:rsid w:val="00641C66"/>
    <w:rsid w:val="00656960"/>
    <w:rsid w:val="0067141F"/>
    <w:rsid w:val="00725E01"/>
    <w:rsid w:val="00806865"/>
    <w:rsid w:val="009108DF"/>
    <w:rsid w:val="00997CAF"/>
    <w:rsid w:val="009E1798"/>
    <w:rsid w:val="00A130DE"/>
    <w:rsid w:val="00A27302"/>
    <w:rsid w:val="00A27343"/>
    <w:rsid w:val="00BC3295"/>
    <w:rsid w:val="00BC55F0"/>
    <w:rsid w:val="00C36405"/>
    <w:rsid w:val="00C50F49"/>
    <w:rsid w:val="00CE0915"/>
    <w:rsid w:val="00EF2A45"/>
    <w:rsid w:val="00F01D97"/>
    <w:rsid w:val="00F93438"/>
    <w:rsid w:val="00FD29C7"/>
    <w:rsid w:val="2CED6B79"/>
    <w:rsid w:val="4B0460F6"/>
    <w:rsid w:val="5D0F4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 Spacing"/>
    <w:qFormat/>
    <w:uiPriority w:val="99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7">
    <w:name w:val="页眉 字符"/>
    <w:basedOn w:val="4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4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4</Pages>
  <Words>343</Words>
  <Characters>1959</Characters>
  <Lines>16</Lines>
  <Paragraphs>4</Paragraphs>
  <TotalTime>28</TotalTime>
  <ScaleCrop>false</ScaleCrop>
  <LinksUpToDate>false</LinksUpToDate>
  <CharactersWithSpaces>2298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2020-04-20T01:02:00Z</dcterms:created>
  <dc:creator>Administrator</dc:creator>
  <cp:lastModifiedBy>hp9</cp:lastModifiedBy>
  <dcterms:modified xsi:type="dcterms:W3CDTF">2020-09-30T02:53:03Z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