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4"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重庆市渝中区大石化新区建设管理委员会</w:t>
      </w:r>
    </w:p>
    <w:p>
      <w:pPr>
        <w:pStyle w:val="7"/>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pPr>
        <w:rPr>
          <w:rFonts w:hint="default" w:ascii="Times New Roman" w:hAnsi="Times New Roman"/>
        </w:rPr>
      </w:pPr>
    </w:p>
    <w:p>
      <w:pPr>
        <w:spacing w:line="594" w:lineRule="exact"/>
        <w:ind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一、部门基本情况</w:t>
      </w:r>
    </w:p>
    <w:p>
      <w:pPr>
        <w:spacing w:line="594" w:lineRule="exact"/>
        <w:ind w:firstLine="640" w:firstLineChars="200"/>
        <w:rPr>
          <w:rFonts w:hint="default" w:ascii="Times New Roman" w:hAnsi="Times New Roman" w:eastAsia="方正楷体_GBK"/>
          <w:sz w:val="32"/>
          <w:szCs w:val="32"/>
        </w:rPr>
      </w:pPr>
      <w:r>
        <w:rPr>
          <w:rFonts w:hint="eastAsia" w:ascii="Times New Roman" w:hAnsi="Times New Roman" w:eastAsia="方正楷体_GBK"/>
          <w:sz w:val="32"/>
          <w:szCs w:val="32"/>
          <w:lang w:eastAsia="zh-CN"/>
        </w:rPr>
        <w:t>（一）</w:t>
      </w:r>
      <w:r>
        <w:rPr>
          <w:rFonts w:hint="default" w:ascii="Times New Roman" w:hAnsi="Times New Roman" w:eastAsia="方正楷体_GBK"/>
          <w:sz w:val="32"/>
          <w:szCs w:val="32"/>
        </w:rPr>
        <w:t>主要职能。</w:t>
      </w:r>
    </w:p>
    <w:p>
      <w:pPr>
        <w:widowControl w:val="0"/>
        <w:spacing w:line="594" w:lineRule="exact"/>
        <w:ind w:firstLine="572" w:firstLineChars="200"/>
        <w:jc w:val="both"/>
        <w:rPr>
          <w:rFonts w:hint="default" w:ascii="Times New Roman" w:hAnsi="Times New Roman" w:eastAsia="方正仿宋_GBK"/>
          <w:spacing w:val="-19"/>
          <w:sz w:val="32"/>
          <w:szCs w:val="32"/>
        </w:rPr>
      </w:pPr>
      <w:r>
        <w:rPr>
          <w:rFonts w:hint="default" w:ascii="Times New Roman" w:hAnsi="Times New Roman" w:eastAsia="方正仿宋_GBK"/>
          <w:spacing w:val="-17"/>
          <w:sz w:val="32"/>
          <w:szCs w:val="32"/>
        </w:rPr>
        <w:t>（1）负责推动产业发展、重点楼宇、特色园区等规划落地，编制区域发展目录，细化产业图谱，优化产业发展布</w:t>
      </w:r>
      <w:r>
        <w:rPr>
          <w:rFonts w:hint="default" w:ascii="Times New Roman" w:hAnsi="Times New Roman" w:eastAsia="方正仿宋_GBK"/>
          <w:spacing w:val="-18"/>
          <w:sz w:val="32"/>
          <w:szCs w:val="32"/>
        </w:rPr>
        <w:t>局和功能培</w:t>
      </w:r>
      <w:r>
        <w:rPr>
          <w:rFonts w:hint="default" w:ascii="Times New Roman" w:hAnsi="Times New Roman" w:eastAsia="方正仿宋_GBK"/>
          <w:spacing w:val="-19"/>
          <w:sz w:val="32"/>
          <w:szCs w:val="32"/>
        </w:rPr>
        <w:t>育，落实区域功</w:t>
      </w:r>
      <w:bookmarkStart w:id="0" w:name="_GoBack"/>
      <w:bookmarkEnd w:id="0"/>
      <w:r>
        <w:rPr>
          <w:rFonts w:hint="default" w:ascii="Times New Roman" w:hAnsi="Times New Roman" w:eastAsia="方正仿宋_GBK"/>
          <w:spacing w:val="-19"/>
          <w:sz w:val="32"/>
          <w:szCs w:val="32"/>
        </w:rPr>
        <w:t>能性开放平台建设；</w:t>
      </w:r>
    </w:p>
    <w:p>
      <w:pPr>
        <w:widowControl w:val="0"/>
        <w:spacing w:line="594" w:lineRule="exact"/>
        <w:ind w:firstLine="620" w:firstLineChars="200"/>
        <w:jc w:val="both"/>
        <w:rPr>
          <w:rFonts w:hint="default" w:ascii="Times New Roman" w:hAnsi="Times New Roman" w:eastAsia="方正仿宋_GBK"/>
          <w:sz w:val="32"/>
          <w:szCs w:val="32"/>
        </w:rPr>
      </w:pPr>
      <w:r>
        <w:rPr>
          <w:rFonts w:hint="default" w:ascii="Times New Roman" w:hAnsi="Times New Roman" w:eastAsia="方正仿宋_GBK"/>
          <w:spacing w:val="-5"/>
          <w:sz w:val="32"/>
          <w:szCs w:val="32"/>
        </w:rPr>
        <w:t>（2）负责深化实施“楼均论英雄”综合评价，常态化走</w:t>
      </w:r>
      <w:r>
        <w:rPr>
          <w:rFonts w:hint="default" w:ascii="Times New Roman" w:hAnsi="Times New Roman" w:eastAsia="方正仿宋_GBK"/>
          <w:spacing w:val="-6"/>
          <w:sz w:val="32"/>
          <w:szCs w:val="32"/>
        </w:rPr>
        <w:t>访联</w:t>
      </w:r>
      <w:r>
        <w:rPr>
          <w:rFonts w:hint="default" w:ascii="Times New Roman" w:hAnsi="Times New Roman" w:eastAsia="方正仿宋_GBK"/>
          <w:spacing w:val="-1"/>
          <w:sz w:val="32"/>
          <w:szCs w:val="32"/>
        </w:rPr>
        <w:t>系服务重点楼宇，持续推动重点楼宇新建、改造</w:t>
      </w:r>
      <w:r>
        <w:rPr>
          <w:rFonts w:hint="default" w:ascii="Times New Roman" w:hAnsi="Times New Roman" w:eastAsia="方正仿宋_GBK"/>
          <w:spacing w:val="-2"/>
          <w:sz w:val="32"/>
          <w:szCs w:val="32"/>
        </w:rPr>
        <w:t>、盘活、提效和</w:t>
      </w:r>
      <w:r>
        <w:rPr>
          <w:rFonts w:hint="default" w:ascii="Times New Roman" w:hAnsi="Times New Roman" w:eastAsia="方正仿宋_GBK"/>
          <w:spacing w:val="-3"/>
          <w:sz w:val="32"/>
          <w:szCs w:val="32"/>
        </w:rPr>
        <w:t>集聚，重点培育特色产业楼宇、亿元税收楼宇；</w:t>
      </w:r>
    </w:p>
    <w:p>
      <w:pPr>
        <w:pStyle w:val="2"/>
        <w:spacing w:line="594" w:lineRule="exact"/>
        <w:ind w:firstLine="668" w:firstLineChars="200"/>
        <w:rPr>
          <w:rFonts w:ascii="Times New Roman" w:hAnsi="Times New Roman" w:eastAsia="方正仿宋_GBK" w:cs="Times New Roman"/>
          <w:lang w:eastAsia="zh-CN"/>
        </w:rPr>
      </w:pPr>
      <w:r>
        <w:rPr>
          <w:rFonts w:ascii="Times New Roman" w:hAnsi="Times New Roman" w:eastAsia="方正仿宋_GBK" w:cs="Times New Roman"/>
          <w:spacing w:val="7"/>
          <w:lang w:eastAsia="zh-CN"/>
        </w:rPr>
        <w:t>（3）负责统筹发展区域经济，落实年度经济目标任务,抓</w:t>
      </w:r>
      <w:r>
        <w:rPr>
          <w:rFonts w:ascii="Times New Roman" w:hAnsi="Times New Roman" w:eastAsia="方正仿宋_GBK" w:cs="Times New Roman"/>
          <w:spacing w:val="-11"/>
          <w:lang w:eastAsia="zh-CN"/>
        </w:rPr>
        <w:t>好“稳育招升”工作，推动区域招商投资，发展壮大存量企业，抓</w:t>
      </w:r>
      <w:r>
        <w:rPr>
          <w:rFonts w:ascii="Times New Roman" w:hAnsi="Times New Roman" w:eastAsia="方正仿宋_GBK" w:cs="Times New Roman"/>
          <w:spacing w:val="-3"/>
          <w:lang w:eastAsia="zh-CN"/>
        </w:rPr>
        <w:t>好企业升规入统，开展对外合作交流，做大区域经济总量；</w:t>
      </w:r>
    </w:p>
    <w:p>
      <w:pPr>
        <w:pStyle w:val="2"/>
        <w:spacing w:line="594" w:lineRule="exact"/>
        <w:ind w:firstLine="668" w:firstLineChars="200"/>
        <w:rPr>
          <w:rFonts w:ascii="Times New Roman" w:hAnsi="Times New Roman" w:eastAsia="方正仿宋_GBK" w:cs="Times New Roman"/>
          <w:lang w:eastAsia="zh-CN"/>
        </w:rPr>
      </w:pPr>
      <w:r>
        <w:rPr>
          <w:rFonts w:ascii="Times New Roman" w:hAnsi="Times New Roman" w:eastAsia="方正仿宋_GBK" w:cs="Times New Roman"/>
          <w:spacing w:val="7"/>
          <w:lang w:eastAsia="zh-CN"/>
        </w:rPr>
        <w:t>（4）负责贯彻落实产业发展优惠政策，强化企业跟踪走访</w:t>
      </w:r>
      <w:r>
        <w:rPr>
          <w:rFonts w:ascii="Times New Roman" w:hAnsi="Times New Roman" w:eastAsia="方正仿宋_GBK" w:cs="Times New Roman"/>
          <w:lang w:eastAsia="zh-CN"/>
        </w:rPr>
        <w:t>服务，协调服务区域重点社会项目，收集反馈问题和困难，牵头</w:t>
      </w:r>
      <w:r>
        <w:rPr>
          <w:rFonts w:ascii="Times New Roman" w:hAnsi="Times New Roman" w:eastAsia="方正仿宋_GBK" w:cs="Times New Roman"/>
          <w:spacing w:val="-8"/>
          <w:lang w:eastAsia="zh-CN"/>
        </w:rPr>
        <w:t>协调进行化解；</w:t>
      </w:r>
    </w:p>
    <w:p>
      <w:pPr>
        <w:pStyle w:val="2"/>
        <w:spacing w:line="594" w:lineRule="exact"/>
        <w:ind w:firstLine="672" w:firstLineChars="200"/>
        <w:rPr>
          <w:rFonts w:ascii="Times New Roman" w:hAnsi="Times New Roman" w:eastAsia="方正仿宋_GBK" w:cs="Times New Roman"/>
          <w:lang w:eastAsia="zh-CN"/>
        </w:rPr>
      </w:pPr>
      <w:r>
        <w:rPr>
          <w:rFonts w:ascii="Times New Roman" w:hAnsi="Times New Roman" w:eastAsia="方正仿宋_GBK" w:cs="Times New Roman"/>
          <w:spacing w:val="8"/>
          <w:lang w:eastAsia="zh-CN"/>
        </w:rPr>
        <w:t>（5）负责分析研判区域经济运行动态及走势，研究协调企</w:t>
      </w:r>
      <w:r>
        <w:rPr>
          <w:rFonts w:ascii="Times New Roman" w:hAnsi="Times New Roman" w:eastAsia="方正仿宋_GBK" w:cs="Times New Roman"/>
          <w:spacing w:val="-4"/>
          <w:lang w:eastAsia="zh-CN"/>
        </w:rPr>
        <w:t>业发展和区域经济平稳运行的重大问题；</w:t>
      </w:r>
    </w:p>
    <w:p>
      <w:pPr>
        <w:pStyle w:val="7"/>
        <w:shd w:val="clear" w:color="auto" w:fill="FFFFFF"/>
        <w:spacing w:before="0" w:beforeAutospacing="0" w:after="0" w:afterAutospacing="0" w:line="594" w:lineRule="exact"/>
        <w:ind w:firstLine="664" w:firstLineChars="200"/>
        <w:rPr>
          <w:rFonts w:hint="default" w:ascii="Times New Roman" w:hAnsi="Times New Roman" w:eastAsia="方正仿宋_GBK"/>
          <w:spacing w:val="6"/>
          <w:sz w:val="32"/>
          <w:szCs w:val="32"/>
        </w:rPr>
      </w:pPr>
      <w:r>
        <w:rPr>
          <w:rFonts w:hint="default" w:ascii="Times New Roman" w:hAnsi="Times New Roman" w:eastAsia="方正仿宋_GBK"/>
          <w:spacing w:val="6"/>
          <w:sz w:val="32"/>
          <w:szCs w:val="32"/>
        </w:rPr>
        <w:t>（6）完成区委、区政府交办的其他任务。</w:t>
      </w:r>
    </w:p>
    <w:p>
      <w:pPr>
        <w:spacing w:line="594"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机构情况</w:t>
      </w:r>
      <w:r>
        <w:rPr>
          <w:rFonts w:hint="eastAsia" w:ascii="方正楷体_GBK" w:hAnsi="方正楷体_GBK" w:eastAsia="方正楷体_GBK" w:cs="方正楷体_GBK"/>
          <w:sz w:val="32"/>
          <w:szCs w:val="32"/>
          <w:lang w:eastAsia="zh-CN"/>
        </w:rPr>
        <w:t>。</w:t>
      </w:r>
    </w:p>
    <w:p>
      <w:pPr>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重庆市渝中区大石化新区建设管理委员会为区政府派出机构，内设3个职能科室：办公室、招商引资科、企业服务科(楼宇经济科)，下属1个事业单位，即大石化新区招商和企业服务中心（全额拨款）。</w:t>
      </w:r>
    </w:p>
    <w:p>
      <w:pPr>
        <w:numPr>
          <w:ilvl w:val="0"/>
          <w:numId w:val="1"/>
        </w:numPr>
        <w:snapToGrid w:val="0"/>
        <w:spacing w:line="594"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人员情况</w:t>
      </w:r>
      <w:r>
        <w:rPr>
          <w:rFonts w:hint="eastAsia" w:ascii="方正楷体_GBK" w:hAnsi="方正楷体_GBK" w:eastAsia="方正楷体_GBK" w:cs="方正楷体_GBK"/>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方正仿宋_GBK"/>
          <w:sz w:val="32"/>
          <w:szCs w:val="32"/>
        </w:rPr>
        <w:t>重庆市渝中区大石化新区建设管理委员会现有在编行政人员6名。下属1个事业单位，即大石化新区招商和企业服务中心（全额拨款），现有在编事业人员6名。</w:t>
      </w:r>
    </w:p>
    <w:p>
      <w:pPr>
        <w:pStyle w:val="7"/>
        <w:shd w:val="clear" w:color="auto" w:fill="FFFFFF"/>
        <w:spacing w:before="0" w:beforeAutospacing="0" w:after="0" w:afterAutospacing="0" w:line="594" w:lineRule="exact"/>
        <w:ind w:firstLine="642" w:firstLineChars="200"/>
        <w:rPr>
          <w:rStyle w:val="11"/>
          <w:rFonts w:hint="default" w:ascii="Times New Roman" w:hAnsi="Times New Roman" w:eastAsia="黑体"/>
          <w:sz w:val="32"/>
          <w:szCs w:val="32"/>
          <w:shd w:val="clear" w:color="auto" w:fill="FFFFFF"/>
        </w:rPr>
      </w:pPr>
      <w:r>
        <w:rPr>
          <w:rStyle w:val="11"/>
          <w:rFonts w:hint="default" w:ascii="Times New Roman" w:hAnsi="Times New Roman" w:eastAsia="黑体"/>
          <w:sz w:val="32"/>
          <w:szCs w:val="32"/>
          <w:shd w:val="clear" w:color="auto" w:fill="FFFFFF"/>
        </w:rPr>
        <w:t>二、部门决算收支情况说明</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_GB2312"/>
          <w:b/>
          <w:sz w:val="32"/>
          <w:szCs w:val="32"/>
        </w:rPr>
        <w:t>（一）收入支出决算总体情况说明。</w:t>
      </w:r>
    </w:p>
    <w:p>
      <w:pPr>
        <w:pStyle w:val="7"/>
        <w:shd w:val="clear" w:color="auto" w:fill="FFFFFF"/>
        <w:spacing w:before="0" w:beforeAutospacing="0" w:after="0" w:afterAutospacing="0" w:line="594" w:lineRule="exact"/>
        <w:ind w:firstLine="642" w:firstLineChars="200"/>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2024年度收入总计757.89万元，支出总计</w:t>
      </w:r>
      <w:r>
        <w:rPr>
          <w:rFonts w:hint="default" w:ascii="Times New Roman" w:hAnsi="Times New Roman" w:eastAsia="方正仿宋_GBK"/>
          <w:sz w:val="32"/>
          <w:szCs w:val="32"/>
        </w:rPr>
        <w:t>757.89</w:t>
      </w:r>
      <w:r>
        <w:rPr>
          <w:rFonts w:hint="default" w:ascii="Times New Roman" w:hAnsi="Times New Roman" w:eastAsia="方正仿宋_GBK"/>
          <w:sz w:val="32"/>
          <w:szCs w:val="32"/>
          <w:shd w:val="clear" w:color="auto" w:fill="FFFFFF"/>
        </w:rPr>
        <w:t>万元。收、支与2023年度相比，减少315.80万元，下降29.4%，</w:t>
      </w:r>
      <w:r>
        <w:rPr>
          <w:rFonts w:hint="default" w:ascii="Times New Roman" w:hAnsi="Times New Roman" w:eastAsia="方正仿宋_GBK"/>
          <w:sz w:val="32"/>
          <w:szCs w:val="32"/>
        </w:rPr>
        <w:t>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p>
    <w:p>
      <w:pPr>
        <w:pStyle w:val="7"/>
        <w:snapToGrid w:val="0"/>
        <w:spacing w:before="0" w:beforeAutospacing="0" w:after="0" w:afterAutospacing="0" w:line="594" w:lineRule="exact"/>
        <w:ind w:firstLine="642"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rPr>
        <w:t>2024年度收入总计757.89万元，较上年决算数减少315.80万元，下降29.41%，主要原因是根据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754.08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3.81</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2"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757.89</w:t>
      </w:r>
      <w:r>
        <w:rPr>
          <w:rFonts w:hint="default" w:ascii="Times New Roman" w:hAnsi="Times New Roman" w:eastAsia="方正仿宋_GBK"/>
          <w:sz w:val="32"/>
          <w:szCs w:val="32"/>
          <w:shd w:val="clear" w:color="auto" w:fill="FFFFFF"/>
        </w:rPr>
        <w:t>万元，与2023年度相比，减少315.80万元，下降29.4%，</w:t>
      </w:r>
      <w:r>
        <w:rPr>
          <w:rFonts w:hint="default" w:ascii="Times New Roman" w:hAnsi="Times New Roman" w:eastAsia="方正仿宋_GBK"/>
          <w:sz w:val="32"/>
          <w:szCs w:val="32"/>
        </w:rPr>
        <w:t>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375.04</w:t>
      </w:r>
      <w:r>
        <w:rPr>
          <w:rFonts w:hint="default" w:ascii="Times New Roman" w:hAnsi="Times New Roman" w:eastAsia="方正仿宋_GBK"/>
          <w:sz w:val="32"/>
          <w:szCs w:val="32"/>
          <w:shd w:val="clear" w:color="auto" w:fill="FFFFFF"/>
        </w:rPr>
        <w:t>万元，占49.49%；项目支出</w:t>
      </w:r>
      <w:r>
        <w:rPr>
          <w:rFonts w:hint="default" w:ascii="Times New Roman" w:hAnsi="Times New Roman" w:eastAsia="方正仿宋_GBK"/>
          <w:sz w:val="32"/>
          <w:szCs w:val="32"/>
        </w:rPr>
        <w:t>382.85</w:t>
      </w:r>
      <w:r>
        <w:rPr>
          <w:rFonts w:hint="default" w:ascii="Times New Roman" w:hAnsi="Times New Roman" w:eastAsia="方正仿宋_GBK"/>
          <w:sz w:val="32"/>
          <w:szCs w:val="32"/>
          <w:shd w:val="clear" w:color="auto" w:fill="FFFFFF"/>
        </w:rPr>
        <w:t>万元，占50.51%；经营支出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2"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2024年度财政拨款收、支总计757.89万元。与2023年相比</w:t>
      </w:r>
      <w:r>
        <w:rPr>
          <w:rFonts w:hint="default" w:ascii="Times New Roman" w:hAnsi="Times New Roman" w:eastAsia="方正仿宋_GBK"/>
          <w:sz w:val="32"/>
          <w:szCs w:val="32"/>
        </w:rPr>
        <w:t>减少315.80万元，下降29.41%，主要原因是根据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p>
    <w:p>
      <w:pPr>
        <w:pStyle w:val="7"/>
        <w:snapToGrid w:val="0"/>
        <w:spacing w:before="0" w:beforeAutospacing="0" w:after="0" w:afterAutospacing="0" w:line="594" w:lineRule="exact"/>
        <w:ind w:firstLine="642"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（三）一般公共预算财政拨款收入支出决算情况说明</w:t>
      </w:r>
    </w:p>
    <w:p>
      <w:pPr>
        <w:pStyle w:val="7"/>
        <w:snapToGrid w:val="0"/>
        <w:spacing w:before="0" w:beforeAutospacing="0" w:after="0" w:afterAutospacing="0" w:line="594" w:lineRule="exact"/>
        <w:ind w:firstLine="642"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754.08</w:t>
      </w:r>
      <w:r>
        <w:rPr>
          <w:rFonts w:hint="default" w:ascii="Times New Roman" w:hAnsi="Times New Roman" w:eastAsia="方正仿宋_GBK"/>
          <w:sz w:val="32"/>
          <w:szCs w:val="32"/>
          <w:shd w:val="clear" w:color="auto" w:fill="FFFFFF"/>
        </w:rPr>
        <w:t>万元，与2023年度相比，减少319.61万元，下降29.8%。</w:t>
      </w:r>
      <w:r>
        <w:rPr>
          <w:rFonts w:hint="default" w:ascii="Times New Roman" w:hAnsi="Times New Roman" w:eastAsia="方正仿宋_GBK"/>
          <w:sz w:val="32"/>
          <w:szCs w:val="32"/>
        </w:rPr>
        <w:t>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r>
        <w:rPr>
          <w:rFonts w:hint="default" w:ascii="Times New Roman" w:hAnsi="Times New Roman" w:eastAsia="方正仿宋_GBK"/>
          <w:sz w:val="32"/>
          <w:szCs w:val="32"/>
          <w:shd w:val="clear" w:color="auto" w:fill="FFFFFF"/>
        </w:rPr>
        <w:t>较年初预算数减少411.17万元，下降35.3%。</w:t>
      </w:r>
      <w:r>
        <w:rPr>
          <w:rFonts w:hint="default" w:ascii="Times New Roman" w:hAnsi="Times New Roman" w:eastAsia="方正仿宋_GBK"/>
          <w:sz w:val="32"/>
          <w:szCs w:val="32"/>
        </w:rPr>
        <w:t>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3.81</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2"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757.89</w:t>
      </w:r>
      <w:r>
        <w:rPr>
          <w:rFonts w:hint="default" w:ascii="Times New Roman" w:hAnsi="Times New Roman" w:eastAsia="方正仿宋_GBK"/>
          <w:sz w:val="32"/>
          <w:szCs w:val="32"/>
          <w:shd w:val="clear" w:color="auto" w:fill="FFFFFF"/>
        </w:rPr>
        <w:t>万元，与2023年度相比，减少315.80万元，下降29.4%。</w:t>
      </w:r>
      <w:r>
        <w:rPr>
          <w:rFonts w:hint="default" w:ascii="Times New Roman" w:hAnsi="Times New Roman" w:eastAsia="方正仿宋_GBK"/>
          <w:sz w:val="32"/>
          <w:szCs w:val="32"/>
        </w:rPr>
        <w:t>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r>
        <w:rPr>
          <w:rFonts w:hint="default" w:ascii="Times New Roman" w:hAnsi="Times New Roman" w:eastAsia="方正仿宋_GBK"/>
          <w:sz w:val="32"/>
          <w:szCs w:val="32"/>
          <w:shd w:val="clear" w:color="auto" w:fill="FFFFFF"/>
        </w:rPr>
        <w:t>较年初预算数减少407.36万元，下降35.0%。</w:t>
      </w:r>
      <w:r>
        <w:rPr>
          <w:rFonts w:hint="default" w:ascii="Times New Roman" w:hAnsi="Times New Roman" w:eastAsia="方正仿宋_GBK"/>
          <w:sz w:val="32"/>
          <w:szCs w:val="32"/>
        </w:rPr>
        <w:t>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，压减了重庆互联网产业园经费支出，核定编制人员减少，工资福利等支出相应减少。</w:t>
      </w:r>
    </w:p>
    <w:p>
      <w:pPr>
        <w:pStyle w:val="7"/>
        <w:snapToGrid w:val="0"/>
        <w:spacing w:before="0" w:beforeAutospacing="0" w:after="0" w:afterAutospacing="0" w:line="594" w:lineRule="exact"/>
        <w:ind w:firstLine="642"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p>
    <w:p>
      <w:pPr>
        <w:pStyle w:val="7"/>
        <w:snapToGrid w:val="0"/>
        <w:spacing w:before="0" w:beforeAutospacing="0" w:after="0" w:afterAutospacing="0" w:line="594" w:lineRule="exact"/>
        <w:ind w:firstLine="642" w:firstLineChars="200"/>
        <w:jc w:val="both"/>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snapToGrid w:val="0"/>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614.97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81.14</w:t>
      </w:r>
      <w:r>
        <w:rPr>
          <w:rFonts w:hint="default" w:ascii="Times New Roman" w:hAnsi="Times New Roman" w:eastAsia="方正仿宋_GBK"/>
          <w:sz w:val="32"/>
          <w:szCs w:val="32"/>
          <w:shd w:val="clear" w:color="auto" w:fill="FFFFFF"/>
        </w:rPr>
        <w:t>%，较年初预算数减少4.12万元，下降0.7%，</w:t>
      </w:r>
      <w:r>
        <w:rPr>
          <w:rFonts w:hint="default" w:ascii="Times New Roman" w:hAnsi="Times New Roman" w:eastAsia="方正仿宋_GBK"/>
          <w:sz w:val="32"/>
          <w:szCs w:val="32"/>
        </w:rPr>
        <w:t>主要原因是人员减少，工资福利等支出相应减少。</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（2）科学技术支出</w:t>
      </w:r>
      <w:r>
        <w:rPr>
          <w:rFonts w:hint="default" w:ascii="Times New Roman" w:hAnsi="Times New Roman" w:eastAsia="方正仿宋_GBK"/>
          <w:sz w:val="32"/>
          <w:szCs w:val="32"/>
        </w:rPr>
        <w:t>46.84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6.18</w:t>
      </w:r>
      <w:r>
        <w:rPr>
          <w:rFonts w:hint="default" w:ascii="Times New Roman" w:hAnsi="Times New Roman" w:eastAsia="方正仿宋_GBK"/>
          <w:sz w:val="32"/>
          <w:szCs w:val="32"/>
          <w:shd w:val="clear" w:color="auto" w:fill="FFFFFF"/>
        </w:rPr>
        <w:t>%，较年初预算数减少413.16万元，下降89.8%，</w:t>
      </w:r>
      <w:r>
        <w:rPr>
          <w:rFonts w:hint="default" w:ascii="Times New Roman" w:hAnsi="Times New Roman" w:eastAsia="方正仿宋_GBK"/>
          <w:sz w:val="32"/>
          <w:szCs w:val="32"/>
        </w:rPr>
        <w:t>主要原因是根据</w:t>
      </w:r>
      <w:r>
        <w:rPr>
          <w:rFonts w:ascii="Times New Roman" w:hAnsi="Times New Roman" w:eastAsia="方正仿宋_GBK"/>
          <w:sz w:val="32"/>
          <w:szCs w:val="32"/>
        </w:rPr>
        <w:t>全区改革要求</w:t>
      </w:r>
      <w:r>
        <w:rPr>
          <w:rFonts w:hint="default" w:ascii="Times New Roman" w:hAnsi="Times New Roman" w:eastAsia="方正仿宋_GBK"/>
          <w:sz w:val="32"/>
          <w:szCs w:val="32"/>
        </w:rPr>
        <w:t>和</w:t>
      </w:r>
      <w:r>
        <w:rPr>
          <w:rFonts w:ascii="Times New Roman" w:hAnsi="Times New Roman" w:eastAsia="方正仿宋_GBK"/>
          <w:sz w:val="32"/>
          <w:szCs w:val="32"/>
        </w:rPr>
        <w:t>管委会职能职责调整</w:t>
      </w:r>
      <w:r>
        <w:rPr>
          <w:rFonts w:hint="default" w:ascii="Times New Roman" w:hAnsi="Times New Roman" w:eastAsia="方正仿宋_GBK"/>
          <w:sz w:val="32"/>
          <w:szCs w:val="32"/>
        </w:rPr>
        <w:t>，压减了重庆互联网产业园经费支出。</w:t>
      </w:r>
    </w:p>
    <w:p>
      <w:pPr>
        <w:snapToGrid w:val="0"/>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46.03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6.07</w:t>
      </w:r>
      <w:r>
        <w:rPr>
          <w:rFonts w:hint="default" w:ascii="Times New Roman" w:hAnsi="Times New Roman" w:eastAsia="方正仿宋_GBK"/>
          <w:sz w:val="32"/>
          <w:szCs w:val="32"/>
          <w:shd w:val="clear" w:color="auto" w:fill="FFFFFF"/>
        </w:rPr>
        <w:t>%，较年初预算数增加6.97万元，增长17.8%，</w:t>
      </w:r>
      <w:r>
        <w:rPr>
          <w:rFonts w:hint="default" w:ascii="Times New Roman" w:hAnsi="Times New Roman" w:eastAsia="方正仿宋_GBK"/>
          <w:sz w:val="32"/>
          <w:szCs w:val="32"/>
        </w:rPr>
        <w:t>主要原因是社保基数增加。</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18.43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2.43</w:t>
      </w:r>
      <w:r>
        <w:rPr>
          <w:rFonts w:hint="default" w:ascii="Times New Roman" w:hAnsi="Times New Roman" w:eastAsia="方正仿宋_GBK"/>
          <w:sz w:val="32"/>
          <w:szCs w:val="32"/>
          <w:shd w:val="clear" w:color="auto" w:fill="FFFFFF"/>
        </w:rPr>
        <w:t>%，较年初预算数减少1.21万元，下降6.2%，</w:t>
      </w:r>
      <w:r>
        <w:rPr>
          <w:rFonts w:hint="default" w:ascii="Times New Roman" w:hAnsi="Times New Roman" w:eastAsia="方正仿宋_GBK"/>
          <w:sz w:val="32"/>
          <w:szCs w:val="32"/>
        </w:rPr>
        <w:t>主要原因是人员减少。</w:t>
      </w:r>
    </w:p>
    <w:p>
      <w:pPr>
        <w:snapToGrid w:val="0"/>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（5）城乡社区支出</w:t>
      </w:r>
      <w:r>
        <w:rPr>
          <w:rFonts w:hint="default" w:ascii="Times New Roman" w:hAnsi="Times New Roman" w:eastAsia="方正仿宋_GBK"/>
          <w:sz w:val="32"/>
          <w:szCs w:val="32"/>
        </w:rPr>
        <w:t>3.39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0.45</w:t>
      </w:r>
      <w:r>
        <w:rPr>
          <w:rFonts w:hint="default" w:ascii="Times New Roman" w:hAnsi="Times New Roman" w:eastAsia="方正仿宋_GBK"/>
          <w:sz w:val="32"/>
          <w:szCs w:val="32"/>
          <w:shd w:val="clear" w:color="auto" w:fill="FFFFFF"/>
        </w:rPr>
        <w:t>%，较年初预算数增加3.39万元，增长100.0%，</w:t>
      </w:r>
      <w:r>
        <w:rPr>
          <w:rFonts w:hint="default" w:ascii="Times New Roman" w:hAnsi="Times New Roman" w:eastAsia="方正仿宋_GBK"/>
          <w:sz w:val="32"/>
          <w:szCs w:val="32"/>
        </w:rPr>
        <w:t>主要原因是</w:t>
      </w:r>
      <w:r>
        <w:rPr>
          <w:rFonts w:ascii="Times New Roman" w:hAnsi="Times New Roman" w:eastAsia="方正仿宋_GBK"/>
          <w:sz w:val="32"/>
          <w:szCs w:val="32"/>
        </w:rPr>
        <w:t>支付跨</w:t>
      </w:r>
      <w:r>
        <w:rPr>
          <w:rFonts w:hint="default" w:ascii="Times New Roman" w:hAnsi="Times New Roman" w:eastAsia="方正仿宋_GBK"/>
          <w:sz w:val="32"/>
          <w:szCs w:val="32"/>
        </w:rPr>
        <w:t>年度建设项目质保金。</w:t>
      </w:r>
    </w:p>
    <w:p>
      <w:pPr>
        <w:snapToGrid w:val="0"/>
        <w:spacing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（6）商业服务业等支出</w:t>
      </w:r>
      <w:r>
        <w:rPr>
          <w:rFonts w:hint="default" w:ascii="Times New Roman" w:hAnsi="Times New Roman" w:eastAsia="方正仿宋_GBK"/>
          <w:sz w:val="32"/>
          <w:szCs w:val="32"/>
        </w:rPr>
        <w:t>1.40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0.18</w:t>
      </w:r>
      <w:r>
        <w:rPr>
          <w:rFonts w:hint="default" w:ascii="Times New Roman" w:hAnsi="Times New Roman" w:eastAsia="方正仿宋_GBK"/>
          <w:sz w:val="32"/>
          <w:szCs w:val="32"/>
          <w:shd w:val="clear" w:color="auto" w:fill="FFFFFF"/>
        </w:rPr>
        <w:t>%，较年初预算数增加1.40万元，增长100.0%，</w:t>
      </w:r>
      <w:r>
        <w:rPr>
          <w:rFonts w:hint="default" w:ascii="Times New Roman" w:hAnsi="Times New Roman" w:eastAsia="方正仿宋_GBK"/>
          <w:sz w:val="32"/>
          <w:szCs w:val="32"/>
        </w:rPr>
        <w:t>主要原因是加大招商引资力度。</w:t>
      </w:r>
    </w:p>
    <w:p>
      <w:pPr>
        <w:spacing w:line="594" w:lineRule="exact"/>
        <w:ind w:firstLine="640" w:firstLineChars="200"/>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（7）</w:t>
      </w:r>
      <w:r>
        <w:rPr>
          <w:rFonts w:hint="default" w:ascii="Times New Roman" w:hAnsi="Times New Roman" w:eastAsia="方正仿宋_GBK"/>
          <w:sz w:val="32"/>
          <w:szCs w:val="32"/>
        </w:rPr>
        <w:t>住房保障支出26.82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3.54</w:t>
      </w:r>
      <w:r>
        <w:rPr>
          <w:rFonts w:hint="default" w:ascii="Times New Roman" w:hAnsi="Times New Roman" w:eastAsia="方正仿宋_GBK"/>
          <w:sz w:val="32"/>
          <w:szCs w:val="32"/>
          <w:shd w:val="clear" w:color="auto" w:fill="FFFFFF"/>
        </w:rPr>
        <w:t>%，较年初预算数减少0.64万元，下降2.3%，</w:t>
      </w:r>
      <w:r>
        <w:rPr>
          <w:rFonts w:hint="default" w:ascii="Times New Roman" w:hAnsi="Times New Roman" w:eastAsia="方正仿宋_GBK"/>
          <w:sz w:val="32"/>
          <w:szCs w:val="32"/>
        </w:rPr>
        <w:t>主要原因是人员减少。</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375.04</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313.79</w:t>
      </w:r>
      <w:r>
        <w:rPr>
          <w:rFonts w:hint="default" w:ascii="Times New Roman" w:hAnsi="Times New Roman" w:eastAsia="方正仿宋_GBK"/>
          <w:sz w:val="32"/>
          <w:szCs w:val="32"/>
          <w:shd w:val="clear" w:color="auto" w:fill="FFFFFF"/>
        </w:rPr>
        <w:t>万元，与2023年度相比，增加2.46万元，增长0.8%，主要原因是增人增资</w:t>
      </w:r>
      <w:r>
        <w:rPr>
          <w:rFonts w:hint="default" w:ascii="Times New Roman" w:hAnsi="Times New Roman" w:eastAsia="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人员经费用途主要包括基本工资、津贴补贴、奖金、社会保障缴费、住房公积金等。公用经费</w:t>
      </w:r>
      <w:r>
        <w:rPr>
          <w:rFonts w:hint="default" w:ascii="Times New Roman" w:hAnsi="Times New Roman" w:eastAsia="方正仿宋_GBK"/>
          <w:sz w:val="32"/>
          <w:szCs w:val="32"/>
        </w:rPr>
        <w:t>61.25</w:t>
      </w:r>
      <w:r>
        <w:rPr>
          <w:rFonts w:hint="default" w:ascii="Times New Roman" w:hAnsi="Times New Roman" w:eastAsia="方正仿宋_GBK"/>
          <w:sz w:val="32"/>
          <w:szCs w:val="32"/>
          <w:shd w:val="clear" w:color="auto" w:fill="FFFFFF"/>
        </w:rPr>
        <w:t>万元，与2023年度相比，减少2.65万元，下降4.2%，主要原因是</w:t>
      </w:r>
      <w:r>
        <w:rPr>
          <w:rFonts w:hint="default" w:ascii="Times New Roman" w:hAnsi="Times New Roman" w:eastAsia="方正仿宋_GBK"/>
          <w:sz w:val="32"/>
          <w:szCs w:val="32"/>
        </w:rPr>
        <w:t>人员减少。</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万元，与2023年度相比，无增减，本部门2024年度无政府性基金预算财政拨款收支。</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万元，本部门2024年度无国有资本经营预算财政拨款支出。</w:t>
      </w:r>
    </w:p>
    <w:p>
      <w:pPr>
        <w:pStyle w:val="7"/>
        <w:shd w:val="clear" w:color="auto" w:fill="FFFFFF"/>
        <w:spacing w:before="0" w:beforeAutospacing="0" w:after="0" w:afterAutospacing="0" w:line="594" w:lineRule="exact"/>
        <w:ind w:firstLine="642" w:firstLineChars="200"/>
        <w:rPr>
          <w:rFonts w:hint="default" w:ascii="Times New Roman" w:hAnsi="Times New Roman" w:eastAsia="黑体"/>
          <w:b/>
          <w:sz w:val="32"/>
          <w:szCs w:val="32"/>
          <w:shd w:val="clear" w:color="auto" w:fill="FFFFFF"/>
        </w:rPr>
      </w:pPr>
      <w:r>
        <w:rPr>
          <w:rStyle w:val="11"/>
          <w:rFonts w:hint="default" w:ascii="Times New Roman" w:hAnsi="Times New Roman" w:eastAsia="黑体"/>
          <w:sz w:val="32"/>
          <w:szCs w:val="32"/>
          <w:shd w:val="clear" w:color="auto" w:fill="FFFFFF"/>
        </w:rPr>
        <w:t>三、财政拨款“三公”经费情况说明</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snapToGrid w:val="0"/>
        <w:spacing w:line="594" w:lineRule="exact"/>
        <w:ind w:firstLine="640" w:firstLineChars="200"/>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5.68</w:t>
      </w:r>
      <w:r>
        <w:rPr>
          <w:rFonts w:hint="default" w:ascii="Times New Roman" w:hAnsi="Times New Roman" w:eastAsia="方正仿宋_GBK"/>
          <w:sz w:val="32"/>
          <w:szCs w:val="32"/>
          <w:shd w:val="clear" w:color="auto" w:fill="FFFFFF"/>
        </w:rPr>
        <w:t>万元，较年初预算数减少3.32万元，下降36.9%，</w:t>
      </w:r>
      <w:r>
        <w:rPr>
          <w:rFonts w:hint="default" w:ascii="Times New Roman" w:hAnsi="Times New Roman" w:eastAsia="方正仿宋_GBK"/>
          <w:sz w:val="32"/>
          <w:szCs w:val="32"/>
        </w:rPr>
        <w:t>主要原因是预算经费严控增加。</w:t>
      </w:r>
      <w:r>
        <w:rPr>
          <w:rFonts w:hint="default" w:ascii="Times New Roman" w:hAnsi="Times New Roman" w:eastAsia="方正仿宋_GBK"/>
          <w:sz w:val="32"/>
          <w:szCs w:val="32"/>
          <w:shd w:val="clear" w:color="auto" w:fill="FFFFFF"/>
        </w:rPr>
        <w:t>较上年支出数增加1.45万元，增长34.3%，</w:t>
      </w:r>
      <w:r>
        <w:rPr>
          <w:rFonts w:hint="default" w:ascii="Times New Roman" w:hAnsi="Times New Roman" w:eastAsia="方正仿宋_GBK"/>
          <w:sz w:val="32"/>
          <w:szCs w:val="32"/>
        </w:rPr>
        <w:t>主要原因是加大招商引资力度。</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1.31</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主要用于机要文件交换、走访企业等工作所需车辆的燃料费、维修费、保险费等。</w:t>
      </w:r>
      <w:r>
        <w:rPr>
          <w:rFonts w:hint="default" w:ascii="Times New Roman" w:hAnsi="Times New Roman" w:eastAsia="方正仿宋_GBK"/>
          <w:sz w:val="32"/>
          <w:szCs w:val="32"/>
          <w:shd w:val="clear" w:color="auto" w:fill="FFFFFF"/>
        </w:rPr>
        <w:t>费用支出较年初预算数减少1.69万元，下降56.3%，</w:t>
      </w:r>
      <w:r>
        <w:rPr>
          <w:rFonts w:hint="default" w:ascii="Times New Roman" w:hAnsi="Times New Roman" w:eastAsia="方正仿宋_GBK"/>
          <w:sz w:val="32"/>
          <w:szCs w:val="32"/>
        </w:rPr>
        <w:t>主要原因是严格落实公务用车使用管理规定，强化车辆管理，全年支出有所下降。</w:t>
      </w:r>
      <w:r>
        <w:rPr>
          <w:rFonts w:hint="default" w:ascii="Times New Roman" w:hAnsi="Times New Roman" w:eastAsia="方正仿宋_GBK"/>
          <w:sz w:val="32"/>
          <w:szCs w:val="32"/>
          <w:shd w:val="clear" w:color="auto" w:fill="FFFFFF"/>
        </w:rPr>
        <w:t>较上年支出数减少1.33万元，下降50.4%，</w:t>
      </w:r>
      <w:r>
        <w:rPr>
          <w:rFonts w:hint="default" w:ascii="Times New Roman" w:hAnsi="Times New Roman" w:eastAsia="方正仿宋_GBK"/>
          <w:sz w:val="32"/>
          <w:szCs w:val="32"/>
        </w:rPr>
        <w:t>主要原因是严格落实公务用车使用管理规定，强化车辆管理，全年支出有所下降。</w:t>
      </w:r>
    </w:p>
    <w:p>
      <w:pPr>
        <w:snapToGrid w:val="0"/>
        <w:spacing w:line="594" w:lineRule="exact"/>
        <w:ind w:firstLine="640" w:firstLineChars="200"/>
        <w:rPr>
          <w:rFonts w:hint="default" w:ascii="Times New Roman" w:hAnsi="Times New Roman" w:eastAsia="仿宋_GB2312"/>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4.37</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主要用于接待云知声智能、中润超油、赛迪工程、中冶赛迪等企业来区招商洽谈。</w:t>
      </w:r>
      <w:r>
        <w:rPr>
          <w:rFonts w:hint="default" w:ascii="Times New Roman" w:hAnsi="Times New Roman" w:eastAsia="方正仿宋_GBK"/>
          <w:sz w:val="32"/>
          <w:szCs w:val="32"/>
          <w:shd w:val="clear" w:color="auto" w:fill="FFFFFF"/>
        </w:rPr>
        <w:t>费用支出较年初预算数减少1.63万元，下降27.2%，</w:t>
      </w:r>
      <w:r>
        <w:rPr>
          <w:rFonts w:hint="default" w:ascii="Times New Roman" w:hAnsi="Times New Roman" w:eastAsia="方正仿宋_GBK"/>
          <w:sz w:val="32"/>
          <w:szCs w:val="32"/>
        </w:rPr>
        <w:t>主要原因</w:t>
      </w:r>
      <w:r>
        <w:rPr>
          <w:rFonts w:ascii="Times New Roman" w:hAnsi="Times New Roman" w:eastAsia="方正仿宋_GBK"/>
          <w:sz w:val="32"/>
          <w:szCs w:val="32"/>
        </w:rPr>
        <w:t>是</w:t>
      </w:r>
      <w:r>
        <w:rPr>
          <w:rFonts w:hint="default" w:ascii="Times New Roman" w:hAnsi="Times New Roman" w:eastAsia="方正仿宋_GBK"/>
          <w:sz w:val="32"/>
          <w:szCs w:val="32"/>
        </w:rPr>
        <w:t>厉行节约</w:t>
      </w:r>
      <w:r>
        <w:rPr>
          <w:rFonts w:hint="default" w:ascii="Times New Roman" w:hAnsi="Times New Roman" w:eastAsia="方正仿宋_GBK"/>
          <w:sz w:val="32"/>
          <w:szCs w:val="32"/>
          <w:shd w:val="clear" w:color="auto" w:fill="FFFFFF"/>
        </w:rPr>
        <w:t>，压减经费支出。较上年支出数增加2.78万元，增长174.8%，</w:t>
      </w:r>
      <w:r>
        <w:rPr>
          <w:rFonts w:hint="default" w:ascii="Times New Roman" w:hAnsi="Times New Roman" w:eastAsia="方正仿宋_GBK"/>
          <w:sz w:val="32"/>
          <w:szCs w:val="32"/>
        </w:rPr>
        <w:t>主要原因是加大招商引资力度。</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35</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219</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199.68</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1.31</w:t>
      </w:r>
      <w:r>
        <w:rPr>
          <w:rFonts w:hint="default" w:ascii="Times New Roman" w:hAnsi="Times New Roman" w:eastAsia="方正仿宋_GBK"/>
          <w:sz w:val="32"/>
          <w:szCs w:val="32"/>
          <w:shd w:val="clear" w:color="auto" w:fill="FFFFFF"/>
        </w:rPr>
        <w:t>万元。</w:t>
      </w:r>
    </w:p>
    <w:p>
      <w:pPr>
        <w:pStyle w:val="7"/>
        <w:shd w:val="clear" w:color="auto" w:fill="FFFFFF"/>
        <w:spacing w:before="0" w:beforeAutospacing="0" w:after="0" w:afterAutospacing="0" w:line="594" w:lineRule="exact"/>
        <w:ind w:firstLine="642" w:firstLineChars="200"/>
        <w:rPr>
          <w:rStyle w:val="11"/>
          <w:rFonts w:hint="default" w:ascii="Times New Roman" w:hAnsi="Times New Roman" w:eastAsia="黑体"/>
          <w:sz w:val="32"/>
          <w:szCs w:val="32"/>
          <w:shd w:val="clear" w:color="auto" w:fill="FFFFFF"/>
        </w:rPr>
      </w:pPr>
      <w:r>
        <w:rPr>
          <w:rStyle w:val="11"/>
          <w:rFonts w:hint="default" w:ascii="Times New Roman" w:hAnsi="Times New Roman" w:eastAsia="黑体"/>
          <w:sz w:val="32"/>
          <w:szCs w:val="32"/>
          <w:shd w:val="clear" w:color="auto" w:fill="FFFFFF"/>
        </w:rPr>
        <w:t>四、其他需要说明的事项</w:t>
      </w:r>
    </w:p>
    <w:p>
      <w:pPr>
        <w:pStyle w:val="7"/>
        <w:shd w:val="clear" w:color="auto" w:fill="FFFFFF"/>
        <w:spacing w:before="0" w:beforeAutospacing="0" w:after="0" w:afterAutospacing="0" w:line="594" w:lineRule="exact"/>
        <w:ind w:firstLine="642" w:firstLineChars="200"/>
        <w:rPr>
          <w:rFonts w:hint="default" w:ascii="Times New Roman" w:hAnsi="Times New Roman" w:eastAsia="黑体"/>
          <w:b/>
          <w:sz w:val="32"/>
          <w:szCs w:val="32"/>
          <w:shd w:val="clear" w:color="auto" w:fill="FFFFFF"/>
        </w:rPr>
      </w:pPr>
      <w:r>
        <w:rPr>
          <w:rFonts w:hint="default" w:ascii="Times New Roman" w:hAnsi="Times New Roman" w:eastAsia="楷体"/>
          <w:b/>
          <w:bCs/>
          <w:sz w:val="32"/>
          <w:szCs w:val="32"/>
          <w:shd w:val="clear" w:color="auto" w:fill="FFFFFF"/>
        </w:rPr>
        <w:t>（一）财政拨款会议费和培训费情况说明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万元，与2023年度相比，减少1.04万元，下降100.0%，</w:t>
      </w:r>
      <w:r>
        <w:rPr>
          <w:rFonts w:hint="default" w:ascii="Times New Roman" w:hAnsi="Times New Roman" w:eastAsia="方正仿宋_GBK"/>
          <w:sz w:val="32"/>
          <w:szCs w:val="32"/>
        </w:rPr>
        <w:t>主要原因是精简会议规模与频次。</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0.71</w:t>
      </w:r>
      <w:r>
        <w:rPr>
          <w:rFonts w:hint="default" w:ascii="Times New Roman" w:hAnsi="Times New Roman" w:eastAsia="方正仿宋_GBK"/>
          <w:sz w:val="32"/>
          <w:szCs w:val="32"/>
          <w:shd w:val="clear" w:color="auto" w:fill="FFFFFF"/>
        </w:rPr>
        <w:t>万元，与2023年度相比，减少8.41万元，下降92.2%，</w:t>
      </w:r>
      <w:r>
        <w:rPr>
          <w:rFonts w:hint="default" w:ascii="Times New Roman" w:hAnsi="Times New Roman" w:eastAsia="方正仿宋_GBK"/>
          <w:sz w:val="32"/>
          <w:szCs w:val="32"/>
        </w:rPr>
        <w:t>主要原因是精简培训频次。</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35.29</w:t>
      </w:r>
      <w:r>
        <w:rPr>
          <w:rFonts w:hint="default" w:ascii="Times New Roman" w:hAnsi="Times New Roman" w:eastAsia="方正仿宋_GBK"/>
          <w:sz w:val="32"/>
          <w:szCs w:val="32"/>
          <w:shd w:val="clear" w:color="auto" w:fill="FFFFFF"/>
        </w:rPr>
        <w:t>万元，机关运行经费主要用于开支办公费、邮电费、工会经费、办公设备购置费、公务接待费、委托业务费、公务用车运行维护费等商品和服务支出。机关运行经费较上年支出数增加3.36万元，增长10.5%，主要原因是水电费等支出相应增加。</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5.08</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5.08</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5.08万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5.08</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%。主要用于采购国产台式电脑、办公软件和操作系统。</w:t>
      </w:r>
    </w:p>
    <w:p>
      <w:pPr>
        <w:pStyle w:val="13"/>
        <w:spacing w:before="0" w:beforeAutospacing="0" w:after="0" w:afterAutospacing="0" w:line="594" w:lineRule="exact"/>
        <w:ind w:firstLine="642" w:firstLineChars="200"/>
        <w:rPr>
          <w:rStyle w:val="11"/>
          <w:rFonts w:ascii="Times New Roman" w:hAnsi="Times New Roman" w:eastAsia="黑体"/>
          <w:sz w:val="32"/>
          <w:szCs w:val="32"/>
          <w:shd w:val="clear" w:color="auto" w:fill="FFFFFF"/>
        </w:rPr>
      </w:pPr>
      <w:r>
        <w:rPr>
          <w:rStyle w:val="11"/>
          <w:rFonts w:ascii="Times New Roman" w:hAnsi="Times New Roman" w:eastAsia="黑体"/>
          <w:sz w:val="32"/>
          <w:szCs w:val="32"/>
          <w:shd w:val="clear" w:color="auto" w:fill="FFFFFF"/>
        </w:rPr>
        <w:t>五、2024年度预算绩效管理情况说明</w:t>
      </w:r>
    </w:p>
    <w:p>
      <w:pPr>
        <w:pStyle w:val="13"/>
        <w:autoSpaceDE w:val="0"/>
        <w:spacing w:before="0" w:beforeAutospacing="0" w:after="0" w:afterAutospacing="0" w:line="594" w:lineRule="exact"/>
        <w:ind w:firstLine="642"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pPr>
        <w:pStyle w:val="13"/>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根据预算绩效管理要求，我委对部门整体和15个项目开展了绩效自评，涉及财政拨款项目支出资金382.84万元。</w:t>
      </w:r>
    </w:p>
    <w:p>
      <w:pPr>
        <w:pStyle w:val="13"/>
        <w:autoSpaceDE w:val="0"/>
        <w:spacing w:before="0" w:beforeAutospacing="0" w:after="0" w:afterAutospacing="0" w:line="594" w:lineRule="exact"/>
        <w:ind w:firstLine="642" w:firstLineChars="20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7"/>
        <w:autoSpaceDE w:val="0"/>
        <w:spacing w:line="594" w:lineRule="exact"/>
        <w:ind w:firstLine="640"/>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根据年初设定的绩效目标，2024年整体支出绩效评价得分100分。综合产出类、效益类等两大类指标进行评价，完成情况较好。</w:t>
      </w:r>
    </w:p>
    <w:p>
      <w:pPr>
        <w:pStyle w:val="13"/>
        <w:numPr>
          <w:ilvl w:val="0"/>
          <w:numId w:val="2"/>
        </w:numPr>
        <w:autoSpaceDE w:val="0"/>
        <w:spacing w:before="0" w:beforeAutospacing="0" w:after="0" w:afterAutospacing="0" w:line="594" w:lineRule="exact"/>
        <w:ind w:firstLine="642" w:firstLineChars="200"/>
        <w:rPr>
          <w:rFonts w:hint="eastAsia" w:ascii="Times New Roman" w:hAnsi="Times New Roman" w:eastAsia="楷体"/>
          <w:b/>
          <w:bCs/>
          <w:sz w:val="32"/>
          <w:szCs w:val="32"/>
          <w:shd w:val="clear" w:color="auto" w:fill="FFFFFF"/>
          <w:lang w:eastAsia="zh-CN"/>
        </w:rPr>
      </w:pPr>
      <w:r>
        <w:rPr>
          <w:rFonts w:hint="eastAsia" w:ascii="Times New Roman" w:hAnsi="Times New Roman" w:eastAsia="楷体"/>
          <w:b/>
          <w:bCs/>
          <w:sz w:val="32"/>
          <w:szCs w:val="32"/>
          <w:shd w:val="clear" w:color="auto" w:fill="FFFFFF"/>
          <w:lang w:eastAsia="zh-CN"/>
        </w:rPr>
        <w:t>第三方绩效评价情况</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区财政局委托第三方对我部门整体支出开展了绩效评价，涉及财政拨款项目资金</w:t>
      </w:r>
      <w:r>
        <w:rPr>
          <w:rFonts w:hint="default" w:ascii="Times New Roman" w:hAnsi="Times New Roman" w:eastAsia="方正仿宋_GBK" w:cs="Times New Roman"/>
          <w:sz w:val="32"/>
          <w:szCs w:val="32"/>
          <w:highlight w:val="none"/>
          <w:lang w:val="en-US" w:eastAsia="zh-CN"/>
        </w:rPr>
        <w:t>757.89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color w:val="000000"/>
          <w:sz w:val="32"/>
          <w:szCs w:val="32"/>
          <w:lang w:val="en-US" w:eastAsia="zh-CN" w:bidi="ar-SA"/>
        </w:rPr>
        <w:t>，评价得分</w:t>
      </w:r>
      <w:r>
        <w:rPr>
          <w:rFonts w:hint="default" w:ascii="Times New Roman" w:hAnsi="Times New Roman" w:eastAsia="方正仿宋_GBK" w:cs="Times New Roman"/>
          <w:sz w:val="32"/>
          <w:szCs w:val="32"/>
          <w:highlight w:val="none"/>
          <w:lang w:val="en-US" w:eastAsia="zh-CN"/>
        </w:rPr>
        <w:t>83.61</w:t>
      </w:r>
      <w:r>
        <w:rPr>
          <w:rFonts w:hint="default" w:ascii="Times New Roman" w:hAnsi="Times New Roman" w:eastAsia="方正仿宋_GBK" w:cs="Times New Roman"/>
          <w:color w:val="000000"/>
          <w:sz w:val="32"/>
          <w:szCs w:val="32"/>
          <w:lang w:val="en-US" w:eastAsia="zh-CN" w:bidi="ar-SA"/>
        </w:rPr>
        <w:t>分，评价等次为良，绩效评价发现了固定资产盘点不及时、资金使用不规范等问题，提出</w:t>
      </w:r>
      <w:r>
        <w:rPr>
          <w:rFonts w:hint="default" w:ascii="Times New Roman" w:hAnsi="Times New Roman" w:eastAsia="方正仿宋_GBK" w:cs="Times New Roman"/>
          <w:sz w:val="32"/>
          <w:szCs w:val="32"/>
          <w:lang w:val="en-US" w:eastAsia="zh-CN"/>
        </w:rPr>
        <w:t>完善管理制度、及时盘点</w:t>
      </w:r>
      <w:r>
        <w:rPr>
          <w:rFonts w:hint="default" w:ascii="Times New Roman" w:hAnsi="Times New Roman" w:eastAsia="方正仿宋_GBK" w:cs="Times New Roman"/>
          <w:color w:val="000000"/>
          <w:sz w:val="32"/>
          <w:szCs w:val="32"/>
          <w:lang w:val="en-US" w:eastAsia="zh-CN" w:bidi="ar-SA"/>
        </w:rPr>
        <w:t>固定资产</w:t>
      </w:r>
      <w:r>
        <w:rPr>
          <w:rFonts w:hint="default" w:ascii="Times New Roman" w:hAnsi="Times New Roman" w:eastAsia="方正仿宋_GBK" w:cs="Times New Roman"/>
          <w:sz w:val="32"/>
          <w:szCs w:val="32"/>
          <w:lang w:val="en-US" w:eastAsia="zh-CN"/>
        </w:rPr>
        <w:t>、建立台账管理、规范资金支付流程</w:t>
      </w:r>
      <w:r>
        <w:rPr>
          <w:rFonts w:hint="default" w:ascii="Times New Roman" w:hAnsi="Times New Roman" w:eastAsia="方正仿宋_GBK" w:cs="Times New Roman"/>
          <w:color w:val="000000"/>
          <w:sz w:val="32"/>
          <w:szCs w:val="32"/>
          <w:lang w:val="en-US" w:eastAsia="zh-CN" w:bidi="ar-SA"/>
        </w:rPr>
        <w:t>等下一步工作建议。</w:t>
      </w:r>
    </w:p>
    <w:p>
      <w:pPr>
        <w:pStyle w:val="17"/>
        <w:keepNext w:val="0"/>
        <w:keepLines w:val="0"/>
        <w:pageBreakBefore w:val="0"/>
        <w:widowControl/>
        <w:numPr>
          <w:ilvl w:val="0"/>
          <w:numId w:val="0"/>
        </w:numPr>
        <w:kinsoku/>
        <w:wordWrap/>
        <w:overflowPunct/>
        <w:topLinePunct w:val="0"/>
        <w:autoSpaceDE w:val="0"/>
        <w:autoSpaceDN/>
        <w:bidi w:val="0"/>
        <w:adjustRightInd/>
        <w:snapToGrid/>
        <w:spacing w:line="594" w:lineRule="exact"/>
        <w:ind w:firstLine="642" w:firstLineChars="200"/>
        <w:textAlignment w:val="auto"/>
        <w:rPr>
          <w:rFonts w:ascii="Times New Roman" w:hAnsi="Times New Roman" w:eastAsia="方正仿宋_GBK"/>
          <w:sz w:val="32"/>
          <w:szCs w:val="32"/>
        </w:rPr>
      </w:pPr>
      <w:r>
        <w:rPr>
          <w:rStyle w:val="11"/>
          <w:rFonts w:ascii="Times New Roman" w:hAnsi="Times New Roman" w:eastAsia="黑体"/>
          <w:sz w:val="32"/>
          <w:szCs w:val="32"/>
          <w:shd w:val="clear" w:color="auto" w:fill="FFFFFF"/>
        </w:rPr>
        <w:t>六、专业名词解释</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仿宋_GBK"/>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方正楷体_GBK"/>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4" w:lineRule="exact"/>
        <w:ind w:firstLine="642" w:firstLineChars="200"/>
        <w:rPr>
          <w:rFonts w:ascii="Times New Roman" w:hAnsi="Times New Roman" w:eastAsia="方正仿宋_GBK"/>
          <w:sz w:val="32"/>
          <w:szCs w:val="32"/>
        </w:rPr>
      </w:pPr>
      <w:r>
        <w:rPr>
          <w:rStyle w:val="11"/>
          <w:rFonts w:ascii="Times New Roman" w:hAnsi="Times New Roman" w:eastAsia="黑体"/>
          <w:sz w:val="32"/>
          <w:szCs w:val="32"/>
          <w:shd w:val="clear" w:color="auto" w:fill="FFFFFF"/>
        </w:rPr>
        <w:t>七、决算公开联系方式及信息反馈渠道</w:t>
      </w:r>
    </w:p>
    <w:p>
      <w:pPr>
        <w:pStyle w:val="13"/>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本单位决算公开信息反馈和联系方式：023-68812927</w:t>
      </w:r>
    </w:p>
    <w:p>
      <w:pPr>
        <w:pStyle w:val="12"/>
        <w:autoSpaceDE w:val="0"/>
        <w:spacing w:line="596" w:lineRule="exact"/>
        <w:ind w:firstLine="643"/>
        <w:jc w:val="both"/>
        <w:rPr>
          <w:rStyle w:val="11"/>
          <w:rFonts w:ascii="Times New Roman" w:hAnsi="Times New Roman" w:eastAsia="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5000" w:type="pct"/>
        <w:tblInd w:w="0" w:type="dxa"/>
        <w:tblLayout w:type="autofit"/>
        <w:tblCellMar>
          <w:top w:w="0" w:type="dxa"/>
          <w:left w:w="0" w:type="dxa"/>
          <w:bottom w:w="0" w:type="dxa"/>
          <w:right w:w="0" w:type="dxa"/>
        </w:tblCellMar>
      </w:tblPr>
      <w:tblGrid>
        <w:gridCol w:w="4654"/>
        <w:gridCol w:w="3503"/>
        <w:gridCol w:w="4367"/>
        <w:gridCol w:w="2798"/>
      </w:tblGrid>
      <w:tr>
        <w:tblPrEx>
          <w:tblCellMar>
            <w:top w:w="0" w:type="dxa"/>
            <w:left w:w="0" w:type="dxa"/>
            <w:bottom w:w="0" w:type="dxa"/>
            <w:right w:w="0" w:type="dxa"/>
          </w:tblCellMar>
        </w:tblPrEx>
        <w:trPr>
          <w:trHeight w:val="203"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CellMar>
            <w:top w:w="0" w:type="dxa"/>
            <w:left w:w="0" w:type="dxa"/>
            <w:bottom w:w="0" w:type="dxa"/>
            <w:right w:w="0" w:type="dxa"/>
          </w:tblCellMar>
        </w:tblPrEx>
        <w:trPr>
          <w:trHeight w:val="203" w:hRule="atLeast"/>
        </w:trPr>
        <w:tc>
          <w:tcPr>
            <w:tcW w:w="151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1142"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142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9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CellMar>
            <w:top w:w="0" w:type="dxa"/>
            <w:left w:w="0" w:type="dxa"/>
            <w:bottom w:w="0" w:type="dxa"/>
            <w:right w:w="0" w:type="dxa"/>
          </w:tblCellMar>
        </w:tblPrEx>
        <w:trPr>
          <w:trHeight w:val="203" w:hRule="atLeast"/>
        </w:trPr>
        <w:tc>
          <w:tcPr>
            <w:tcW w:w="2662"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2"/>
                <w:szCs w:val="22"/>
              </w:rPr>
            </w:pPr>
            <w:r>
              <w:rPr>
                <w:rFonts w:hint="default" w:ascii="Times New Roman" w:hAnsi="Times New Roman"/>
                <w:sz w:val="20"/>
                <w:szCs w:val="20"/>
              </w:rPr>
              <w:t>部门：</w:t>
            </w:r>
            <w:r>
              <w:rPr>
                <w:rFonts w:hint="default" w:ascii="Times New Roman" w:hAnsi="Times New Roman"/>
                <w:sz w:val="20"/>
              </w:rPr>
              <w:t>重庆市渝中区大石化新区建设管理委员会</w:t>
            </w:r>
          </w:p>
        </w:tc>
        <w:tc>
          <w:tcPr>
            <w:tcW w:w="142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9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213" w:hRule="atLeast"/>
        </w:trPr>
        <w:tc>
          <w:tcPr>
            <w:tcW w:w="26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2338"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754.08</w:t>
            </w: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614.97</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1142"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79"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26.82</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754.08</w:t>
            </w: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757.89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13"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91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22" w:hRule="atLeast"/>
        </w:trPr>
        <w:tc>
          <w:tcPr>
            <w:tcW w:w="15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11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757.89</w:t>
            </w:r>
            <w:r>
              <w:rPr>
                <w:rFonts w:hint="default" w:ascii="Times New Roman" w:hAnsi="Times New Roman"/>
                <w:color w:val="000000"/>
                <w:sz w:val="20"/>
              </w:rPr>
              <w:t xml:space="preserve"> </w:t>
            </w:r>
          </w:p>
        </w:tc>
        <w:tc>
          <w:tcPr>
            <w:tcW w:w="1425"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9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757.89</w:t>
            </w:r>
            <w:r>
              <w:rPr>
                <w:rFonts w:hint="default" w:ascii="Times New Roman" w:hAnsi="Times New Roman"/>
                <w:color w:val="000000"/>
                <w:sz w:val="20"/>
              </w:rPr>
              <w:t xml:space="preserve"> </w:t>
            </w:r>
          </w:p>
        </w:tc>
      </w:tr>
    </w:tbl>
    <w:p>
      <w:pPr>
        <w:rPr>
          <w:rFonts w:hint="default" w:ascii="Times New Roman" w:hAnsi="Times New Roman"/>
          <w:sz w:val="21"/>
          <w:szCs w:val="21"/>
        </w:rPr>
      </w:pPr>
    </w:p>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sz w:val="20"/>
              </w:rPr>
              <w:t>重庆市渝中区大石化新区建设管理委员会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754.08</w:t>
            </w:r>
            <w:r>
              <w:rPr>
                <w:rFonts w:hint="default"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754.08</w:t>
            </w:r>
            <w:r>
              <w:rPr>
                <w:rFonts w:hint="default"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611.16</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611.16</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566.83</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566.83</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147.70</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147.70</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132.24</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132.24</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33.36</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33.36</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33.36</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33.36</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宣传事务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2060102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30.69</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30.69</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15.34</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15.34</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购房补贴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hint="default"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hint="default"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ind w:left="600" w:hanging="600" w:hangingChars="300"/>
        <w:rPr>
          <w:rFonts w:hint="default" w:ascii="Times New Roman" w:hAnsi="Times New Roman"/>
          <w:sz w:val="20"/>
          <w:szCs w:val="20"/>
        </w:rPr>
      </w:pPr>
      <w:r>
        <w:rPr>
          <w:rFonts w:hint="default" w:ascii="Times New Roman" w:hAnsi="Times New Roman"/>
          <w:sz w:val="20"/>
          <w:szCs w:val="20"/>
        </w:rPr>
        <w:t>备注：1.本表反映部门本年度取得的各项收入情况。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0"/>
          <w:szCs w:val="20"/>
        </w:rPr>
      </w:pPr>
      <w:r>
        <w:rPr>
          <w:rFonts w:hint="default" w:ascii="Times New Roman" w:hAnsi="Times New Roman"/>
          <w:sz w:val="20"/>
          <w:szCs w:val="20"/>
        </w:rPr>
        <w:br w:type="page"/>
      </w:r>
    </w:p>
    <w:tbl>
      <w:tblPr>
        <w:tblStyle w:val="8"/>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 xml:space="preserve">重庆市渝中区大石化新区建设管理委员会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757.89</w:t>
            </w:r>
            <w:r>
              <w:rPr>
                <w:rFonts w:hint="default"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375.04</w:t>
            </w:r>
            <w:r>
              <w:rPr>
                <w:rFonts w:hint="default"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382.85</w:t>
            </w:r>
            <w:r>
              <w:rPr>
                <w:rFonts w:hint="default"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614.97</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283.75</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331.22</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570.64</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283.75</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286.88</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149.46</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274.82</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134.29</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134.29</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33.36</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33.36</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33.36</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33.36</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0.14</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宣传事务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2060102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46.84</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30.69</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30.69</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15.34</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15.34</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购房补贴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hint="default"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hint="default"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0"/>
          <w:szCs w:val="20"/>
        </w:rPr>
      </w:pPr>
      <w:r>
        <w:rPr>
          <w:rFonts w:hint="default" w:ascii="Times New Roman" w:hAnsi="Times New Roman"/>
          <w:sz w:val="20"/>
          <w:szCs w:val="20"/>
        </w:rPr>
        <w:t>备注：1.本表反映部门本年度各项支出情况。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重庆市渝中区大石化新区建设管理委员会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754.08</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614.97</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614.97</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46.84</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46.84</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754.08</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757.89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757.89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757.89</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757.89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757.89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重庆市渝中区大石化新区建设管理委员会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757.89</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375.04</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382.85</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614.97</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331.22</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570.64</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286.88</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149.46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149.46</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274.82</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274.82</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134.29</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134.29</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12.06</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33.36</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33.36</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0.14</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宣传事务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科学技术管理事务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46.84</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2060102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46.84</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30.69</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30.69</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15.34</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10.28</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10.28</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2160202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26.82</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备注：1.本表反映部门本年度一般公共预算财政拨款支出情况。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重庆市渝中区大石化新区建设管理委员会</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313.79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w:t>
            </w: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w:t>
            </w: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72.28</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313.79</w:t>
            </w:r>
            <w:r>
              <w:rPr>
                <w:rFonts w:hint="default"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61.25</w:t>
            </w:r>
            <w:r>
              <w:rPr>
                <w:rFonts w:hint="default" w:ascii="Times New Roman" w:hAnsi="Times New Roman"/>
                <w:color w:val="000000"/>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8"/>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重庆市渝中区大石化新区建设管理委员会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重庆市渝中区大石化新区建设管理委员会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ascii="Times New Roman" w:hAnsi="Times New Roman"/>
          <w:sz w:val="21"/>
          <w:szCs w:val="21"/>
        </w:rPr>
      </w:pPr>
      <w:r>
        <w:rPr>
          <w:rFonts w:hint="default" w:ascii="Times New Roman" w:hAnsi="Times New Roman"/>
          <w:sz w:val="20"/>
          <w:szCs w:val="20"/>
        </w:rPr>
        <w:t>备注：本表反映部门本年度国有资本经营预算财政拨款支出情况。本部门无国有资本经营收支，故本表无数据。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ascii="Times New Roman" w:hAnsi="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r>
              <w:rPr>
                <w:rFonts w:hint="default" w:ascii="Times New Roman" w:hAnsi="Times New Roman"/>
                <w:sz w:val="20"/>
                <w:szCs w:val="20"/>
              </w:rPr>
              <w:t>部门</w:t>
            </w:r>
            <w:r>
              <w:rPr>
                <w:rFonts w:hint="default" w:ascii="Times New Roman" w:hAnsi="Times New Roman"/>
                <w:color w:val="000000"/>
                <w:kern w:val="2"/>
                <w:sz w:val="20"/>
                <w:szCs w:val="20"/>
              </w:rPr>
              <w:t>：</w:t>
            </w:r>
            <w:r>
              <w:rPr>
                <w:rFonts w:hint="default" w:ascii="Times New Roman" w:hAnsi="Times New Roman"/>
                <w:color w:val="000000"/>
                <w:sz w:val="20"/>
              </w:rPr>
              <w:t>重庆市渝中区大石化新区建设管理委员会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35.29</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5.68</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5.68</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35.29</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4.37</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4.37</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4.37</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5.08</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0.71</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8.10</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sz w:val="16"/>
                <w:szCs w:val="16"/>
              </w:rPr>
            </w:pPr>
          </w:p>
        </w:tc>
      </w:tr>
    </w:tbl>
    <w:p>
      <w:pPr>
        <w:rPr>
          <w:rFonts w:hint="default" w:ascii="Times New Roman" w:hAnsi="Times New Roman"/>
          <w:sz w:val="18"/>
          <w:szCs w:val="18"/>
        </w:rPr>
      </w:pPr>
      <w:r>
        <w:rPr>
          <w:rFonts w:hint="default" w:ascii="Times New Roman" w:hAnsi="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FEE79"/>
    <w:multiLevelType w:val="singleLevel"/>
    <w:tmpl w:val="3DDFEE79"/>
    <w:lvl w:ilvl="0" w:tentative="0">
      <w:start w:val="3"/>
      <w:numFmt w:val="chineseCounting"/>
      <w:suff w:val="nothing"/>
      <w:lvlText w:val="（%1）"/>
      <w:lvlJc w:val="left"/>
      <w:rPr>
        <w:rFonts w:hint="eastAsia"/>
      </w:rPr>
    </w:lvl>
  </w:abstractNum>
  <w:abstractNum w:abstractNumId="1">
    <w:nsid w:val="5FBD965A"/>
    <w:multiLevelType w:val="singleLevel"/>
    <w:tmpl w:val="5FBD965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76A06"/>
    <w:rsid w:val="000C01CC"/>
    <w:rsid w:val="000D7702"/>
    <w:rsid w:val="000F6721"/>
    <w:rsid w:val="001632EC"/>
    <w:rsid w:val="00166C6C"/>
    <w:rsid w:val="001C5D16"/>
    <w:rsid w:val="001D3CC5"/>
    <w:rsid w:val="00261065"/>
    <w:rsid w:val="002D0E5A"/>
    <w:rsid w:val="002D71F4"/>
    <w:rsid w:val="002E5443"/>
    <w:rsid w:val="002E75AA"/>
    <w:rsid w:val="0032196C"/>
    <w:rsid w:val="003623A5"/>
    <w:rsid w:val="003D4318"/>
    <w:rsid w:val="004210D1"/>
    <w:rsid w:val="004852DA"/>
    <w:rsid w:val="004C0E1F"/>
    <w:rsid w:val="004C12FF"/>
    <w:rsid w:val="004D0390"/>
    <w:rsid w:val="00550ABE"/>
    <w:rsid w:val="005B023C"/>
    <w:rsid w:val="005B683C"/>
    <w:rsid w:val="00600322"/>
    <w:rsid w:val="006137D7"/>
    <w:rsid w:val="006233C8"/>
    <w:rsid w:val="0062556E"/>
    <w:rsid w:val="00634FA8"/>
    <w:rsid w:val="0063613A"/>
    <w:rsid w:val="0068170B"/>
    <w:rsid w:val="006A6C45"/>
    <w:rsid w:val="006E2034"/>
    <w:rsid w:val="00723422"/>
    <w:rsid w:val="00732392"/>
    <w:rsid w:val="00792285"/>
    <w:rsid w:val="007A0D2E"/>
    <w:rsid w:val="007A3314"/>
    <w:rsid w:val="007B419D"/>
    <w:rsid w:val="007C5C5B"/>
    <w:rsid w:val="00810F13"/>
    <w:rsid w:val="00813C3E"/>
    <w:rsid w:val="00826B47"/>
    <w:rsid w:val="00893689"/>
    <w:rsid w:val="008B1E04"/>
    <w:rsid w:val="00940231"/>
    <w:rsid w:val="00944711"/>
    <w:rsid w:val="009574D5"/>
    <w:rsid w:val="009821E3"/>
    <w:rsid w:val="00984852"/>
    <w:rsid w:val="009B226C"/>
    <w:rsid w:val="009B37A6"/>
    <w:rsid w:val="009B67B8"/>
    <w:rsid w:val="009F7151"/>
    <w:rsid w:val="00A03B1E"/>
    <w:rsid w:val="00A67739"/>
    <w:rsid w:val="00A820B7"/>
    <w:rsid w:val="00A830E1"/>
    <w:rsid w:val="00A83899"/>
    <w:rsid w:val="00A95067"/>
    <w:rsid w:val="00AC104B"/>
    <w:rsid w:val="00AC5566"/>
    <w:rsid w:val="00B03CCD"/>
    <w:rsid w:val="00B104B0"/>
    <w:rsid w:val="00B2082C"/>
    <w:rsid w:val="00B40138"/>
    <w:rsid w:val="00B43824"/>
    <w:rsid w:val="00BF5A85"/>
    <w:rsid w:val="00C307F6"/>
    <w:rsid w:val="00C55CD5"/>
    <w:rsid w:val="00C62782"/>
    <w:rsid w:val="00C96B11"/>
    <w:rsid w:val="00C97747"/>
    <w:rsid w:val="00CC6B99"/>
    <w:rsid w:val="00CF040F"/>
    <w:rsid w:val="00D611DC"/>
    <w:rsid w:val="00DF7706"/>
    <w:rsid w:val="00E05175"/>
    <w:rsid w:val="00E654E2"/>
    <w:rsid w:val="00E76362"/>
    <w:rsid w:val="00E86B80"/>
    <w:rsid w:val="00E9117F"/>
    <w:rsid w:val="00EA7D48"/>
    <w:rsid w:val="00EB11BC"/>
    <w:rsid w:val="00ED38DD"/>
    <w:rsid w:val="00EF77BC"/>
    <w:rsid w:val="00F137D3"/>
    <w:rsid w:val="00F13C36"/>
    <w:rsid w:val="00F23C68"/>
    <w:rsid w:val="00F32C53"/>
    <w:rsid w:val="00F67DF6"/>
    <w:rsid w:val="00F73F90"/>
    <w:rsid w:val="00F7623D"/>
    <w:rsid w:val="00F8140C"/>
    <w:rsid w:val="00F8598B"/>
    <w:rsid w:val="00FA0819"/>
    <w:rsid w:val="00FB42B3"/>
    <w:rsid w:val="00FB5EC4"/>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F5FAD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DFD1B9"/>
    <w:rsid w:val="6EFD1324"/>
    <w:rsid w:val="6F370F91"/>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7F41BE"/>
    <w:rsid w:val="7B861484"/>
    <w:rsid w:val="7BD06A28"/>
    <w:rsid w:val="7C3A7C0B"/>
    <w:rsid w:val="7C5248E4"/>
    <w:rsid w:val="7C566698"/>
    <w:rsid w:val="7C5866A3"/>
    <w:rsid w:val="7CBE2F89"/>
    <w:rsid w:val="7CE78A2B"/>
    <w:rsid w:val="7D7406BB"/>
    <w:rsid w:val="7DE94331"/>
    <w:rsid w:val="7F446A19"/>
    <w:rsid w:val="7F7452B9"/>
    <w:rsid w:val="7F8401D1"/>
    <w:rsid w:val="7FAC32D7"/>
    <w:rsid w:val="7FB73B13"/>
    <w:rsid w:val="7FFD507A"/>
    <w:rsid w:val="B7AF599D"/>
    <w:rsid w:val="CC741B26"/>
    <w:rsid w:val="EB7BDAA7"/>
    <w:rsid w:val="EF7CC4AE"/>
    <w:rsid w:val="EFED5967"/>
    <w:rsid w:val="F393CE70"/>
    <w:rsid w:val="F5EA5A99"/>
    <w:rsid w:val="FBD16C67"/>
    <w:rsid w:val="FBFFDA95"/>
    <w:rsid w:val="FF4D3566"/>
    <w:rsid w:val="FFADE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semiHidden/>
    <w:qFormat/>
    <w:uiPriority w:val="0"/>
    <w:pPr>
      <w:widowControl w:val="0"/>
      <w:jc w:val="both"/>
    </w:pPr>
    <w:rPr>
      <w:rFonts w:hint="default" w:ascii="仿宋" w:hAnsi="仿宋" w:eastAsia="仿宋" w:cs="仿宋"/>
      <w:kern w:val="2"/>
      <w:sz w:val="32"/>
      <w:szCs w:val="32"/>
      <w:lang w:eastAsia="en-US"/>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character" w:customStyle="1" w:styleId="18">
    <w:name w:val="正文文本 字符"/>
    <w:basedOn w:val="10"/>
    <w:link w:val="2"/>
    <w:semiHidden/>
    <w:qFormat/>
    <w:uiPriority w:val="0"/>
    <w:rPr>
      <w:rFonts w:ascii="仿宋" w:hAnsi="仿宋" w:eastAsia="仿宋" w:cs="仿宋"/>
      <w:kern w:val="2"/>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10881</Words>
  <Characters>7576</Characters>
  <Lines>63</Lines>
  <Paragraphs>36</Paragraphs>
  <TotalTime>3</TotalTime>
  <ScaleCrop>false</ScaleCrop>
  <LinksUpToDate>false</LinksUpToDate>
  <CharactersWithSpaces>18421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2025-06-28T23:40:00Z</dcterms:created>
  <dc:creator>Administrator</dc:creator>
  <cp:lastModifiedBy>admin</cp:lastModifiedBy>
  <cp:lastPrinted>2025-08-30T01:41:00Z</cp:lastPrinted>
  <dcterms:modified xsi:type="dcterms:W3CDTF">2025-10-11T11:00:20Z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