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8"/>
        <w:gridCol w:w="1023"/>
        <w:gridCol w:w="1071"/>
        <w:gridCol w:w="1839"/>
        <w:gridCol w:w="1154"/>
        <w:gridCol w:w="907"/>
        <w:gridCol w:w="1091"/>
        <w:gridCol w:w="11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eastAsia" w:ascii="方正小标宋_GBK" w:hAnsi="方正小标宋_GBK" w:eastAsia="方正小标宋_GBK"/>
                <w:color w:val="000000"/>
                <w:sz w:val="44"/>
              </w:rPr>
            </w:pPr>
            <w:r>
              <w:rPr>
                <w:rFonts w:hint="eastAsia" w:ascii="方正小标宋_GBK" w:hAnsi="方正小标宋_GBK" w:eastAsia="方正小标宋_GBK"/>
                <w:color w:val="000000"/>
                <w:kern w:val="0"/>
                <w:sz w:val="36"/>
              </w:rPr>
              <w:t>2020年度抗疫特别国债项目绩效目标申报表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</w:trPr>
        <w:tc>
          <w:tcPr>
            <w:tcW w:w="3732" w:type="pct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left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</w:p>
        </w:tc>
        <w:tc>
          <w:tcPr>
            <w:tcW w:w="1267" w:type="pct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right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单位：万元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kern w:val="0"/>
                <w:sz w:val="24"/>
              </w:rPr>
              <w:t>一、项目基本情况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6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帮助重庆西南水运工程科学研究所（重庆西科水运工程咨询中心）渡难关</w:t>
            </w:r>
          </w:p>
        </w:tc>
        <w:tc>
          <w:tcPr>
            <w:tcW w:w="11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项目实施起止时间</w:t>
            </w:r>
          </w:p>
        </w:tc>
        <w:tc>
          <w:tcPr>
            <w:tcW w:w="12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2020.1—2020.12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2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项目实施单位</w:t>
            </w:r>
          </w:p>
        </w:tc>
        <w:tc>
          <w:tcPr>
            <w:tcW w:w="16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重庆市渝中区电子商务和创意产业园管理委员会</w:t>
            </w:r>
          </w:p>
        </w:tc>
        <w:tc>
          <w:tcPr>
            <w:tcW w:w="11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项目主管部门</w:t>
            </w:r>
          </w:p>
        </w:tc>
        <w:tc>
          <w:tcPr>
            <w:tcW w:w="12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重庆市渝中区电子商务和创意产业园管理委员会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绩效管理联系人</w:t>
            </w:r>
          </w:p>
        </w:tc>
        <w:tc>
          <w:tcPr>
            <w:tcW w:w="167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王优</w:t>
            </w:r>
          </w:p>
        </w:tc>
        <w:tc>
          <w:tcPr>
            <w:tcW w:w="11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26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68812927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2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项目概况</w:t>
            </w:r>
          </w:p>
        </w:tc>
        <w:tc>
          <w:tcPr>
            <w:tcW w:w="413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受今年疫情影响，重庆西南水运工程科学研究所（重庆西科水运工程咨询中心）业务量下滑，复工后营收同比下降，且各项日常运营成本（特别是办公场地租金和人工成本）较高，企业入不敷出，面临经营困难较大。考虑到西科所在全国的科研实力、专业能力、行业影响力以及对区域社会经济发展做出的贡献，建议从帮助企业渡难关的角度给予其2020年租金及人员工资补贴32万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立项依据</w:t>
            </w:r>
          </w:p>
        </w:tc>
        <w:tc>
          <w:tcPr>
            <w:tcW w:w="4134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left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重庆市渝中区人民政府专题会议纪要（2020-82）及相关批示。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</w:p>
        </w:tc>
        <w:tc>
          <w:tcPr>
            <w:tcW w:w="5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项目预算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kern w:val="0"/>
                <w:sz w:val="24"/>
              </w:rPr>
              <w:t>一般公共预算</w:t>
            </w:r>
          </w:p>
        </w:tc>
        <w:tc>
          <w:tcPr>
            <w:tcW w:w="11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kern w:val="0"/>
                <w:sz w:val="24"/>
              </w:rPr>
              <w:t>政府性基金预算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kern w:val="0"/>
                <w:sz w:val="24"/>
              </w:rPr>
              <w:t>国有资本经营预算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kern w:val="0"/>
                <w:sz w:val="24"/>
              </w:rPr>
              <w:t>其他资金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</w:p>
        </w:tc>
        <w:tc>
          <w:tcPr>
            <w:tcW w:w="5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kern w:val="0"/>
                <w:sz w:val="24"/>
              </w:rPr>
              <w:t>32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</w:p>
        </w:tc>
        <w:tc>
          <w:tcPr>
            <w:tcW w:w="118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32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27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b/>
                <w:color w:val="000000"/>
                <w:kern w:val="0"/>
                <w:sz w:val="24"/>
              </w:rPr>
              <w:t>二、绩效目标编制</w:t>
            </w: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项目当年绩效目标</w:t>
            </w:r>
          </w:p>
        </w:tc>
        <w:tc>
          <w:tcPr>
            <w:tcW w:w="4134" w:type="pct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left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西科所及中心发展良好2020年创税25万以上。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</w:p>
        </w:tc>
        <w:tc>
          <w:tcPr>
            <w:tcW w:w="1207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指标类型</w:t>
            </w:r>
          </w:p>
        </w:tc>
        <w:tc>
          <w:tcPr>
            <w:tcW w:w="106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指标名称</w:t>
            </w:r>
          </w:p>
        </w:tc>
        <w:tc>
          <w:tcPr>
            <w:tcW w:w="6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指标性质</w:t>
            </w:r>
          </w:p>
        </w:tc>
        <w:tc>
          <w:tcPr>
            <w:tcW w:w="52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指标值</w:t>
            </w:r>
          </w:p>
        </w:tc>
        <w:tc>
          <w:tcPr>
            <w:tcW w:w="62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计量单位</w:t>
            </w:r>
          </w:p>
        </w:tc>
        <w:tc>
          <w:tcPr>
            <w:tcW w:w="63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指标说明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</w:p>
        </w:tc>
        <w:tc>
          <w:tcPr>
            <w:tcW w:w="1207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</w:p>
        </w:tc>
        <w:tc>
          <w:tcPr>
            <w:tcW w:w="106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</w:p>
        </w:tc>
        <w:tc>
          <w:tcPr>
            <w:tcW w:w="6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</w:p>
        </w:tc>
        <w:tc>
          <w:tcPr>
            <w:tcW w:w="52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auto"/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</w:p>
        </w:tc>
        <w:tc>
          <w:tcPr>
            <w:tcW w:w="62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</w:p>
        </w:tc>
        <w:tc>
          <w:tcPr>
            <w:tcW w:w="63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</w:p>
        </w:tc>
        <w:tc>
          <w:tcPr>
            <w:tcW w:w="58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产出类</w:t>
            </w:r>
          </w:p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数量指标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全年承接咨询、论证与科研项目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≥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30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项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</w:p>
        </w:tc>
        <w:tc>
          <w:tcPr>
            <w:tcW w:w="58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效益类</w:t>
            </w:r>
          </w:p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指标</w:t>
            </w: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经济效益指标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全年区级税收贡献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≥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32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万元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</w:trPr>
        <w:tc>
          <w:tcPr>
            <w:tcW w:w="27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textDirection w:val="tbRlV"/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b/>
                <w:color w:val="000000"/>
                <w:sz w:val="24"/>
              </w:rPr>
            </w:pPr>
          </w:p>
        </w:tc>
        <w:tc>
          <w:tcPr>
            <w:tcW w:w="58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</w:p>
        </w:tc>
        <w:tc>
          <w:tcPr>
            <w:tcW w:w="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社会效益指标</w:t>
            </w:r>
          </w:p>
        </w:tc>
        <w:tc>
          <w:tcPr>
            <w:tcW w:w="10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全年稳定就业人员</w:t>
            </w:r>
          </w:p>
        </w:tc>
        <w:tc>
          <w:tcPr>
            <w:tcW w:w="6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≥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50</w:t>
            </w:r>
          </w:p>
        </w:tc>
        <w:tc>
          <w:tcPr>
            <w:tcW w:w="62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beforeLines="0" w:afterLines="0" w:line="320" w:lineRule="exact"/>
              <w:jc w:val="center"/>
              <w:textAlignment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  <w:r>
              <w:rPr>
                <w:rFonts w:hint="eastAsia" w:ascii="方正仿宋_GBK" w:hAnsi="方正仿宋_GBK" w:eastAsia="方正仿宋_GBK"/>
                <w:color w:val="000000"/>
                <w:kern w:val="0"/>
                <w:sz w:val="24"/>
              </w:rPr>
              <w:t>人</w:t>
            </w:r>
          </w:p>
        </w:tc>
        <w:tc>
          <w:tcPr>
            <w:tcW w:w="6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Lines="0" w:afterLines="0" w:line="320" w:lineRule="exact"/>
              <w:jc w:val="center"/>
              <w:rPr>
                <w:rFonts w:hint="eastAsia" w:ascii="方正仿宋_GBK" w:hAnsi="方正仿宋_GBK" w:eastAsia="方正仿宋_GBK"/>
                <w:color w:val="000000"/>
                <w:sz w:val="24"/>
              </w:rPr>
            </w:pPr>
          </w:p>
        </w:tc>
      </w:tr>
    </w:tbl>
    <w:p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462A65E6"/>
    <w:rsid w:val="4907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nhideWhenUsed/>
    <w:qFormat/>
    <w:uiPriority w:val="0"/>
    <w:pPr>
      <w:widowControl w:val="0"/>
      <w:spacing w:beforeLines="0" w:afterLines="0"/>
      <w:jc w:val="both"/>
    </w:pPr>
    <w:rPr>
      <w:rFonts w:hint="eastAsia" w:ascii="等线" w:hAnsi="等线" w:eastAsia="等线" w:cstheme="minorBidi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unhideWhenUsed/>
    <w:qFormat/>
    <w:uiPriority w:val="10"/>
    <w:pPr>
      <w:spacing w:before="240" w:beforeLines="0" w:after="60" w:afterLines="0"/>
      <w:jc w:val="center"/>
      <w:outlineLvl w:val="0"/>
    </w:pPr>
    <w:rPr>
      <w:rFonts w:hint="default" w:ascii="Cambria" w:hAnsi="Cambria"/>
      <w:b/>
      <w:sz w:val="21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beforeLines="0" w:afterLines="0"/>
      <w:jc w:val="left"/>
    </w:pPr>
    <w:rPr>
      <w:rFonts w:hint="default" w:ascii="Times New Roman" w:hAnsi="Times New Roman" w:eastAsia="宋体"/>
      <w:kern w:val="0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2020-08-03T02:30:00Z</dcterms:created>
  <dc:creator>Administrator</dc:creator>
  <cp:lastModifiedBy>Administrator</cp:lastModifiedBy>
  <dcterms:modified xsi:type="dcterms:W3CDTF">2020-08-05T03:19:09Z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