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wz"/>
      <w:bookmarkEnd w:id="0"/>
      <w:bookmarkStart w:id="1" w:name="nd"/>
      <w:bookmarkEnd w:id="1"/>
      <w:bookmarkStart w:id="2" w:name="bh"/>
      <w:bookmarkEnd w:id="2"/>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渝中府办〔2024〕40号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关于印发《重庆市渝中区</w:t>
      </w:r>
      <w:bookmarkStart w:id="8" w:name="_GoBack"/>
      <w:r>
        <w:rPr>
          <w:rFonts w:hint="default" w:ascii="Times New Roman" w:hAnsi="Times New Roman" w:eastAsia="方正小标宋_GBK" w:cs="Times New Roman"/>
          <w:sz w:val="44"/>
          <w:szCs w:val="44"/>
          <w:lang w:val="en-US" w:eastAsia="zh-CN"/>
        </w:rPr>
        <w:t>楼宇经济</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标杆引领</w:t>
      </w:r>
      <w:r>
        <w:rPr>
          <w:rFonts w:hint="eastAsia" w:ascii="Times New Roman" w:hAnsi="Times New Roman" w:eastAsia="方正小标宋_GBK" w:cs="Times New Roman"/>
          <w:sz w:val="44"/>
          <w:szCs w:val="44"/>
          <w:lang w:val="en-US" w:eastAsia="zh-CN"/>
        </w:rPr>
        <w:t>”</w:t>
      </w:r>
      <w:bookmarkEnd w:id="8"/>
      <w:r>
        <w:rPr>
          <w:rFonts w:hint="default" w:ascii="Times New Roman" w:hAnsi="Times New Roman" w:eastAsia="方正小标宋_GBK" w:cs="Times New Roman"/>
          <w:sz w:val="44"/>
          <w:szCs w:val="44"/>
          <w:lang w:val="en-US" w:eastAsia="zh-CN"/>
        </w:rPr>
        <w:t>三年行动计划（2024—2026年）》的通知</w:t>
      </w:r>
    </w:p>
    <w:p>
      <w:pPr>
        <w:keepNext w:val="0"/>
        <w:keepLines w:val="0"/>
        <w:pageBreakBefore w:val="0"/>
        <w:widowControl w:val="0"/>
        <w:kinsoku/>
        <w:wordWrap/>
        <w:overflowPunct w:val="0"/>
        <w:topLinePunct w:val="0"/>
        <w:autoSpaceDE/>
        <w:autoSpaceDN/>
        <w:bidi w:val="0"/>
        <w:adjustRightInd w:val="0"/>
        <w:snapToGrid w:val="0"/>
        <w:spacing w:line="620" w:lineRule="exact"/>
        <w:ind w:left="450" w:leftChars="0" w:hanging="450" w:hangingChars="150"/>
        <w:jc w:val="both"/>
        <w:textAlignment w:val="auto"/>
        <w:rPr>
          <w:rFonts w:hint="default" w:ascii="Times New Roman" w:hAnsi="Times New Roman" w:eastAsia="仿宋_GB2312" w:cs="Times New Roman"/>
          <w:color w:val="000000"/>
          <w:sz w:val="30"/>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区政府各部门、各管委会，各街道办事处，有关单位：</w:t>
      </w:r>
    </w:p>
    <w:p>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重庆市渝中区楼宇经济</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标杆引领</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三年行动计</w:t>
      </w:r>
      <w:r>
        <w:rPr>
          <w:rFonts w:hint="default" w:ascii="Times New Roman" w:hAnsi="Times New Roman" w:eastAsia="方正仿宋_GBK" w:cs="Times New Roman"/>
          <w:color w:val="000000"/>
          <w:sz w:val="32"/>
          <w:szCs w:val="32"/>
          <w:lang w:eastAsia="zh-CN"/>
        </w:rPr>
        <w:t>划</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年）》已经区</w:t>
      </w:r>
      <w:r>
        <w:rPr>
          <w:rFonts w:hint="default" w:ascii="Times New Roman" w:hAnsi="Times New Roman" w:eastAsia="方正仿宋_GBK" w:cs="Times New Roman"/>
          <w:color w:val="000000"/>
          <w:sz w:val="32"/>
          <w:szCs w:val="32"/>
          <w:lang w:val="en-US" w:eastAsia="zh-CN"/>
        </w:rPr>
        <w:t>第十四届人民</w:t>
      </w:r>
      <w:r>
        <w:rPr>
          <w:rFonts w:hint="default" w:ascii="Times New Roman" w:hAnsi="Times New Roman" w:eastAsia="方正仿宋_GBK" w:cs="Times New Roman"/>
          <w:color w:val="000000"/>
          <w:sz w:val="32"/>
          <w:szCs w:val="32"/>
        </w:rPr>
        <w:t>政府</w:t>
      </w:r>
      <w:r>
        <w:rPr>
          <w:rFonts w:hint="default" w:ascii="Times New Roman" w:hAnsi="Times New Roman" w:eastAsia="方正仿宋_GBK" w:cs="Times New Roman"/>
          <w:color w:val="000000"/>
          <w:sz w:val="32"/>
          <w:szCs w:val="32"/>
          <w:lang w:val="en-US" w:eastAsia="zh-CN"/>
        </w:rPr>
        <w:t>第89次常务会议审议</w:t>
      </w:r>
      <w:r>
        <w:rPr>
          <w:rFonts w:hint="default" w:ascii="Times New Roman" w:hAnsi="Times New Roman" w:eastAsia="方正仿宋_GBK" w:cs="Times New Roman"/>
          <w:color w:val="000000"/>
          <w:sz w:val="32"/>
          <w:szCs w:val="32"/>
        </w:rPr>
        <w:t>同意，现印发给你们，请认真组织实施。</w:t>
      </w:r>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autoSpaceDN/>
        <w:bidi w:val="0"/>
        <w:adjustRightInd w:val="0"/>
        <w:snapToGrid w:val="0"/>
        <w:spacing w:line="620" w:lineRule="exact"/>
        <w:ind w:firstLine="4480" w:firstLineChars="14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firstLine="5344" w:firstLineChars="167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2024年8月</w:t>
      </w:r>
      <w:r>
        <w:rPr>
          <w:rFonts w:hint="eastAsia"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val="0"/>
          <w:bCs w:val="0"/>
          <w:color w:val="000000" w:themeColor="text1"/>
          <w:spacing w:val="0"/>
          <w:w w:val="100"/>
          <w:sz w:val="32"/>
          <w:highlight w:val="none"/>
          <w14:textFill>
            <w14:solidFill>
              <w14:schemeClr w14:val="tx1"/>
            </w14:solidFill>
          </w14:textFill>
        </w:rPr>
        <w:t>（此件</w:t>
      </w:r>
      <w:r>
        <w:rPr>
          <w:rFonts w:hint="default" w:ascii="Times New Roman" w:hAnsi="Times New Roman" w:eastAsia="方正仿宋_GBK" w:cs="Times New Roman"/>
          <w:b w:val="0"/>
          <w:bCs w:val="0"/>
          <w:color w:val="000000" w:themeColor="text1"/>
          <w:spacing w:val="0"/>
          <w:w w:val="100"/>
          <w:sz w:val="32"/>
          <w:highlight w:val="none"/>
          <w:lang w:eastAsia="zh-CN"/>
          <w14:textFill>
            <w14:solidFill>
              <w14:schemeClr w14:val="tx1"/>
            </w14:solidFill>
          </w14:textFill>
        </w:rPr>
        <w:t>公开</w:t>
      </w:r>
      <w:r>
        <w:rPr>
          <w:rFonts w:hint="eastAsia" w:eastAsia="方正仿宋_GBK" w:cs="Times New Roman"/>
          <w:b w:val="0"/>
          <w:bCs w:val="0"/>
          <w:color w:val="000000" w:themeColor="text1"/>
          <w:spacing w:val="0"/>
          <w:w w:val="100"/>
          <w:sz w:val="32"/>
          <w:highlight w:val="none"/>
          <w:lang w:eastAsia="zh-CN"/>
          <w14:textFill>
            <w14:solidFill>
              <w14:schemeClr w14:val="tx1"/>
            </w14:solidFill>
          </w14:textFill>
        </w:rPr>
        <w:t>发布</w:t>
      </w:r>
      <w:r>
        <w:rPr>
          <w:rFonts w:hint="default" w:ascii="Times New Roman" w:hAnsi="Times New Roman" w:eastAsia="方正仿宋_GBK" w:cs="Times New Roman"/>
          <w:b w:val="0"/>
          <w:bCs w:val="0"/>
          <w:color w:val="000000" w:themeColor="text1"/>
          <w:spacing w:val="0"/>
          <w:w w:val="100"/>
          <w:sz w:val="32"/>
          <w:highlight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hint="default" w:ascii="Times New Roman" w:hAnsi="Times New Roman" w:eastAsia="方正仿宋_GBK" w:cs="Times New Roman"/>
          <w:color w:val="000000"/>
          <w:sz w:val="32"/>
          <w:szCs w:val="32"/>
          <w:lang w:val="en-US" w:eastAsia="zh-CN"/>
        </w:rPr>
        <w:sectPr>
          <w:footerReference r:id="rId3" w:type="default"/>
          <w:footerReference r:id="rId4" w:type="even"/>
          <w:pgSz w:w="11906" w:h="16838"/>
          <w:pgMar w:top="1417" w:right="1587" w:bottom="1417"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w w:val="92"/>
          <w:sz w:val="44"/>
          <w:szCs w:val="44"/>
        </w:rPr>
      </w:pPr>
      <w:r>
        <w:rPr>
          <w:rFonts w:hint="default" w:ascii="Times New Roman" w:hAnsi="Times New Roman" w:eastAsia="方正小标宋_GBK" w:cs="Times New Roman"/>
          <w:w w:val="92"/>
          <w:sz w:val="44"/>
          <w:szCs w:val="44"/>
          <w:lang w:val="en-US" w:eastAsia="zh-CN"/>
        </w:rPr>
        <w:t>重庆市渝中区楼宇经济</w:t>
      </w:r>
      <w:r>
        <w:rPr>
          <w:rFonts w:hint="eastAsia" w:ascii="Times New Roman" w:hAnsi="Times New Roman" w:eastAsia="方正小标宋_GBK" w:cs="Times New Roman"/>
          <w:w w:val="92"/>
          <w:sz w:val="44"/>
          <w:szCs w:val="44"/>
          <w:lang w:val="en-US" w:eastAsia="zh-CN"/>
        </w:rPr>
        <w:t>“</w:t>
      </w:r>
      <w:r>
        <w:rPr>
          <w:rFonts w:hint="default" w:ascii="Times New Roman" w:hAnsi="Times New Roman" w:eastAsia="方正小标宋_GBK" w:cs="Times New Roman"/>
          <w:w w:val="92"/>
          <w:sz w:val="44"/>
          <w:szCs w:val="44"/>
          <w:lang w:val="en-US" w:eastAsia="zh-CN"/>
        </w:rPr>
        <w:t>标杆引领</w:t>
      </w:r>
      <w:r>
        <w:rPr>
          <w:rFonts w:hint="eastAsia" w:ascii="Times New Roman" w:hAnsi="Times New Roman" w:eastAsia="方正小标宋_GBK" w:cs="Times New Roman"/>
          <w:w w:val="92"/>
          <w:sz w:val="44"/>
          <w:szCs w:val="44"/>
          <w:lang w:val="en-US" w:eastAsia="zh-CN"/>
        </w:rPr>
        <w:t>”</w:t>
      </w:r>
      <w:r>
        <w:rPr>
          <w:rFonts w:hint="default" w:ascii="Times New Roman" w:hAnsi="Times New Roman" w:eastAsia="方正小标宋_GBK" w:cs="Times New Roman"/>
          <w:w w:val="92"/>
          <w:sz w:val="44"/>
          <w:szCs w:val="44"/>
          <w:lang w:val="en-US" w:eastAsia="zh-CN"/>
        </w:rPr>
        <w:t>三年行动计</w:t>
      </w:r>
      <w:r>
        <w:rPr>
          <w:rFonts w:hint="default" w:ascii="Times New Roman" w:hAnsi="Times New Roman" w:eastAsia="方正小标宋_GBK" w:cs="Times New Roman"/>
          <w:w w:val="92"/>
          <w:sz w:val="44"/>
          <w:szCs w:val="44"/>
          <w:lang w:eastAsia="zh-CN"/>
        </w:rPr>
        <w:t>划</w:t>
      </w:r>
      <w:r>
        <w:rPr>
          <w:rFonts w:hint="default" w:ascii="Times New Roman" w:hAnsi="Times New Roman" w:eastAsia="方正小标宋_GBK" w:cs="Times New Roman"/>
          <w:w w:val="92"/>
          <w:sz w:val="44"/>
          <w:szCs w:val="44"/>
        </w:rPr>
        <w:t>（202</w:t>
      </w:r>
      <w:r>
        <w:rPr>
          <w:rFonts w:hint="default" w:ascii="Times New Roman" w:hAnsi="Times New Roman" w:eastAsia="方正小标宋_GBK" w:cs="Times New Roman"/>
          <w:w w:val="92"/>
          <w:sz w:val="44"/>
          <w:szCs w:val="44"/>
          <w:lang w:val="en-US" w:eastAsia="zh-CN"/>
        </w:rPr>
        <w:t>4</w:t>
      </w:r>
      <w:r>
        <w:rPr>
          <w:rFonts w:hint="default" w:ascii="Times New Roman" w:hAnsi="Times New Roman" w:eastAsia="方正小标宋_GBK" w:cs="Times New Roman"/>
          <w:w w:val="92"/>
          <w:sz w:val="44"/>
          <w:szCs w:val="44"/>
        </w:rPr>
        <w:t>—202</w:t>
      </w:r>
      <w:r>
        <w:rPr>
          <w:rFonts w:hint="default" w:ascii="Times New Roman" w:hAnsi="Times New Roman" w:eastAsia="方正小标宋_GBK" w:cs="Times New Roman"/>
          <w:w w:val="92"/>
          <w:sz w:val="44"/>
          <w:szCs w:val="44"/>
          <w:lang w:val="en-US" w:eastAsia="zh-CN"/>
        </w:rPr>
        <w:t>6</w:t>
      </w:r>
      <w:r>
        <w:rPr>
          <w:rFonts w:hint="default" w:ascii="Times New Roman" w:hAnsi="Times New Roman" w:eastAsia="方正小标宋_GBK" w:cs="Times New Roman"/>
          <w:w w:val="92"/>
          <w:sz w:val="44"/>
          <w:szCs w:val="44"/>
        </w:rPr>
        <w:t>年）</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both"/>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为推动区域资源集约利用、开拓发展空间、集聚经济要素，提升楼宇经济发展质效，</w:t>
      </w:r>
      <w:r>
        <w:rPr>
          <w:rFonts w:hint="default" w:ascii="Times New Roman" w:hAnsi="Times New Roman" w:eastAsia="方正仿宋_GBK" w:cs="Times New Roman"/>
          <w:sz w:val="32"/>
          <w:szCs w:val="32"/>
          <w:lang w:val="en-US" w:eastAsia="zh-CN"/>
        </w:rPr>
        <w:t>持续</w:t>
      </w:r>
      <w:r>
        <w:rPr>
          <w:rFonts w:hint="default" w:ascii="Times New Roman" w:hAnsi="Times New Roman" w:eastAsia="方正仿宋_GBK" w:cs="Times New Roman"/>
          <w:sz w:val="32"/>
          <w:szCs w:val="32"/>
        </w:rPr>
        <w:t>塑造</w:t>
      </w:r>
      <w:r>
        <w:rPr>
          <w:rFonts w:hint="default" w:ascii="Times New Roman" w:hAnsi="Times New Roman" w:eastAsia="方正仿宋_GBK" w:cs="Times New Roman"/>
          <w:sz w:val="32"/>
          <w:szCs w:val="32"/>
          <w:lang w:val="en-US" w:eastAsia="zh-CN"/>
        </w:rPr>
        <w:t>渝中</w:t>
      </w:r>
      <w:r>
        <w:rPr>
          <w:rFonts w:hint="default" w:ascii="Times New Roman" w:hAnsi="Times New Roman" w:eastAsia="方正仿宋_GBK" w:cs="Times New Roman"/>
          <w:sz w:val="32"/>
          <w:szCs w:val="32"/>
        </w:rPr>
        <w:t>发展竞争</w:t>
      </w:r>
      <w:r>
        <w:rPr>
          <w:rFonts w:hint="default" w:ascii="Times New Roman" w:hAnsi="Times New Roman" w:eastAsia="方正仿宋_GBK" w:cs="Times New Roman"/>
          <w:sz w:val="32"/>
          <w:szCs w:val="32"/>
          <w:lang w:val="en-US" w:eastAsia="zh-CN"/>
        </w:rPr>
        <w:t>新</w:t>
      </w:r>
      <w:r>
        <w:rPr>
          <w:rFonts w:hint="default" w:ascii="Times New Roman" w:hAnsi="Times New Roman" w:eastAsia="方正仿宋_GBK" w:cs="Times New Roman"/>
          <w:sz w:val="32"/>
          <w:szCs w:val="32"/>
        </w:rPr>
        <w:t>优势，</w:t>
      </w:r>
      <w:r>
        <w:rPr>
          <w:rFonts w:hint="default" w:ascii="Times New Roman" w:hAnsi="Times New Roman" w:eastAsia="方正仿宋_GBK" w:cs="Times New Roman"/>
          <w:sz w:val="32"/>
          <w:szCs w:val="32"/>
          <w:lang w:val="en-US" w:eastAsia="zh-CN"/>
        </w:rPr>
        <w:t>推动经济高质量发展，特</w:t>
      </w:r>
      <w:r>
        <w:rPr>
          <w:rFonts w:hint="default" w:ascii="Times New Roman" w:hAnsi="Times New Roman" w:eastAsia="方正仿宋_GBK" w:cs="Times New Roman"/>
          <w:sz w:val="32"/>
          <w:szCs w:val="32"/>
        </w:rPr>
        <w:t>制定</w:t>
      </w: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行动</w:t>
      </w:r>
      <w:r>
        <w:rPr>
          <w:rFonts w:hint="default" w:ascii="Times New Roman" w:hAnsi="Times New Roman" w:eastAsia="方正仿宋_GBK" w:cs="Times New Roman"/>
          <w:sz w:val="32"/>
          <w:szCs w:val="32"/>
          <w:lang w:val="en-US"/>
        </w:rPr>
        <w:t>计划</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1"/>
        <w:rPr>
          <w:rFonts w:hint="default" w:ascii="Times New Roman" w:hAnsi="Times New Roman" w:eastAsia="方正黑体_GBK" w:cs="Times New Roman"/>
          <w:sz w:val="32"/>
          <w:szCs w:val="32"/>
        </w:rPr>
      </w:pPr>
      <w:bookmarkStart w:id="3" w:name="_Toc14960"/>
      <w:r>
        <w:rPr>
          <w:rFonts w:hint="default" w:ascii="Times New Roman" w:hAnsi="Times New Roman" w:eastAsia="方正黑体_GBK" w:cs="Times New Roman"/>
          <w:sz w:val="32"/>
          <w:szCs w:val="32"/>
        </w:rPr>
        <w:t>一、指导思想</w:t>
      </w:r>
      <w:bookmarkEnd w:id="3"/>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以习近平新时代中国特色社会主义思想和党的二十大精神为指导，紧紧围绕市委、市政府和区委、区政府关于楼宇经济高质量发展的部署要求，以促进楼宇经济提质增效为中心，统筹优化空间、规模、产业三大结构，深入贯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发展理念，提升楼宇集聚度、产城融合度和要素贡献度，加快培育形成定位清晰、特色鲜明、贡献突出的现代楼宇经济群，为成渝地区双城经济圈楼宇经济发展提供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渝中示范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黑体_GBK" w:cs="Times New Roman"/>
          <w:sz w:val="32"/>
          <w:szCs w:val="32"/>
        </w:rPr>
      </w:pPr>
      <w:bookmarkStart w:id="4" w:name="_Toc19795"/>
      <w:r>
        <w:rPr>
          <w:rFonts w:hint="default" w:ascii="Times New Roman" w:hAnsi="Times New Roman" w:eastAsia="方正黑体_GBK" w:cs="Times New Roman"/>
          <w:sz w:val="32"/>
          <w:szCs w:val="32"/>
          <w:lang w:val="en-US" w:eastAsia="zh-CN"/>
        </w:rPr>
        <w:t>二、发展</w:t>
      </w:r>
      <w:r>
        <w:rPr>
          <w:rFonts w:hint="default" w:ascii="Times New Roman" w:hAnsi="Times New Roman" w:eastAsia="方正黑体_GBK" w:cs="Times New Roman"/>
          <w:sz w:val="32"/>
          <w:szCs w:val="32"/>
        </w:rPr>
        <w:t>目标</w:t>
      </w:r>
      <w:bookmarkEnd w:id="4"/>
      <w:bookmarkStart w:id="5" w:name="_Toc9313"/>
    </w:p>
    <w:p>
      <w:pPr>
        <w:keepNext w:val="0"/>
        <w:keepLines w:val="0"/>
        <w:pageBreakBefore w:val="0"/>
        <w:widowControl w:val="0"/>
        <w:numPr>
          <w:ilvl w:val="-1"/>
          <w:numId w:val="0"/>
        </w:numPr>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紧紧围绕构建区域集中、绿色集约、产业集聚、企业集群、要素集成的楼宇经济发展体系。力争通过三年努力，实现规模体量不断壮大、楼宇贡献持续增长、载体品质逐步提升，努力将渝中打造成为全国一流楼宇经济发展中心城区。</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（一）总体目标</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2" w:firstLineChars="200"/>
        <w:jc w:val="both"/>
        <w:textAlignment w:val="auto"/>
        <w:outlineLvl w:val="1"/>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1.规模体量不断壮大。</w:t>
      </w:r>
      <w:r>
        <w:rPr>
          <w:rFonts w:hint="default" w:ascii="Times New Roman" w:hAnsi="Times New Roman" w:eastAsia="方正仿宋_GBK" w:cs="Times New Roman"/>
          <w:kern w:val="2"/>
          <w:sz w:val="32"/>
          <w:szCs w:val="32"/>
          <w:lang w:val="en-US" w:eastAsia="zh-CN" w:bidi="ar-SA"/>
        </w:rPr>
        <w:t>围绕全区楼宇经济总体布局，盘活处置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两久</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项目，加快新增楼宇项目建设，实现楼宇供需同比例增长，力争三年内累计新增高端载体80万平方米。</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2" w:firstLineChars="200"/>
        <w:jc w:val="both"/>
        <w:textAlignment w:val="auto"/>
        <w:outlineLvl w:val="1"/>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2.产出效益持续增长。</w:t>
      </w:r>
      <w:r>
        <w:rPr>
          <w:rFonts w:hint="default" w:ascii="Times New Roman" w:hAnsi="Times New Roman" w:eastAsia="方正仿宋_GBK" w:cs="Times New Roman"/>
          <w:sz w:val="32"/>
          <w:szCs w:val="32"/>
          <w:lang w:val="en-US" w:eastAsia="zh-CN"/>
        </w:rPr>
        <w:t>强化企业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稳育招升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kern w:val="2"/>
          <w:sz w:val="32"/>
          <w:szCs w:val="32"/>
          <w:lang w:val="en-US" w:eastAsia="zh-CN" w:bidi="ar-SA"/>
        </w:rPr>
        <w:t>，推动楼宇质效指标持续提升，力争三年内企业入驻率保持在85%以上，注册率、纳税率、升规率得到大幅度提升。</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2" w:firstLineChars="200"/>
        <w:jc w:val="both"/>
        <w:textAlignment w:val="auto"/>
        <w:outlineLvl w:val="1"/>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3.载体品质逐步提升。</w:t>
      </w:r>
      <w:r>
        <w:rPr>
          <w:rFonts w:hint="default" w:ascii="Times New Roman" w:hAnsi="Times New Roman" w:eastAsia="方正仿宋_GBK" w:cs="Times New Roman"/>
          <w:kern w:val="2"/>
          <w:sz w:val="32"/>
          <w:szCs w:val="32"/>
          <w:lang w:val="en-US" w:eastAsia="zh-CN" w:bidi="ar-SA"/>
        </w:rPr>
        <w:t>加快培育品牌楼宇、特色产业楼宇，引进楼宇专业运营机构，力争三年内打造专业特色楼宇15</w:t>
      </w:r>
      <w:r>
        <w:rPr>
          <w:rFonts w:hint="default" w:ascii="Times New Roman" w:hAnsi="Times New Roman" w:eastAsia="方正仿宋_GBK" w:cs="Times New Roman"/>
          <w:sz w:val="32"/>
          <w:szCs w:val="32"/>
          <w:lang w:val="en-US" w:eastAsia="zh-CN"/>
        </w:rPr>
        <w:t>栋以上</w:t>
      </w:r>
      <w:r>
        <w:rPr>
          <w:rFonts w:hint="default" w:ascii="Times New Roman" w:hAnsi="Times New Roman" w:eastAsia="方正仿宋_GBK" w:cs="Times New Roman"/>
          <w:kern w:val="2"/>
          <w:sz w:val="32"/>
          <w:szCs w:val="32"/>
          <w:lang w:val="en-US" w:eastAsia="zh-CN" w:bidi="ar-SA"/>
        </w:rPr>
        <w:t>、改造老旧楼宇10</w:t>
      </w:r>
      <w:r>
        <w:rPr>
          <w:rFonts w:hint="default" w:ascii="Times New Roman" w:hAnsi="Times New Roman" w:eastAsia="方正仿宋_GBK" w:cs="Times New Roman"/>
          <w:sz w:val="32"/>
          <w:szCs w:val="32"/>
          <w:lang w:val="en-US" w:eastAsia="zh-CN"/>
        </w:rPr>
        <w:t>栋以上，</w:t>
      </w:r>
      <w:r>
        <w:rPr>
          <w:rFonts w:hint="default" w:ascii="Times New Roman" w:hAnsi="Times New Roman" w:eastAsia="方正仿宋_GBK" w:cs="Times New Roman"/>
          <w:kern w:val="2"/>
          <w:sz w:val="32"/>
          <w:szCs w:val="32"/>
          <w:lang w:val="en-US" w:eastAsia="zh-CN" w:bidi="ar-SA"/>
        </w:rPr>
        <w:t>打造超甲级楼宇4栋以上。</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outlineLvl w:val="2"/>
        <w:rPr>
          <w:rStyle w:val="12"/>
          <w:rFonts w:hint="default" w:ascii="Times New Roman" w:hAnsi="Times New Roman" w:eastAsia="方正楷体_GBK" w:cs="Times New Roman"/>
          <w:b w:val="0"/>
          <w:bCs/>
          <w:sz w:val="32"/>
          <w:szCs w:val="32"/>
          <w:lang w:val="en-US" w:eastAsia="zh-CN"/>
        </w:rPr>
      </w:pPr>
      <w:r>
        <w:rPr>
          <w:rStyle w:val="12"/>
          <w:rFonts w:hint="default" w:ascii="Times New Roman" w:hAnsi="Times New Roman" w:eastAsia="方正楷体_GBK" w:cs="Times New Roman"/>
          <w:b w:val="0"/>
          <w:bCs/>
          <w:sz w:val="32"/>
          <w:szCs w:val="32"/>
          <w:lang w:val="en-US" w:eastAsia="zh-CN"/>
        </w:rPr>
        <w:t>（二）年度目标</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sz w:val="32"/>
          <w:szCs w:val="32"/>
          <w:lang w:val="en-US" w:eastAsia="zh-CN"/>
        </w:rPr>
        <w:t>2024年底，新增高端</w:t>
      </w:r>
      <w:r>
        <w:rPr>
          <w:rFonts w:hint="default" w:ascii="Times New Roman" w:hAnsi="Times New Roman" w:eastAsia="方正仿宋_GBK" w:cs="Times New Roman"/>
          <w:kern w:val="2"/>
          <w:sz w:val="32"/>
          <w:szCs w:val="32"/>
          <w:lang w:val="en-US" w:eastAsia="zh-CN" w:bidi="ar-SA"/>
        </w:rPr>
        <w:t>载体面积</w:t>
      </w:r>
      <w:r>
        <w:rPr>
          <w:rFonts w:hint="default" w:ascii="Times New Roman" w:hAnsi="Times New Roman" w:eastAsia="方正仿宋_GBK" w:cs="Times New Roman"/>
          <w:kern w:val="2"/>
          <w:sz w:val="32"/>
          <w:szCs w:val="32"/>
          <w:highlight w:val="none"/>
          <w:lang w:val="en-US" w:eastAsia="zh-CN" w:bidi="ar-SA"/>
        </w:rPr>
        <w:t>20</w:t>
      </w:r>
      <w:r>
        <w:rPr>
          <w:rFonts w:hint="default" w:ascii="Times New Roman" w:hAnsi="Times New Roman" w:eastAsia="方正仿宋_GBK" w:cs="Times New Roman"/>
          <w:kern w:val="2"/>
          <w:sz w:val="32"/>
          <w:szCs w:val="32"/>
          <w:lang w:val="en-US" w:eastAsia="zh-CN" w:bidi="ar-SA"/>
        </w:rPr>
        <w:t>万平方米，存量</w:t>
      </w:r>
      <w:r>
        <w:rPr>
          <w:rFonts w:hint="default" w:ascii="Times New Roman" w:hAnsi="Times New Roman" w:eastAsia="方正仿宋_GBK" w:cs="Times New Roman"/>
          <w:sz w:val="32"/>
          <w:szCs w:val="32"/>
          <w:lang w:val="en-US" w:eastAsia="zh-CN"/>
        </w:rPr>
        <w:t>楼宇入驻率维持85%以上；</w:t>
      </w:r>
      <w:r>
        <w:rPr>
          <w:rFonts w:hint="default" w:ascii="Times New Roman" w:hAnsi="Times New Roman" w:eastAsia="方正仿宋_GBK" w:cs="Times New Roman"/>
          <w:kern w:val="2"/>
          <w:sz w:val="32"/>
          <w:szCs w:val="32"/>
          <w:lang w:val="en-US" w:eastAsia="zh-CN" w:bidi="ar-SA"/>
        </w:rPr>
        <w:t>新增优质企业数量（上市公司、总部企业、专精特新、国高企业、规上企业）100家以上；新增亿元楼宇2栋，打造专业特色楼宇5</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，改造老旧楼宇3</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确定1栋楼宇试点建设都市工业楼宇，评选</w:t>
      </w:r>
      <w:r>
        <w:rPr>
          <w:rFonts w:hint="default" w:ascii="Times New Roman" w:hAnsi="Times New Roman" w:eastAsia="方正仿宋_GBK" w:cs="Times New Roman"/>
          <w:kern w:val="2"/>
          <w:sz w:val="32"/>
          <w:szCs w:val="32"/>
          <w:lang w:val="en-US" w:eastAsia="zh-CN" w:bidi="ar-SA"/>
        </w:rPr>
        <w:t>超甲级楼宇2栋、新评定甲级楼宇10栋。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sz w:val="32"/>
          <w:szCs w:val="32"/>
          <w:lang w:val="en-US" w:eastAsia="zh-CN"/>
        </w:rPr>
        <w:t>2025年底，新增高端</w:t>
      </w:r>
      <w:r>
        <w:rPr>
          <w:rFonts w:hint="default" w:ascii="Times New Roman" w:hAnsi="Times New Roman" w:eastAsia="方正仿宋_GBK" w:cs="Times New Roman"/>
          <w:kern w:val="2"/>
          <w:sz w:val="32"/>
          <w:szCs w:val="32"/>
          <w:lang w:val="en-US" w:eastAsia="zh-CN" w:bidi="ar-SA"/>
        </w:rPr>
        <w:t>载体面积</w:t>
      </w:r>
      <w:r>
        <w:rPr>
          <w:rFonts w:hint="default" w:ascii="Times New Roman" w:hAnsi="Times New Roman" w:eastAsia="方正仿宋_GBK" w:cs="Times New Roman"/>
          <w:kern w:val="2"/>
          <w:sz w:val="32"/>
          <w:szCs w:val="32"/>
          <w:highlight w:val="none"/>
          <w:lang w:val="en-US" w:eastAsia="zh-CN" w:bidi="ar-SA"/>
        </w:rPr>
        <w:t>50万</w:t>
      </w:r>
      <w:r>
        <w:rPr>
          <w:rFonts w:hint="default" w:ascii="Times New Roman" w:hAnsi="Times New Roman" w:eastAsia="方正仿宋_GBK" w:cs="Times New Roman"/>
          <w:kern w:val="2"/>
          <w:sz w:val="32"/>
          <w:szCs w:val="32"/>
          <w:lang w:val="en-US" w:eastAsia="zh-CN" w:bidi="ar-SA"/>
        </w:rPr>
        <w:t>平方米，存量</w:t>
      </w:r>
      <w:r>
        <w:rPr>
          <w:rFonts w:hint="default" w:ascii="Times New Roman" w:hAnsi="Times New Roman" w:eastAsia="方正仿宋_GBK" w:cs="Times New Roman"/>
          <w:sz w:val="32"/>
          <w:szCs w:val="32"/>
          <w:lang w:val="en-US" w:eastAsia="zh-CN"/>
        </w:rPr>
        <w:t>楼宇入驻率维持85%以上；</w:t>
      </w:r>
      <w:r>
        <w:rPr>
          <w:rFonts w:hint="default" w:ascii="Times New Roman" w:hAnsi="Times New Roman" w:eastAsia="方正仿宋_GBK" w:cs="Times New Roman"/>
          <w:kern w:val="2"/>
          <w:sz w:val="32"/>
          <w:szCs w:val="32"/>
          <w:lang w:val="en-US" w:eastAsia="zh-CN" w:bidi="ar-SA"/>
        </w:rPr>
        <w:t>新增优质企业数量（上市公司、总部企业、专精特新、国高企业、规上企业）100家以上；新增亿元楼宇2栋，打造专业特色楼宇5</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，改造老旧楼宇3</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都市工业楼宇初见成效，评选</w:t>
      </w:r>
      <w:r>
        <w:rPr>
          <w:rFonts w:hint="default" w:ascii="Times New Roman" w:hAnsi="Times New Roman" w:eastAsia="方正仿宋_GBK" w:cs="Times New Roman"/>
          <w:kern w:val="2"/>
          <w:sz w:val="32"/>
          <w:szCs w:val="32"/>
          <w:lang w:val="en-US" w:eastAsia="zh-CN" w:bidi="ar-SA"/>
        </w:rPr>
        <w:t>超甲级楼宇1栋、新评定甲级楼宇5栋。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sz w:val="32"/>
          <w:szCs w:val="32"/>
          <w:lang w:val="en-US" w:eastAsia="zh-CN"/>
        </w:rPr>
        <w:t>2026年底，新增高端</w:t>
      </w:r>
      <w:r>
        <w:rPr>
          <w:rFonts w:hint="default" w:ascii="Times New Roman" w:hAnsi="Times New Roman" w:eastAsia="方正仿宋_GBK" w:cs="Times New Roman"/>
          <w:kern w:val="2"/>
          <w:sz w:val="32"/>
          <w:szCs w:val="32"/>
          <w:lang w:val="en-US" w:eastAsia="zh-CN" w:bidi="ar-SA"/>
        </w:rPr>
        <w:t>载体面积</w:t>
      </w:r>
      <w:r>
        <w:rPr>
          <w:rFonts w:hint="default" w:ascii="Times New Roman" w:hAnsi="Times New Roman" w:eastAsia="方正仿宋_GBK" w:cs="Times New Roman"/>
          <w:kern w:val="2"/>
          <w:sz w:val="32"/>
          <w:szCs w:val="32"/>
          <w:highlight w:val="none"/>
          <w:lang w:val="en-US" w:eastAsia="zh-CN" w:bidi="ar-SA"/>
        </w:rPr>
        <w:t>10万</w:t>
      </w:r>
      <w:r>
        <w:rPr>
          <w:rFonts w:hint="default" w:ascii="Times New Roman" w:hAnsi="Times New Roman" w:eastAsia="方正仿宋_GBK" w:cs="Times New Roman"/>
          <w:kern w:val="2"/>
          <w:sz w:val="32"/>
          <w:szCs w:val="32"/>
          <w:lang w:val="en-US" w:eastAsia="zh-CN" w:bidi="ar-SA"/>
        </w:rPr>
        <w:t>平方米，存量</w:t>
      </w:r>
      <w:r>
        <w:rPr>
          <w:rFonts w:hint="default" w:ascii="Times New Roman" w:hAnsi="Times New Roman" w:eastAsia="方正仿宋_GBK" w:cs="Times New Roman"/>
          <w:sz w:val="32"/>
          <w:szCs w:val="32"/>
          <w:lang w:val="en-US" w:eastAsia="zh-CN"/>
        </w:rPr>
        <w:t>楼宇入驻率维持85%以上；</w:t>
      </w:r>
      <w:r>
        <w:rPr>
          <w:rFonts w:hint="default" w:ascii="Times New Roman" w:hAnsi="Times New Roman" w:eastAsia="方正仿宋_GBK" w:cs="Times New Roman"/>
          <w:kern w:val="2"/>
          <w:sz w:val="32"/>
          <w:szCs w:val="32"/>
          <w:lang w:val="en-US" w:eastAsia="zh-CN" w:bidi="ar-SA"/>
        </w:rPr>
        <w:t>新增优质企业数量（上市公司、总部企业、专精特新、国高企业、规上企业）100家以上；新增亿元楼宇2栋，打造专业特色楼宇5</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，改造老旧楼宇4</w:t>
      </w:r>
      <w:r>
        <w:rPr>
          <w:rFonts w:hint="default" w:ascii="Times New Roman" w:hAnsi="Times New Roman" w:eastAsia="方正仿宋_GBK" w:cs="Times New Roman"/>
          <w:sz w:val="32"/>
          <w:szCs w:val="32"/>
          <w:lang w:val="en-US" w:eastAsia="zh-CN"/>
        </w:rPr>
        <w:t>栋</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都市工</w:t>
      </w:r>
      <w:r>
        <w:rPr>
          <w:rFonts w:hint="default" w:ascii="Times New Roman" w:hAnsi="Times New Roman" w:eastAsia="方正仿宋_GBK" w:cs="Times New Roman"/>
          <w:spacing w:val="-11"/>
          <w:sz w:val="32"/>
          <w:szCs w:val="32"/>
          <w:lang w:val="en-US" w:eastAsia="zh-CN"/>
        </w:rPr>
        <w:t>业楼宇特色效益明显，评选</w:t>
      </w:r>
      <w:r>
        <w:rPr>
          <w:rFonts w:hint="default" w:ascii="Times New Roman" w:hAnsi="Times New Roman" w:eastAsia="方正仿宋_GBK" w:cs="Times New Roman"/>
          <w:spacing w:val="-11"/>
          <w:kern w:val="2"/>
          <w:sz w:val="32"/>
          <w:szCs w:val="32"/>
          <w:lang w:val="en-US" w:eastAsia="zh-CN" w:bidi="ar-SA"/>
        </w:rPr>
        <w:t>超甲级楼宇1栋、新评定甲级楼宇5栋。</w:t>
      </w:r>
    </w:p>
    <w:bookmarkEnd w:id="5"/>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三、重点任务</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b w:val="0"/>
          <w:bCs w:val="0"/>
          <w:sz w:val="32"/>
          <w:szCs w:val="28"/>
          <w:lang w:val="en-US" w:eastAsia="zh-CN"/>
        </w:rPr>
      </w:pPr>
      <w:r>
        <w:rPr>
          <w:rFonts w:hint="default" w:ascii="Times New Roman" w:hAnsi="Times New Roman" w:eastAsia="方正楷体_GBK" w:cs="Times New Roman"/>
          <w:b w:val="0"/>
          <w:bCs w:val="0"/>
          <w:sz w:val="32"/>
          <w:szCs w:val="28"/>
          <w:lang w:val="en-US" w:eastAsia="zh-CN"/>
        </w:rPr>
        <w:t>（一）制订规范指引，构建楼宇经济</w:t>
      </w:r>
      <w:r>
        <w:rPr>
          <w:rFonts w:hint="eastAsia" w:ascii="Times New Roman" w:hAnsi="Times New Roman" w:eastAsia="方正楷体_GBK" w:cs="Times New Roman"/>
          <w:b w:val="0"/>
          <w:bCs w:val="0"/>
          <w:sz w:val="32"/>
          <w:szCs w:val="28"/>
          <w:lang w:val="en-US" w:eastAsia="zh-CN"/>
        </w:rPr>
        <w:t>“</w:t>
      </w:r>
      <w:r>
        <w:rPr>
          <w:rFonts w:hint="default" w:ascii="Times New Roman" w:hAnsi="Times New Roman" w:eastAsia="方正楷体_GBK" w:cs="Times New Roman"/>
          <w:b w:val="0"/>
          <w:bCs w:val="0"/>
          <w:sz w:val="32"/>
          <w:szCs w:val="28"/>
          <w:lang w:val="en-US" w:eastAsia="zh-CN"/>
        </w:rPr>
        <w:t>渝中体系</w:t>
      </w:r>
      <w:r>
        <w:rPr>
          <w:rFonts w:hint="eastAsia" w:ascii="Times New Roman" w:hAnsi="Times New Roman" w:eastAsia="方正楷体_GBK" w:cs="Times New Roman"/>
          <w:b w:val="0"/>
          <w:bCs w:val="0"/>
          <w:sz w:val="32"/>
          <w:szCs w:val="28"/>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仿宋_GBK" w:cs="Times New Roman"/>
          <w:b w:val="0"/>
          <w:bCs w:val="0"/>
          <w:sz w:val="32"/>
          <w:szCs w:val="28"/>
          <w:lang w:val="en-US" w:eastAsia="zh-CN"/>
        </w:rPr>
        <w:t>一是明确规划定位强引领。立足楼宇空间布局和</w:t>
      </w:r>
      <w:r>
        <w:rPr>
          <w:rFonts w:hint="default" w:ascii="Times New Roman" w:hAnsi="Times New Roman" w:eastAsia="方正仿宋_GBK" w:cs="Times New Roman"/>
          <w:b w:val="0"/>
          <w:bCs w:val="0"/>
          <w:sz w:val="32"/>
          <w:szCs w:val="32"/>
          <w:lang w:val="en-US" w:eastAsia="zh-CN"/>
        </w:rPr>
        <w:t>业态分布现状，</w:t>
      </w:r>
      <w:r>
        <w:rPr>
          <w:rFonts w:hint="default" w:ascii="Times New Roman" w:hAnsi="Times New Roman" w:eastAsia="方正仿宋_GBK" w:cs="Times New Roman"/>
          <w:b w:val="0"/>
          <w:bCs w:val="0"/>
          <w:sz w:val="32"/>
          <w:szCs w:val="28"/>
          <w:lang w:val="en-US" w:eastAsia="zh-CN"/>
        </w:rPr>
        <w:t>围绕全区现代产业体系构建，</w:t>
      </w:r>
      <w:r>
        <w:rPr>
          <w:rFonts w:hint="default" w:ascii="Times New Roman" w:hAnsi="Times New Roman" w:eastAsia="方正仿宋_GBK" w:cs="Times New Roman"/>
          <w:b w:val="0"/>
          <w:bCs w:val="0"/>
          <w:sz w:val="32"/>
          <w:szCs w:val="32"/>
          <w:lang w:val="en-US" w:eastAsia="zh-CN"/>
        </w:rPr>
        <w:t>明确各区域范围内重点楼宇功能定位，</w:t>
      </w:r>
      <w:r>
        <w:rPr>
          <w:rFonts w:hint="default" w:ascii="Times New Roman" w:hAnsi="Times New Roman" w:eastAsia="方正仿宋_GBK" w:cs="Times New Roman"/>
          <w:b w:val="0"/>
          <w:bCs w:val="0"/>
          <w:sz w:val="32"/>
          <w:szCs w:val="28"/>
          <w:lang w:val="en-US" w:eastAsia="zh-CN"/>
        </w:rPr>
        <w:t>结合楼宇基础禀赋和客观条件，明确楼宇主导产业，</w:t>
      </w:r>
      <w:r>
        <w:rPr>
          <w:rFonts w:hint="default" w:ascii="Times New Roman" w:hAnsi="Times New Roman" w:eastAsia="方正仿宋_GBK" w:cs="Times New Roman"/>
          <w:b w:val="0"/>
          <w:bCs w:val="0"/>
          <w:sz w:val="32"/>
          <w:szCs w:val="32"/>
          <w:lang w:val="en-US" w:eastAsia="zh-CN"/>
        </w:rPr>
        <w:t>优化楼宇空间布局，促进特色产业集聚，构建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一核三带六园区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的楼宇经济布局，打造若干特色产业楼宇经济发展集群，</w:t>
      </w:r>
      <w:r>
        <w:rPr>
          <w:rFonts w:hint="default" w:ascii="Times New Roman" w:hAnsi="Times New Roman" w:eastAsia="方正仿宋_GBK" w:cs="Times New Roman"/>
          <w:b w:val="0"/>
          <w:bCs w:val="0"/>
          <w:sz w:val="32"/>
          <w:szCs w:val="28"/>
          <w:lang w:val="en-US" w:eastAsia="zh-CN"/>
        </w:rPr>
        <w:t>推动产业互补和错位发展，提高渝中楼宇经济整体竞争力。</w:t>
      </w:r>
      <w:r>
        <w:rPr>
          <w:rFonts w:hint="default" w:ascii="Times New Roman" w:hAnsi="Times New Roman" w:eastAsia="方正楷体_GBK" w:cs="Times New Roman"/>
          <w:b w:val="0"/>
          <w:bCs w:val="0"/>
          <w:sz w:val="32"/>
          <w:szCs w:val="32"/>
          <w:lang w:val="en-US" w:eastAsia="zh-CN"/>
        </w:rPr>
        <w:t>（牵头单位：各管委会，责任单位：区发展改革委、区经济信息委、区规划自然资源局、区住房城市建委、各行业主管部门、各街道办事处）</w:t>
      </w:r>
    </w:p>
    <w:tbl>
      <w:tblPr>
        <w:tblStyle w:val="9"/>
        <w:tblW w:w="86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3"/>
        <w:gridCol w:w="7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5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center"/>
              <w:rPr>
                <w:rFonts w:hint="default" w:ascii="Times New Roman" w:hAnsi="Times New Roman" w:eastAsia="楷体" w:cs="Times New Roman"/>
                <w:i w:val="0"/>
                <w:iCs w:val="0"/>
                <w:color w:val="000000"/>
                <w:sz w:val="22"/>
                <w:szCs w:val="22"/>
                <w:u w:val="none"/>
                <w:lang w:val="en-US"/>
              </w:rPr>
            </w:pPr>
            <w:r>
              <w:rPr>
                <w:rFonts w:hint="default" w:ascii="Times New Roman" w:hAnsi="Times New Roman" w:eastAsia="方正黑体_GBK" w:cs="Times New Roman"/>
                <w:sz w:val="24"/>
                <w:szCs w:val="24"/>
                <w:lang w:val="en-US" w:eastAsia="zh-CN"/>
              </w:rPr>
              <w:t>专栏：渝中区</w:t>
            </w:r>
            <w:r>
              <w:rPr>
                <w:rFonts w:hint="eastAsia" w:ascii="Times New Roman" w:hAnsi="Times New Roman" w:eastAsia="方正黑体_GBK" w:cs="Times New Roman"/>
                <w:sz w:val="24"/>
                <w:szCs w:val="24"/>
                <w:lang w:val="en-US" w:eastAsia="zh-CN"/>
              </w:rPr>
              <w:t>“</w:t>
            </w:r>
            <w:r>
              <w:rPr>
                <w:rFonts w:hint="default" w:ascii="Times New Roman" w:hAnsi="Times New Roman" w:eastAsia="方正黑体_GBK" w:cs="Times New Roman"/>
                <w:sz w:val="24"/>
                <w:szCs w:val="24"/>
                <w:lang w:val="en-US" w:eastAsia="zh-CN"/>
              </w:rPr>
              <w:t>一核三带六园区</w:t>
            </w:r>
            <w:r>
              <w:rPr>
                <w:rFonts w:hint="eastAsia" w:ascii="Times New Roman" w:hAnsi="Times New Roman" w:eastAsia="方正黑体_GBK" w:cs="Times New Roman"/>
                <w:sz w:val="24"/>
                <w:szCs w:val="24"/>
                <w:lang w:val="en-US" w:eastAsia="zh-CN"/>
              </w:rPr>
              <w:t>”</w:t>
            </w:r>
            <w:r>
              <w:rPr>
                <w:rFonts w:hint="default" w:ascii="Times New Roman" w:hAnsi="Times New Roman" w:eastAsia="方正黑体_GBK" w:cs="Times New Roman"/>
                <w:sz w:val="24"/>
                <w:szCs w:val="24"/>
                <w:lang w:val="en-US" w:eastAsia="zh-CN"/>
              </w:rPr>
              <w:t>重点楼宇功能定位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rPr>
              <w:t>一核</w:t>
            </w:r>
          </w:p>
        </w:tc>
        <w:tc>
          <w:tcPr>
            <w:tcW w:w="7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rPr>
              <w:t>以</w:t>
            </w:r>
            <w:r>
              <w:rPr>
                <w:rFonts w:hint="default" w:ascii="Times New Roman" w:hAnsi="Times New Roman" w:eastAsia="方正仿宋_GBK" w:cs="Times New Roman"/>
                <w:color w:val="000000"/>
                <w:kern w:val="0"/>
                <w:sz w:val="22"/>
                <w:szCs w:val="22"/>
                <w:u w:val="none"/>
              </w:rPr>
              <w:t>解放碑朝天门片区</w:t>
            </w:r>
            <w:r>
              <w:rPr>
                <w:rFonts w:hint="default" w:ascii="Times New Roman" w:hAnsi="Times New Roman" w:eastAsia="方正仿宋_GBK" w:cs="Times New Roman"/>
                <w:i w:val="0"/>
                <w:iCs w:val="0"/>
                <w:color w:val="000000"/>
                <w:kern w:val="0"/>
                <w:sz w:val="22"/>
                <w:szCs w:val="22"/>
                <w:u w:val="none"/>
                <w:lang w:val="en-US" w:eastAsia="zh-CN"/>
              </w:rPr>
              <w:t>为重点，发展以现代金融、商业商务和专业服务为主导产业的楼宇经济极核。依托申基金融广场、平安金融中心、协信SFC、凯德来福士、环球金融中心、大都会东方广场、英利国际金融中心等重点楼宇，打造一批金融、专业服务、总部贸易、外资外企、央企（国企）区域总部、涉外事务等特色产业楼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center"/>
              <w:rPr>
                <w:rFonts w:hint="default" w:ascii="Times New Roman" w:hAnsi="Times New Roman" w:eastAsia="方正黑体_GBK" w:cs="Times New Roman"/>
                <w:i w:val="0"/>
                <w:iCs w:val="0"/>
                <w:color w:val="000000"/>
                <w:kern w:val="0"/>
                <w:sz w:val="24"/>
                <w:szCs w:val="24"/>
                <w:u w:val="none"/>
                <w:lang w:val="en-US" w:eastAsia="zh-CN"/>
              </w:rPr>
            </w:pPr>
            <w:r>
              <w:rPr>
                <w:rFonts w:hint="default" w:ascii="Times New Roman" w:hAnsi="Times New Roman" w:eastAsia="方正黑体_GBK" w:cs="Times New Roman"/>
                <w:i w:val="0"/>
                <w:iCs w:val="0"/>
                <w:color w:val="000000"/>
                <w:kern w:val="0"/>
                <w:sz w:val="24"/>
                <w:szCs w:val="24"/>
                <w:u w:val="none"/>
                <w:lang w:val="en-US" w:eastAsia="zh-CN"/>
              </w:rPr>
              <w:t>三带</w:t>
            </w:r>
          </w:p>
        </w:tc>
        <w:tc>
          <w:tcPr>
            <w:tcW w:w="7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i w:val="0"/>
                <w:iCs w:val="0"/>
                <w:color w:val="000000"/>
                <w:kern w:val="0"/>
                <w:sz w:val="22"/>
                <w:szCs w:val="22"/>
                <w:u w:val="none"/>
                <w:lang w:val="en-US" w:eastAsia="zh-CN"/>
              </w:rPr>
            </w:pPr>
            <w:r>
              <w:rPr>
                <w:rFonts w:hint="default" w:ascii="Times New Roman" w:hAnsi="Times New Roman" w:eastAsia="方正仿宋_GBK" w:cs="Times New Roman"/>
                <w:b w:val="0"/>
                <w:bCs w:val="0"/>
                <w:color w:val="000000"/>
                <w:kern w:val="0"/>
                <w:sz w:val="22"/>
                <w:szCs w:val="22"/>
                <w:u w:val="none"/>
                <w:lang w:val="en-US" w:eastAsia="zh-CN"/>
              </w:rPr>
              <w:t>以</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两江滨江休闲产业带</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下半城历史人文风貌带</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大鹅岭山脊自然生态带</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大田湾文体产业园</w:t>
            </w:r>
            <w:r>
              <w:rPr>
                <w:rFonts w:hint="eastAsia"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lang w:val="en-US" w:eastAsia="zh-CN"/>
              </w:rPr>
              <w:t>区域传统风貌区和载体为重点，发展以</w:t>
            </w:r>
            <w:r>
              <w:rPr>
                <w:rFonts w:hint="default" w:ascii="Times New Roman" w:hAnsi="Times New Roman" w:eastAsia="方正仿宋_GBK" w:cs="Times New Roman"/>
                <w:color w:val="000000"/>
                <w:kern w:val="0"/>
                <w:sz w:val="22"/>
                <w:szCs w:val="22"/>
                <w:u w:val="none"/>
              </w:rPr>
              <w:t>商业商务、文体娱乐、交通运输</w:t>
            </w:r>
            <w:r>
              <w:rPr>
                <w:rFonts w:hint="default" w:ascii="Times New Roman" w:hAnsi="Times New Roman" w:eastAsia="方正仿宋_GBK" w:cs="Times New Roman"/>
                <w:color w:val="000000"/>
                <w:kern w:val="0"/>
                <w:sz w:val="22"/>
                <w:szCs w:val="22"/>
                <w:u w:val="none"/>
                <w:lang w:val="en-US" w:eastAsia="zh-CN"/>
              </w:rPr>
              <w:t>为主导产业的楼宇经济特色产业带。依托</w:t>
            </w:r>
            <w:r>
              <w:rPr>
                <w:rFonts w:hint="default" w:ascii="Times New Roman" w:hAnsi="Times New Roman" w:eastAsia="方正仿宋_GBK" w:cs="Times New Roman"/>
                <w:color w:val="000000"/>
                <w:kern w:val="0"/>
                <w:sz w:val="22"/>
                <w:szCs w:val="22"/>
                <w:u w:val="none"/>
              </w:rPr>
              <w:t>李子坝</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白象街</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十八梯</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lang w:val="en-US" w:eastAsia="zh-CN"/>
              </w:rPr>
              <w:t>胜利巷、</w:t>
            </w:r>
            <w:r>
              <w:rPr>
                <w:rFonts w:hint="default" w:ascii="Times New Roman" w:hAnsi="Times New Roman" w:eastAsia="方正仿宋_GBK" w:cs="Times New Roman"/>
                <w:color w:val="000000"/>
                <w:kern w:val="0"/>
                <w:sz w:val="22"/>
                <w:szCs w:val="22"/>
                <w:u w:val="none"/>
              </w:rPr>
              <w:t>湖广会馆及东水门历史文化街区</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飞机码头—燕子岩—枇杷山</w:t>
            </w:r>
            <w:r>
              <w:rPr>
                <w:rFonts w:hint="default" w:ascii="Times New Roman" w:hAnsi="Times New Roman" w:eastAsia="方正仿宋_GBK" w:cs="Times New Roman"/>
                <w:color w:val="000000"/>
                <w:kern w:val="0"/>
                <w:sz w:val="22"/>
                <w:szCs w:val="22"/>
                <w:u w:val="none"/>
                <w:lang w:val="en-US" w:eastAsia="zh-CN"/>
              </w:rPr>
              <w:t>等风貌区和后街影视文化产业园、</w:t>
            </w:r>
            <w:r>
              <w:rPr>
                <w:rFonts w:hint="default" w:ascii="Times New Roman" w:hAnsi="Times New Roman" w:eastAsia="方正仿宋_GBK" w:cs="Times New Roman"/>
                <w:color w:val="000000"/>
                <w:kern w:val="0"/>
                <w:sz w:val="22"/>
                <w:szCs w:val="22"/>
                <w:u w:val="none"/>
              </w:rPr>
              <w:t>电影数字产业园</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rPr>
              <w:t>公运集团办公楼</w:t>
            </w:r>
            <w:r>
              <w:rPr>
                <w:rFonts w:hint="default" w:ascii="Times New Roman" w:hAnsi="Times New Roman" w:eastAsia="方正仿宋_GBK" w:cs="Times New Roman"/>
                <w:color w:val="000000"/>
                <w:kern w:val="0"/>
                <w:sz w:val="22"/>
                <w:szCs w:val="22"/>
                <w:u w:val="none"/>
                <w:lang w:val="en-US" w:eastAsia="zh-CN"/>
              </w:rPr>
              <w:t>等载体，打造一批文商旅融合、数字文化、交通物流等特色产业楼宇。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jc w:val="center"/>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rPr>
              <w:t>六园区</w:t>
            </w:r>
          </w:p>
        </w:tc>
        <w:tc>
          <w:tcPr>
            <w:tcW w:w="7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b/>
                <w:bCs/>
                <w:i w:val="0"/>
                <w:iCs w:val="0"/>
                <w:color w:val="000000"/>
                <w:kern w:val="0"/>
                <w:sz w:val="22"/>
                <w:szCs w:val="22"/>
                <w:u w:val="none"/>
                <w:lang w:val="en-US" w:eastAsia="zh-CN"/>
              </w:rPr>
              <w:t>一是</w:t>
            </w:r>
            <w:r>
              <w:rPr>
                <w:rFonts w:hint="default" w:ascii="Times New Roman" w:hAnsi="Times New Roman" w:eastAsia="方正仿宋_GBK" w:cs="Times New Roman"/>
                <w:b w:val="0"/>
                <w:bCs w:val="0"/>
                <w:i w:val="0"/>
                <w:iCs w:val="0"/>
                <w:color w:val="000000"/>
                <w:kern w:val="0"/>
                <w:sz w:val="22"/>
                <w:szCs w:val="22"/>
                <w:u w:val="none"/>
                <w:lang w:val="en-US" w:eastAsia="zh-CN"/>
              </w:rPr>
              <w:t>以</w:t>
            </w:r>
            <w:r>
              <w:rPr>
                <w:rFonts w:hint="default" w:ascii="Times New Roman" w:hAnsi="Times New Roman" w:eastAsia="方正仿宋_GBK" w:cs="Times New Roman"/>
                <w:color w:val="000000"/>
                <w:kern w:val="0"/>
                <w:sz w:val="22"/>
                <w:szCs w:val="22"/>
                <w:u w:val="none"/>
              </w:rPr>
              <w:t>化龙桥国际商务区</w:t>
            </w:r>
            <w:r>
              <w:rPr>
                <w:rFonts w:hint="default" w:ascii="Times New Roman" w:hAnsi="Times New Roman" w:eastAsia="方正仿宋_GBK" w:cs="Times New Roman"/>
                <w:color w:val="000000"/>
                <w:kern w:val="0"/>
                <w:sz w:val="22"/>
                <w:szCs w:val="22"/>
                <w:u w:val="none"/>
                <w:lang w:val="en-US" w:eastAsia="zh-CN"/>
              </w:rPr>
              <w:t>为重点，发展以商业商务、专业服务、外资外贸为主导产业的楼宇经济产业园，依托企业天地2-8号楼、重庆印象城、重庆天地等重点楼宇，打造一批法律服务、咨询与调查、新兴金融、外资外贸、总部贸易等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i w:val="0"/>
                <w:iCs w:val="0"/>
                <w:color w:val="000000"/>
                <w:kern w:val="0"/>
                <w:sz w:val="22"/>
                <w:szCs w:val="22"/>
                <w:u w:val="none"/>
                <w:lang w:val="en-US" w:eastAsia="zh-CN"/>
              </w:rPr>
            </w:pPr>
            <w:r>
              <w:rPr>
                <w:rFonts w:hint="default" w:ascii="Times New Roman" w:hAnsi="Times New Roman" w:eastAsia="方正仿宋_GBK" w:cs="Times New Roman"/>
                <w:b/>
                <w:bCs/>
                <w:i w:val="0"/>
                <w:iCs w:val="0"/>
                <w:color w:val="000000"/>
                <w:kern w:val="0"/>
                <w:sz w:val="22"/>
                <w:szCs w:val="22"/>
                <w:u w:val="none"/>
                <w:lang w:val="en-US" w:eastAsia="zh-CN"/>
              </w:rPr>
              <w:t>二是</w:t>
            </w:r>
            <w:r>
              <w:rPr>
                <w:rFonts w:hint="default" w:ascii="Times New Roman" w:hAnsi="Times New Roman" w:eastAsia="方正仿宋_GBK" w:cs="Times New Roman"/>
                <w:b w:val="0"/>
                <w:bCs w:val="0"/>
                <w:i w:val="0"/>
                <w:iCs w:val="0"/>
                <w:color w:val="000000"/>
                <w:kern w:val="0"/>
                <w:sz w:val="22"/>
                <w:szCs w:val="22"/>
                <w:u w:val="none"/>
                <w:lang w:val="en-US" w:eastAsia="zh-CN"/>
              </w:rPr>
              <w:t>以重庆</w:t>
            </w:r>
            <w:r>
              <w:rPr>
                <w:rFonts w:hint="default" w:ascii="Times New Roman" w:hAnsi="Times New Roman" w:eastAsia="方正仿宋_GBK" w:cs="Times New Roman"/>
                <w:i w:val="0"/>
                <w:iCs w:val="0"/>
                <w:color w:val="000000"/>
                <w:kern w:val="0"/>
                <w:sz w:val="22"/>
                <w:szCs w:val="22"/>
                <w:u w:val="none"/>
                <w:lang w:val="en-US" w:eastAsia="zh-CN"/>
              </w:rPr>
              <w:t>数字经济产业园为重点，发展以工业软件、信息技术服务、区块链、信创为主导产业的楼宇经济产业园，依托总部城A、C、D、E区，美源·美源，伟清中环广场等重点楼宇，打造一批软信产业、总部经济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b/>
                <w:bCs/>
                <w:i w:val="0"/>
                <w:iCs w:val="0"/>
                <w:color w:val="000000"/>
                <w:kern w:val="0"/>
                <w:sz w:val="22"/>
                <w:szCs w:val="22"/>
                <w:u w:val="none"/>
                <w:lang w:val="en-US" w:eastAsia="zh-CN"/>
              </w:rPr>
              <w:t>三是</w:t>
            </w:r>
            <w:r>
              <w:rPr>
                <w:rFonts w:hint="default" w:ascii="Times New Roman" w:hAnsi="Times New Roman" w:eastAsia="方正仿宋_GBK" w:cs="Times New Roman"/>
                <w:b w:val="0"/>
                <w:bCs w:val="0"/>
                <w:i w:val="0"/>
                <w:iCs w:val="0"/>
                <w:color w:val="000000"/>
                <w:kern w:val="0"/>
                <w:sz w:val="22"/>
                <w:szCs w:val="22"/>
                <w:u w:val="none"/>
                <w:lang w:val="en-US" w:eastAsia="zh-CN"/>
              </w:rPr>
              <w:t>以</w:t>
            </w:r>
            <w:r>
              <w:rPr>
                <w:rFonts w:hint="default" w:ascii="Times New Roman" w:hAnsi="Times New Roman" w:eastAsia="方正仿宋_GBK" w:cs="Times New Roman"/>
                <w:color w:val="000000"/>
                <w:kern w:val="0"/>
                <w:sz w:val="22"/>
                <w:szCs w:val="22"/>
                <w:u w:val="none"/>
              </w:rPr>
              <w:t>上清寺—两路口—大溪沟创意文体产业园</w:t>
            </w:r>
            <w:r>
              <w:rPr>
                <w:rFonts w:hint="default" w:ascii="Times New Roman" w:hAnsi="Times New Roman" w:eastAsia="方正仿宋_GBK" w:cs="Times New Roman"/>
                <w:color w:val="000000"/>
                <w:kern w:val="0"/>
                <w:sz w:val="22"/>
                <w:szCs w:val="22"/>
                <w:u w:val="none"/>
                <w:lang w:val="en-US" w:eastAsia="zh-CN"/>
              </w:rPr>
              <w:t>为重点，发展以创意设计、软件信息、数字内容为主导产业的楼宇经济产业园，依托环球大厦、投资大厦、新干线大厦、市设计院办公楼等重点楼宇，打造一批设计咨询、互联网产业、数字经济特色产业楼宇。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b/>
                <w:bCs/>
                <w:color w:val="000000"/>
                <w:kern w:val="0"/>
                <w:sz w:val="22"/>
                <w:szCs w:val="22"/>
                <w:u w:val="none"/>
                <w:lang w:val="en-US" w:eastAsia="zh-CN"/>
              </w:rPr>
              <w:t>四是</w:t>
            </w:r>
            <w:r>
              <w:rPr>
                <w:rFonts w:hint="default" w:ascii="Times New Roman" w:hAnsi="Times New Roman" w:eastAsia="方正仿宋_GBK" w:cs="Times New Roman"/>
                <w:color w:val="000000"/>
                <w:kern w:val="0"/>
                <w:sz w:val="22"/>
                <w:szCs w:val="22"/>
                <w:u w:val="none"/>
                <w:lang w:val="en-US" w:eastAsia="zh-CN"/>
              </w:rPr>
              <w:t>以</w:t>
            </w:r>
            <w:r>
              <w:rPr>
                <w:rFonts w:hint="default" w:ascii="Times New Roman" w:hAnsi="Times New Roman" w:eastAsia="方正仿宋_GBK" w:cs="Times New Roman"/>
                <w:i w:val="0"/>
                <w:iCs w:val="0"/>
                <w:color w:val="000000"/>
                <w:kern w:val="0"/>
                <w:sz w:val="22"/>
                <w:szCs w:val="22"/>
                <w:u w:val="none"/>
                <w:lang w:val="en-US" w:eastAsia="zh-CN"/>
              </w:rPr>
              <w:t>大坪商圈为重点，发展以商业商务、特色餐饮、电子商务为主导产业的楼宇经济产业园，依托时代天街、</w:t>
            </w:r>
            <w:r>
              <w:rPr>
                <w:rFonts w:hint="default" w:ascii="Times New Roman" w:hAnsi="Times New Roman" w:eastAsia="方正仿宋_GBK" w:cs="Times New Roman"/>
                <w:color w:val="000000"/>
                <w:kern w:val="0"/>
                <w:sz w:val="22"/>
                <w:szCs w:val="22"/>
                <w:u w:val="none"/>
              </w:rPr>
              <w:t>英利国际、万科锦程</w:t>
            </w:r>
            <w:r>
              <w:rPr>
                <w:rFonts w:hint="default" w:ascii="Times New Roman" w:hAnsi="Times New Roman" w:eastAsia="方正仿宋_GBK" w:cs="Times New Roman"/>
                <w:color w:val="000000"/>
                <w:kern w:val="0"/>
                <w:sz w:val="22"/>
                <w:szCs w:val="22"/>
                <w:u w:val="none"/>
                <w:lang w:val="en-US" w:eastAsia="zh-CN"/>
              </w:rPr>
              <w:t>等重点楼宇，打造一批商务办公、潮流消费、电子商务特色产业楼宇。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color w:val="000000"/>
                <w:kern w:val="0"/>
                <w:sz w:val="22"/>
                <w:szCs w:val="22"/>
                <w:u w:val="none"/>
                <w:lang w:val="en-US" w:eastAsia="zh-CN"/>
              </w:rPr>
            </w:pPr>
            <w:r>
              <w:rPr>
                <w:rFonts w:hint="default" w:ascii="Times New Roman" w:hAnsi="Times New Roman" w:eastAsia="方正仿宋_GBK" w:cs="Times New Roman"/>
                <w:b/>
                <w:bCs/>
                <w:color w:val="000000"/>
                <w:kern w:val="0"/>
                <w:sz w:val="22"/>
                <w:szCs w:val="22"/>
                <w:u w:val="none"/>
                <w:lang w:val="en-US" w:eastAsia="zh-CN"/>
              </w:rPr>
              <w:t>五是</w:t>
            </w:r>
            <w:r>
              <w:rPr>
                <w:rFonts w:hint="default" w:ascii="Times New Roman" w:hAnsi="Times New Roman" w:eastAsia="方正仿宋_GBK" w:cs="Times New Roman"/>
                <w:color w:val="000000"/>
                <w:kern w:val="0"/>
                <w:sz w:val="22"/>
                <w:szCs w:val="22"/>
                <w:u w:val="none"/>
                <w:lang w:val="en-US" w:eastAsia="zh-CN"/>
              </w:rPr>
              <w:t>以</w:t>
            </w:r>
            <w:r>
              <w:rPr>
                <w:rFonts w:hint="default" w:ascii="Times New Roman" w:hAnsi="Times New Roman" w:eastAsia="方正仿宋_GBK" w:cs="Times New Roman"/>
                <w:color w:val="000000"/>
                <w:kern w:val="0"/>
                <w:sz w:val="22"/>
                <w:szCs w:val="22"/>
                <w:u w:val="none"/>
              </w:rPr>
              <w:t>环重医大健康产业园</w:t>
            </w:r>
            <w:r>
              <w:rPr>
                <w:rFonts w:hint="default" w:ascii="Times New Roman" w:hAnsi="Times New Roman" w:eastAsia="方正仿宋_GBK" w:cs="Times New Roman"/>
                <w:color w:val="000000"/>
                <w:kern w:val="0"/>
                <w:sz w:val="22"/>
                <w:szCs w:val="22"/>
                <w:u w:val="none"/>
                <w:lang w:val="en-US" w:eastAsia="zh-CN"/>
              </w:rPr>
              <w:t>为重点，发展以医药贸易、技术研发、健康咨询服务为主导产业的楼宇经济产业园，依托华医大厦、联通大厦、重医附一院等重点楼宇，打造一批</w:t>
            </w:r>
            <w:r>
              <w:rPr>
                <w:rFonts w:hint="default" w:ascii="Times New Roman" w:hAnsi="Times New Roman" w:eastAsia="方正仿宋_GBK" w:cs="Times New Roman"/>
                <w:color w:val="000000"/>
                <w:kern w:val="0"/>
                <w:sz w:val="22"/>
                <w:szCs w:val="22"/>
                <w:u w:val="none"/>
              </w:rPr>
              <w:t>产学研用</w:t>
            </w:r>
            <w:r>
              <w:rPr>
                <w:rFonts w:hint="default" w:ascii="Times New Roman" w:hAnsi="Times New Roman" w:eastAsia="方正仿宋_GBK" w:cs="Times New Roman"/>
                <w:color w:val="000000"/>
                <w:kern w:val="0"/>
                <w:sz w:val="22"/>
                <w:szCs w:val="22"/>
                <w:u w:val="none"/>
                <w:lang w:eastAsia="zh-CN"/>
              </w:rPr>
              <w:t>、</w:t>
            </w:r>
            <w:r>
              <w:rPr>
                <w:rFonts w:hint="default" w:ascii="Times New Roman" w:hAnsi="Times New Roman" w:eastAsia="方正仿宋_GBK" w:cs="Times New Roman"/>
                <w:color w:val="000000"/>
                <w:kern w:val="0"/>
                <w:sz w:val="22"/>
                <w:szCs w:val="22"/>
                <w:u w:val="none"/>
                <w:lang w:val="en-US" w:eastAsia="zh-CN"/>
              </w:rPr>
              <w:t>医药贸易、健康服务特色产业楼宇。</w:t>
            </w:r>
          </w:p>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leftChars="0"/>
              <w:jc w:val="both"/>
              <w:textAlignment w:val="center"/>
              <w:rPr>
                <w:rFonts w:hint="default" w:ascii="Times New Roman" w:hAnsi="Times New Roman" w:eastAsia="方正仿宋_GBK" w:cs="Times New Roman"/>
                <w:i w:val="0"/>
                <w:iCs w:val="0"/>
                <w:color w:val="000000"/>
                <w:kern w:val="0"/>
                <w:sz w:val="22"/>
                <w:szCs w:val="22"/>
                <w:u w:val="none"/>
                <w:lang w:val="en-US" w:eastAsia="zh-CN"/>
              </w:rPr>
            </w:pPr>
            <w:r>
              <w:rPr>
                <w:rFonts w:hint="default" w:ascii="Times New Roman" w:hAnsi="Times New Roman" w:eastAsia="方正仿宋_GBK" w:cs="Times New Roman"/>
                <w:b/>
                <w:bCs/>
                <w:i w:val="0"/>
                <w:iCs w:val="0"/>
                <w:color w:val="000000"/>
                <w:kern w:val="0"/>
                <w:sz w:val="22"/>
                <w:szCs w:val="22"/>
                <w:u w:val="none"/>
                <w:lang w:val="en-US" w:eastAsia="zh-CN"/>
              </w:rPr>
              <w:t>六是</w:t>
            </w:r>
            <w:r>
              <w:rPr>
                <w:rFonts w:hint="default" w:ascii="Times New Roman" w:hAnsi="Times New Roman" w:eastAsia="方正仿宋_GBK" w:cs="Times New Roman"/>
                <w:b w:val="0"/>
                <w:bCs w:val="0"/>
                <w:i w:val="0"/>
                <w:iCs w:val="0"/>
                <w:color w:val="000000"/>
                <w:kern w:val="0"/>
                <w:sz w:val="22"/>
                <w:szCs w:val="22"/>
                <w:u w:val="none"/>
                <w:lang w:val="en-US" w:eastAsia="zh-CN"/>
              </w:rPr>
              <w:t>以</w:t>
            </w:r>
            <w:r>
              <w:rPr>
                <w:rFonts w:hint="default" w:ascii="Times New Roman" w:hAnsi="Times New Roman" w:eastAsia="方正仿宋_GBK" w:cs="Times New Roman"/>
                <w:i w:val="0"/>
                <w:iCs w:val="0"/>
                <w:color w:val="000000"/>
                <w:kern w:val="0"/>
                <w:sz w:val="22"/>
                <w:szCs w:val="22"/>
                <w:u w:val="none"/>
                <w:lang w:val="en-US" w:eastAsia="zh-CN"/>
              </w:rPr>
              <w:t>菜园坝滨江新城为重点，加快推动重庆高铁站建设，规划建设以现代物流、总部办公为主导产业的高品质载体，打造一批物流总部、现代楼宇工业、总部贸易产业特色楼宇。</w:t>
            </w:r>
          </w:p>
        </w:tc>
      </w:tr>
    </w:tbl>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二是建立评价体系促规范。</w:t>
      </w:r>
      <w:r>
        <w:rPr>
          <w:rFonts w:hint="default" w:ascii="Times New Roman" w:hAnsi="Times New Roman" w:eastAsia="方正仿宋_GBK" w:cs="Times New Roman"/>
          <w:b w:val="0"/>
          <w:bCs w:val="0"/>
          <w:sz w:val="32"/>
          <w:szCs w:val="32"/>
          <w:lang w:val="en-US" w:eastAsia="zh-CN"/>
        </w:rPr>
        <w:t>结合渝中实际和发展需要，建立</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楼均论英雄</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评价体系，按照商务楼宇、商业楼宇、专业市场3种类别，从楼宇入驻率、税收收入、营业收入、特色产业、统一运营、租金水平、能耗水平、党建引领8个维度构建指标评价体系，率先在全区1000万元税收以上楼宇开展先行先试，科学评价楼宇经济发展质效。</w:t>
      </w:r>
      <w:r>
        <w:rPr>
          <w:rFonts w:hint="default" w:ascii="Times New Roman" w:hAnsi="Times New Roman" w:eastAsia="方正楷体_GBK" w:cs="Times New Roman"/>
          <w:sz w:val="32"/>
          <w:szCs w:val="32"/>
          <w:lang w:val="en-US" w:eastAsia="zh-CN"/>
        </w:rPr>
        <w:t>（牵头单位：区发展改革委、区住房城市建委、区统计局、区税务局、区市场监管局）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楷体_GBK" w:cs="Times New Roman"/>
          <w:spacing w:val="-6"/>
          <w:sz w:val="32"/>
          <w:szCs w:val="32"/>
          <w:lang w:val="en-US" w:eastAsia="zh-CN"/>
        </w:rPr>
      </w:pPr>
      <w:r>
        <w:rPr>
          <w:rFonts w:hint="default" w:ascii="Times New Roman" w:hAnsi="Times New Roman" w:eastAsia="方正仿宋_GBK" w:cs="Times New Roman"/>
          <w:b/>
          <w:bCs/>
          <w:sz w:val="32"/>
          <w:szCs w:val="32"/>
          <w:lang w:val="en-US" w:eastAsia="zh-CN"/>
        </w:rPr>
        <w:t>三是优化工作机制提效能。</w:t>
      </w:r>
      <w:r>
        <w:rPr>
          <w:rFonts w:hint="default" w:ascii="Times New Roman" w:hAnsi="Times New Roman" w:eastAsia="方正仿宋_GBK" w:cs="Times New Roman"/>
          <w:b w:val="0"/>
          <w:bCs w:val="0"/>
          <w:sz w:val="32"/>
          <w:szCs w:val="32"/>
          <w:lang w:val="en-US" w:eastAsia="zh-CN"/>
        </w:rPr>
        <w:t>构建政府层面：工作专班、管委会、街道、部门的</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1+4+11+N</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联动工作格局，加快规划制定、政策优化、楼宇招商、服务提质等工作进度；构建社会组织层面：发动相关商协会，以楼宇为单元组建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楼宇经济发展联盟</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，积极推动联盟成员扩面增效、制订行业标准、共同搭建服务平台等工作；构建市场层面：楼宇经营（运营）主体与政府沟通交流机制，按照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市场主导、政府引导</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原则，推动</w:t>
      </w:r>
      <w:r>
        <w:rPr>
          <w:rFonts w:hint="default" w:ascii="Times New Roman" w:hAnsi="Times New Roman" w:eastAsia="方正仿宋_GBK" w:cs="Times New Roman"/>
          <w:sz w:val="32"/>
          <w:szCs w:val="32"/>
          <w:lang w:val="en-US" w:eastAsia="zh-CN"/>
        </w:rPr>
        <w:t>信息共享、政策直达</w:t>
      </w:r>
      <w:r>
        <w:rPr>
          <w:rFonts w:hint="default" w:ascii="Times New Roman" w:hAnsi="Times New Roman" w:eastAsia="方正仿宋_GBK" w:cs="Times New Roman"/>
          <w:b w:val="0"/>
          <w:bCs w:val="0"/>
          <w:sz w:val="32"/>
          <w:szCs w:val="32"/>
          <w:lang w:val="en-US" w:eastAsia="zh-CN"/>
        </w:rPr>
        <w:t>，引导入驻业态与楼宇规划同向发力。</w:t>
      </w:r>
      <w:r>
        <w:rPr>
          <w:rFonts w:hint="default" w:ascii="Times New Roman" w:hAnsi="Times New Roman" w:eastAsia="方正楷体_GBK" w:cs="Times New Roman"/>
          <w:sz w:val="32"/>
          <w:szCs w:val="32"/>
          <w:lang w:val="en-US" w:eastAsia="zh-CN"/>
        </w:rPr>
        <w:t>（牵</w:t>
      </w:r>
      <w:r>
        <w:rPr>
          <w:rFonts w:hint="default" w:ascii="Times New Roman" w:hAnsi="Times New Roman" w:eastAsia="方正楷体_GBK" w:cs="Times New Roman"/>
          <w:spacing w:val="-6"/>
          <w:sz w:val="32"/>
          <w:szCs w:val="32"/>
          <w:lang w:val="en-US" w:eastAsia="zh-CN"/>
        </w:rPr>
        <w:t>头单位：区发展改革委、区经济信息委、各管委会及街道办事处）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（二）拓展发展载体，打造楼宇经济</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渝中空间</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outlineLvl w:val="2"/>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一是紧抓新建楼宇扩增量。</w:t>
      </w:r>
      <w:r>
        <w:rPr>
          <w:rFonts w:hint="default" w:ascii="Times New Roman" w:hAnsi="Times New Roman" w:eastAsia="方正仿宋_GBK" w:cs="Times New Roman"/>
          <w:b w:val="0"/>
          <w:bCs w:val="0"/>
          <w:sz w:val="32"/>
          <w:szCs w:val="32"/>
          <w:lang w:val="en-US" w:eastAsia="zh-CN"/>
        </w:rPr>
        <w:t>加快新华时尚城、陆海国际中心、挑花刺绣厂等重点项目建设进度，建立以产业运营商为核心的用地配置和开发建设机制，科学设定销售单元，控制散售型物业的房地产开发模式。加速长滨沿线、中山三路、大坪正街等项目前期策划工作，结合产业规划，谋划打造一批总部经济、现代金融、专业服务特色产业楼宇。聚焦区内重庆塔、恒大解放碑中心、协和城等</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两久</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项目，组建工作专班，拟订工作计划、处置措施及具体时间表，打表推进项目处置工作。</w:t>
      </w:r>
      <w:r>
        <w:rPr>
          <w:rFonts w:hint="default" w:ascii="Times New Roman" w:hAnsi="Times New Roman" w:eastAsia="方正楷体_GBK" w:cs="Times New Roman"/>
          <w:sz w:val="32"/>
          <w:szCs w:val="32"/>
          <w:lang w:val="en-US" w:eastAsia="zh-CN"/>
        </w:rPr>
        <w:t>（牵头单位：区住房城市建委、区规划自然资源局，责任单位：各管委会及街道办事处）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二是改造老旧楼宇优存量。</w:t>
      </w:r>
      <w:r>
        <w:rPr>
          <w:rFonts w:hint="default" w:ascii="Times New Roman" w:hAnsi="Times New Roman" w:eastAsia="方正仿宋_GBK" w:cs="Times New Roman"/>
          <w:sz w:val="32"/>
          <w:szCs w:val="32"/>
          <w:lang w:val="en-US" w:eastAsia="zh-CN"/>
        </w:rPr>
        <w:t>梳理重点楼宇改造清单，推动绿色化、智能化改造，注重科技与数字技术、环保理念与材料的植入应用，围绕停车、通行、环境、安防、管理等场景，积极引导符合条件、有改造意愿的邹容广场、大都会东方广场、环球大厦等建成时间长、产出效益高的楼宇</w:t>
      </w:r>
      <w:r>
        <w:rPr>
          <w:rFonts w:hint="default" w:ascii="Times New Roman" w:hAnsi="Times New Roman" w:eastAsia="方正仿宋_GBK" w:cs="Times New Roman"/>
          <w:b w:val="0"/>
          <w:bCs w:val="0"/>
          <w:sz w:val="32"/>
          <w:szCs w:val="32"/>
          <w:lang w:val="en-US" w:eastAsia="zh-CN"/>
        </w:rPr>
        <w:t>结合产业规划和市场需求率先开展改造升级，给予适当奖补，原则上</w:t>
      </w:r>
      <w:r>
        <w:rPr>
          <w:rFonts w:hint="default" w:ascii="Times New Roman" w:hAnsi="Times New Roman" w:eastAsia="方正仿宋_GBK" w:cs="Times New Roman"/>
          <w:sz w:val="32"/>
          <w:szCs w:val="32"/>
          <w:lang w:val="en-US" w:eastAsia="zh-CN"/>
        </w:rPr>
        <w:t>每年集中力量支持3-5栋重点楼宇；围绕医疗器械、生物医药等先进制造业细分领域，推动红旗工业楼宇等老旧工业厂房改造升级，引导晶美义齿、重医等企事业单位探索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工业上楼</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（牵头单位：区发展改革委、区住房城市建委，责任单位：区经济信息委、区国资委、区规划自然资源局、各管委会及街道办事处）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三是盘活闲置楼宇提质量。</w:t>
      </w:r>
      <w:r>
        <w:rPr>
          <w:rFonts w:hint="default" w:ascii="Times New Roman" w:hAnsi="Times New Roman" w:eastAsia="方正仿宋_GBK" w:cs="Times New Roman"/>
          <w:b w:val="0"/>
          <w:bCs w:val="0"/>
          <w:sz w:val="32"/>
          <w:szCs w:val="32"/>
          <w:lang w:val="en-US" w:eastAsia="zh-CN"/>
        </w:rPr>
        <w:t>选取复星国际、地王广场、交行大厦等地理位置优越、企业入驻率低的重点楼宇，</w:t>
      </w:r>
      <w:r>
        <w:rPr>
          <w:rFonts w:hint="default" w:ascii="Times New Roman" w:hAnsi="Times New Roman" w:eastAsia="方正仿宋_GBK" w:cs="Times New Roman"/>
          <w:sz w:val="32"/>
          <w:szCs w:val="32"/>
          <w:lang w:val="en-US" w:eastAsia="zh-CN"/>
        </w:rPr>
        <w:t>明晰楼宇产业定位，逐栋梳理关键难点卡点，围绕降低楼宇空置率、提升招商落地率、增强纳税贡献率三大重点，政府、协会、产权方（运营方）三方联动，科学制定盘活方案，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一楼一策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推动楼宇焕新升级。</w:t>
      </w:r>
      <w:r>
        <w:rPr>
          <w:rFonts w:hint="default" w:ascii="Times New Roman" w:hAnsi="Times New Roman" w:eastAsia="方正楷体_GBK" w:cs="Times New Roman"/>
          <w:sz w:val="32"/>
          <w:szCs w:val="32"/>
          <w:lang w:val="en-US" w:eastAsia="zh-CN"/>
        </w:rPr>
        <w:t>（牵头单位：各管委会，责任单位：区国资委、区住房城市建委、区发展改革委、区规划自然资源局，各街道办事处，各区属国有企业）</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（三）培育标杆楼宇，体现楼宇经济</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渝中质量</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一是稳级提质楼宇税收贡献。</w:t>
      </w:r>
      <w:r>
        <w:rPr>
          <w:rFonts w:hint="default" w:ascii="Times New Roman" w:hAnsi="Times New Roman" w:eastAsia="方正仿宋_GBK" w:cs="Times New Roman"/>
          <w:b w:val="0"/>
          <w:bCs w:val="0"/>
          <w:sz w:val="32"/>
          <w:szCs w:val="32"/>
          <w:lang w:val="en-US" w:eastAsia="zh-CN"/>
        </w:rPr>
        <w:t>实施重点税收楼宇梯度培育计划，推动1000万元级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潜力楼宇</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加速壮大、新增10栋</w:t>
      </w:r>
      <w:r>
        <w:rPr>
          <w:rFonts w:hint="default" w:ascii="Times New Roman" w:hAnsi="Times New Roman" w:eastAsia="方正仿宋_GBK" w:cs="Times New Roman"/>
          <w:sz w:val="32"/>
          <w:szCs w:val="32"/>
          <w:lang w:val="en-US" w:eastAsia="zh-CN"/>
        </w:rPr>
        <w:t>，5000万级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高产楼宇</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提级增效、新增10栋</w:t>
      </w:r>
      <w:r>
        <w:rPr>
          <w:rFonts w:hint="default" w:ascii="Times New Roman" w:hAnsi="Times New Roman" w:eastAsia="方正仿宋_GBK" w:cs="Times New Roman"/>
          <w:sz w:val="32"/>
          <w:szCs w:val="32"/>
          <w:lang w:val="en-US" w:eastAsia="zh-CN"/>
        </w:rPr>
        <w:t>，8000</w:t>
      </w:r>
      <w:r>
        <w:rPr>
          <w:rFonts w:hint="default" w:ascii="Times New Roman" w:hAnsi="Times New Roman" w:eastAsia="方正仿宋_GBK" w:cs="Times New Roman"/>
          <w:b w:val="0"/>
          <w:bCs w:val="0"/>
          <w:sz w:val="32"/>
          <w:szCs w:val="32"/>
          <w:lang w:val="en-US" w:eastAsia="zh-CN"/>
        </w:rPr>
        <w:t>万级</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准亿元楼宇</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加快晋级、新增8栋，</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亿元楼宇</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稳级提效、新增6栋。积极做好协税护税，开展未注册、未登记、未纳税企业的清查，完善税源监控机制，加强税源预测分析，掌握重点税源变化情况，强化纳税服务，确保楼宇税收应收尽收。</w:t>
      </w:r>
      <w:r>
        <w:rPr>
          <w:rFonts w:hint="default" w:ascii="Times New Roman" w:hAnsi="Times New Roman" w:eastAsia="方正楷体_GBK" w:cs="Times New Roman"/>
          <w:sz w:val="32"/>
          <w:szCs w:val="32"/>
          <w:lang w:val="en-US" w:eastAsia="zh-CN"/>
        </w:rPr>
        <w:t>（牵头单位：区发展改革委、区财政局，责任单位：各管委会及街</w:t>
      </w:r>
      <w:r>
        <w:rPr>
          <w:rFonts w:hint="default" w:ascii="Times New Roman" w:hAnsi="Times New Roman" w:eastAsia="方正楷体_GBK" w:cs="Times New Roman"/>
          <w:spacing w:val="-6"/>
          <w:sz w:val="32"/>
          <w:szCs w:val="32"/>
          <w:lang w:val="en-US" w:eastAsia="zh-CN"/>
        </w:rPr>
        <w:t>道办事处、区经济信息委、区统计局、区税务局、区市场监管局）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二是管理提升楼宇整体品质。</w:t>
      </w:r>
      <w:r>
        <w:rPr>
          <w:rFonts w:hint="default" w:ascii="Times New Roman" w:hAnsi="Times New Roman" w:eastAsia="方正仿宋_GBK" w:cs="Times New Roman"/>
          <w:b w:val="0"/>
          <w:bCs w:val="0"/>
          <w:sz w:val="32"/>
          <w:szCs w:val="32"/>
          <w:lang w:val="en-US" w:eastAsia="zh-CN"/>
        </w:rPr>
        <w:t>鼓励有实力的楼宇开发商、运营商自持楼宇，确保经营的整体性和业态的一致性。</w:t>
      </w:r>
      <w:r>
        <w:rPr>
          <w:rFonts w:hint="default" w:ascii="Times New Roman" w:hAnsi="Times New Roman" w:eastAsia="方正仿宋_GBK" w:cs="Times New Roman"/>
          <w:sz w:val="32"/>
          <w:szCs w:val="32"/>
          <w:lang w:val="en-US" w:eastAsia="zh-CN"/>
        </w:rPr>
        <w:t>鼓励业主方委托国内外知名专业化服务运营机构运营楼宇，</w:t>
      </w:r>
      <w:r>
        <w:rPr>
          <w:rFonts w:hint="default" w:ascii="Times New Roman" w:hAnsi="Times New Roman" w:eastAsia="方正仿宋_GBK" w:cs="Times New Roman"/>
          <w:b w:val="0"/>
          <w:bCs w:val="0"/>
          <w:sz w:val="32"/>
          <w:szCs w:val="32"/>
          <w:lang w:val="en-US" w:eastAsia="zh-CN"/>
        </w:rPr>
        <w:t>建立智慧化管理服务平台，实现企业入驻、租金收取、物业管理等功能便利化、智慧化、可视化，</w:t>
      </w:r>
      <w:r>
        <w:rPr>
          <w:rFonts w:hint="default" w:ascii="Times New Roman" w:hAnsi="Times New Roman" w:eastAsia="方正仿宋_GBK" w:cs="Times New Roman"/>
          <w:sz w:val="32"/>
          <w:szCs w:val="32"/>
          <w:lang w:val="en-US" w:eastAsia="zh-CN"/>
        </w:rPr>
        <w:t>提升楼宇服务能级。制订商务楼宇标准化评定办法，每年评定一批超甲级、甲级楼宇，加大对获评楼宇宣传和支持力度，引导楼宇向品牌化、标准化、专业化发展。支持</w:t>
      </w:r>
      <w:r>
        <w:rPr>
          <w:rFonts w:hint="default" w:ascii="Times New Roman" w:hAnsi="Times New Roman" w:eastAsia="方正仿宋_GBK" w:cs="Times New Roman"/>
          <w:color w:val="auto"/>
          <w:sz w:val="32"/>
          <w:szCs w:val="32"/>
          <w:lang w:val="en-US" w:eastAsia="zh-CN"/>
        </w:rPr>
        <w:t>楼宇开发商或运营商主动对接参与LEED、WELL、绿色建筑评价标准等国际认证评级，</w:t>
      </w:r>
      <w:r>
        <w:rPr>
          <w:rFonts w:hint="default" w:ascii="Times New Roman" w:hAnsi="Times New Roman" w:eastAsia="方正仿宋_GBK" w:cs="Times New Roman"/>
          <w:sz w:val="32"/>
          <w:szCs w:val="32"/>
          <w:lang w:val="en-US" w:eastAsia="zh-CN"/>
        </w:rPr>
        <w:t>打造品质化楼宇绿色生态空间，降低楼宇运行成本。</w:t>
      </w:r>
      <w:r>
        <w:rPr>
          <w:rFonts w:hint="default" w:ascii="Times New Roman" w:hAnsi="Times New Roman" w:eastAsia="方正楷体_GBK" w:cs="Times New Roman"/>
          <w:sz w:val="32"/>
          <w:szCs w:val="32"/>
          <w:lang w:val="en-US" w:eastAsia="zh-CN"/>
        </w:rPr>
        <w:t>（牵头单位：区发展改革委、区住房城市建委，责任单位：区财政局、区国资委、各行业主管部门，各管委会及街道办事处）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三是创新开展楼宇稳育招升。</w:t>
      </w:r>
      <w:r>
        <w:rPr>
          <w:rFonts w:hint="default" w:ascii="Times New Roman" w:hAnsi="Times New Roman" w:eastAsia="方正仿宋_GBK" w:cs="Times New Roman"/>
          <w:b w:val="0"/>
          <w:bCs w:val="0"/>
          <w:sz w:val="32"/>
          <w:szCs w:val="32"/>
          <w:lang w:val="en-US" w:eastAsia="zh-CN"/>
        </w:rPr>
        <w:t>健全招商机制，采用市场化、专业化和社会化运作方式，围绕产业规划和楼宇定位，绘制楼宇招商图谱，建立</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管委会—行业主管部门—楼宇业主（运营单位）—专业团队</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联动招商机制，加强楼宇招商项目整体包装策划，定期组织楼宇招商专项推介会，努力引进目标企业入驻，确保精准招商、高效招商。深化实施楼宇联系服务机制，强化入驻企业清查、监测、对接，大力推动区外注册企业登记注册关系属地化，有效提升入驻企业注册率、贡献度。全力推动</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个转企、企变总</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，支持平台企业、总部企业、领军企业发挥优势，集聚上下游、左右岸关联企业，做大楼宇整体营收规模和产出规模。</w:t>
      </w:r>
      <w:r>
        <w:rPr>
          <w:rFonts w:hint="default" w:ascii="Times New Roman" w:hAnsi="Times New Roman" w:eastAsia="方正楷体_GBK" w:cs="Times New Roman"/>
          <w:sz w:val="32"/>
          <w:szCs w:val="32"/>
          <w:lang w:val="en-US" w:eastAsia="zh-CN"/>
        </w:rPr>
        <w:t>（牵头单位：各管委会，责任单位：区经济信息委，各行业主管部门）</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四是聚力打造楼宇产业特色。</w:t>
      </w:r>
      <w:r>
        <w:rPr>
          <w:rFonts w:hint="default" w:ascii="Times New Roman" w:hAnsi="Times New Roman" w:eastAsia="方正仿宋_GBK" w:cs="Times New Roman"/>
          <w:sz w:val="32"/>
          <w:szCs w:val="32"/>
          <w:lang w:val="en-US" w:eastAsia="zh-CN"/>
        </w:rPr>
        <w:t>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一栋楼宇就是一个产业园区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理念，围绕全区楼宇产业规划，制订</w:t>
      </w:r>
      <w:r>
        <w:rPr>
          <w:rFonts w:hint="default" w:ascii="Times New Roman" w:hAnsi="Times New Roman" w:eastAsia="方正仿宋_GBK" w:cs="Times New Roman"/>
          <w:color w:val="auto"/>
          <w:sz w:val="32"/>
          <w:szCs w:val="32"/>
          <w:lang w:val="en-US" w:eastAsia="zh-CN"/>
        </w:rPr>
        <w:t>特色楼宇认定办法</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因楼制宜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引导全区楼宇错位发展、特色经营，避免同质化竞争</w:t>
      </w:r>
      <w:r>
        <w:rPr>
          <w:rFonts w:hint="default" w:ascii="Times New Roman" w:hAnsi="Times New Roman" w:eastAsia="方正仿宋_GBK" w:cs="Times New Roman"/>
          <w:color w:val="auto"/>
          <w:sz w:val="32"/>
          <w:szCs w:val="32"/>
          <w:lang w:val="en-US" w:eastAsia="zh-CN"/>
        </w:rPr>
        <w:t>。按照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楼宇有定位、招商有方向、产业有集聚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思路，重点打造以平安金融中心、协信SFC等为重点的金融产业楼宇集群，以重庆村1号、远见中心等为重点的电商产业楼宇集群，以环球金融中心、中冶赛迪大厦等为重点的专业服务产业楼宇集群；以印制一厂二厂、挑花刺绣厂等为重点的文创产业楼宇集群；以环球大厦、总部城为重点的软信产业楼宇集群，力争每年打造产业特色楼宇5栋以上。</w:t>
      </w:r>
      <w:r>
        <w:rPr>
          <w:rFonts w:hint="default" w:ascii="Times New Roman" w:hAnsi="Times New Roman" w:eastAsia="方正楷体_GBK" w:cs="Times New Roman"/>
          <w:sz w:val="32"/>
          <w:szCs w:val="32"/>
          <w:lang w:val="en-US" w:eastAsia="zh-CN"/>
        </w:rPr>
        <w:t>（牵头单位：各行业主管部门，各管委会，责任单位：区经济信息委、区发展改革委、区财政局）</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（四）集成扶持政策，优化楼宇经济</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渝中环境</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以</w:t>
      </w:r>
      <w:r>
        <w:rPr>
          <w:rFonts w:hint="default" w:ascii="Times New Roman" w:hAnsi="Times New Roman" w:eastAsia="方正仿宋_GBK" w:cs="Times New Roman"/>
          <w:sz w:val="32"/>
          <w:szCs w:val="32"/>
          <w:lang w:val="en-US" w:eastAsia="zh-CN"/>
        </w:rPr>
        <w:t>载体更新盘活为抓手，围绕</w:t>
      </w:r>
      <w:r>
        <w:rPr>
          <w:rFonts w:hint="default" w:ascii="Times New Roman" w:hAnsi="Times New Roman" w:eastAsia="方正仿宋_GBK" w:cs="Times New Roman"/>
          <w:color w:val="auto"/>
          <w:sz w:val="32"/>
          <w:szCs w:val="32"/>
          <w:lang w:val="en-US" w:eastAsia="zh-CN"/>
        </w:rPr>
        <w:t>楼宇实施公共部位、共用设施设备和智慧化改造更新给予补贴支持。以</w:t>
      </w:r>
      <w:r>
        <w:rPr>
          <w:rFonts w:hint="default" w:ascii="Times New Roman" w:hAnsi="Times New Roman" w:eastAsia="方正仿宋_GBK" w:cs="Times New Roman"/>
          <w:b w:val="0"/>
          <w:bCs w:val="0"/>
          <w:color w:val="auto"/>
          <w:sz w:val="32"/>
          <w:szCs w:val="32"/>
          <w:lang w:val="en-US" w:eastAsia="zh-CN"/>
        </w:rPr>
        <w:t>整合</w:t>
      </w:r>
      <w:r>
        <w:rPr>
          <w:rFonts w:hint="default" w:ascii="Times New Roman" w:hAnsi="Times New Roman" w:eastAsia="方正仿宋_GBK" w:cs="Times New Roman"/>
          <w:b w:val="0"/>
          <w:bCs w:val="0"/>
          <w:color w:val="auto"/>
          <w:sz w:val="32"/>
          <w:szCs w:val="32"/>
          <w:lang w:val="en-US" w:eastAsia="zh-CN"/>
        </w:rPr>
        <w:tab/>
      </w:r>
      <w:r>
        <w:rPr>
          <w:rFonts w:hint="default" w:ascii="Times New Roman" w:hAnsi="Times New Roman" w:eastAsia="方正仿宋_GBK" w:cs="Times New Roman"/>
          <w:b w:val="0"/>
          <w:bCs w:val="0"/>
          <w:color w:val="auto"/>
          <w:sz w:val="32"/>
          <w:szCs w:val="32"/>
          <w:lang w:val="en-US" w:eastAsia="zh-CN"/>
        </w:rPr>
        <w:t>分散产权为目的，鼓励楼宇开发商或运营管理公司加大楼宇统一运营力度，对自持比例超50%的楼宇给予一定的支持。以提升经济效益为核心，对首次获评</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亿元楼宇</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和</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高产楼宇</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的给予不同扶持奖励。以打造专业特色楼宇为亮点，引导楼宇加速集聚特色产业企业，对产业聚集度高于50%以上的楼宇给予认定和支持。以提升楼宇品质为导向，开展</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超甲级</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甲级</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商务楼宇评定，鼓励楼宇积极参与LEED、WELL等国际认证，按获评等级给予鼓励。</w:t>
      </w:r>
      <w:r>
        <w:rPr>
          <w:rFonts w:hint="default" w:ascii="Times New Roman" w:hAnsi="Times New Roman" w:eastAsia="方正楷体_GBK" w:cs="Times New Roman"/>
          <w:b w:val="0"/>
          <w:bCs w:val="0"/>
          <w:color w:val="auto"/>
          <w:sz w:val="32"/>
          <w:szCs w:val="32"/>
          <w:lang w:val="en-US" w:eastAsia="zh-CN"/>
        </w:rPr>
        <w:t>（牵头单位：区发展改革委、区住房城市建委，责任单位：区财政局、区税务局、各管委会）</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（五）完善服务配套，树立楼宇经济</w:t>
      </w:r>
      <w:r>
        <w:rPr>
          <w:rFonts w:hint="eastAsia"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渝中样板</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一是坚持党建引领建阵地。</w:t>
      </w:r>
      <w:r>
        <w:rPr>
          <w:rFonts w:hint="default" w:ascii="Times New Roman" w:hAnsi="Times New Roman" w:eastAsia="方正仿宋_GBK" w:cs="Times New Roman"/>
          <w:sz w:val="32"/>
          <w:szCs w:val="32"/>
          <w:lang w:val="en-US" w:eastAsia="zh-CN"/>
        </w:rPr>
        <w:t>开展党建进楼宇工程，推动楼宇党组织建设，依托楼宇运营主体、入驻龙头骨干企业党组织，打造楼宇党建共同体，扩大楼宇党建工作覆盖面。深化楼宇组织阵地建设，指导楼宇企业成立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党建联盟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，开展互学互访、共学共建等活动，培育党建引领楼宇运营服务示范点。搭建政府部门与楼宇产权主体、运营主体、物业服务企业、中介咨询机构、研究机构等沟通交流平台，</w:t>
      </w:r>
      <w:r>
        <w:rPr>
          <w:rFonts w:hint="default" w:ascii="Times New Roman" w:hAnsi="Times New Roman" w:eastAsia="方正仿宋_GBK" w:cs="Times New Roman"/>
          <w:b w:val="0"/>
          <w:bCs w:val="0"/>
          <w:sz w:val="32"/>
          <w:szCs w:val="32"/>
          <w:lang w:val="en-US" w:eastAsia="zh-CN"/>
        </w:rPr>
        <w:t>强化楼促会等楼宇社会组织作用，</w:t>
      </w:r>
      <w:r>
        <w:rPr>
          <w:rFonts w:hint="default" w:ascii="Times New Roman" w:hAnsi="Times New Roman" w:eastAsia="方正仿宋_GBK" w:cs="Times New Roman"/>
          <w:sz w:val="32"/>
          <w:szCs w:val="32"/>
          <w:lang w:val="en-US" w:eastAsia="zh-CN"/>
        </w:rPr>
        <w:t>在产业升级、精细管理、标准制定、楼宇党建等方面贡献社会力量。</w:t>
      </w:r>
      <w:r>
        <w:rPr>
          <w:rFonts w:hint="default" w:ascii="Times New Roman" w:hAnsi="Times New Roman" w:eastAsia="方正楷体_GBK" w:cs="Times New Roman"/>
          <w:sz w:val="32"/>
          <w:szCs w:val="32"/>
          <w:lang w:val="en-US" w:eastAsia="zh-CN"/>
        </w:rPr>
        <w:t>（牵头单位：区委组织部、区发展改革委、区工商联，责任单位：各管委会及街道办事处）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二是提升营商环境优服务。</w:t>
      </w:r>
      <w:r>
        <w:rPr>
          <w:rFonts w:hint="default" w:ascii="Times New Roman" w:hAnsi="Times New Roman" w:eastAsia="方正仿宋_GBK" w:cs="Times New Roman"/>
          <w:sz w:val="32"/>
          <w:szCs w:val="32"/>
          <w:lang w:val="en-US" w:eastAsia="zh-CN"/>
        </w:rPr>
        <w:t>实施政务服务进楼宇工程，推动集执照打印、缴税自助、政务服务等功能于一体的智能终端设备进驻楼宇，实现重点商务商业楼宇政务智能终端系统全覆盖，真正做到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办事不出楼</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。进一步优化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楼宇帮帮团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企业诉求直通车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社区网格员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等楼宇服务体制机制，建立由懂产业、懂市场、懂企业、懂企业家的政府服务专员和楼宇业主代表（或物业服务代表）组建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商代表+楼小二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企业服务平台，为楼宇企业提供政策咨询、注册落地等精准化、全流程、全生命周期商事服务，实现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楼事楼办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楼事楼管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（牵头单位：区发展改革委，责任单位：区政府办，各管委会及街道办事处）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bCs/>
          <w:sz w:val="32"/>
          <w:szCs w:val="32"/>
          <w:lang w:val="en-US" w:eastAsia="zh-CN"/>
        </w:rPr>
        <w:t>三是完善周边配套强支撑。</w:t>
      </w:r>
      <w:r>
        <w:rPr>
          <w:rFonts w:hint="default" w:ascii="Times New Roman" w:hAnsi="Times New Roman" w:eastAsia="方正仿宋_GBK" w:cs="Times New Roman"/>
          <w:b w:val="0"/>
          <w:bCs w:val="0"/>
          <w:sz w:val="32"/>
          <w:szCs w:val="32"/>
          <w:lang w:val="en-US" w:eastAsia="zh-CN"/>
        </w:rPr>
        <w:t>加强重点楼宇周边基础设施建设，优化站点布局、交通组织，提高出行效率。提升酒店餐饮、休闲购物、绿化景观等生活服务配套，加强重点楼宇周边市政设施精细化管理，创造宜居、宜业环境。探索配套咖啡馆、休闲吧等商业业态，打造文化图书角、空中花园等共享休息空间，策划沙龙讲座、运动健身等个性化品牌活动，搭建楼宇生产生活服务平台。</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牵头单位：各管委会，责任单位：区住房城市建委、区交通运输委、区城管局、区公安分局）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1"/>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四、保障措施</w:t>
      </w:r>
      <w:bookmarkStart w:id="6" w:name="_Toc20575"/>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1"/>
        <w:rPr>
          <w:rFonts w:hint="default" w:ascii="Times New Roman" w:hAnsi="Times New Roman" w:eastAsia="方正仿宋_GBK" w:cs="Times New Roman"/>
          <w:bCs w:val="0"/>
          <w:kern w:val="2"/>
          <w:sz w:val="32"/>
          <w:szCs w:val="32"/>
          <w:lang w:val="en-US" w:eastAsia="zh-CN" w:bidi="ar-SA"/>
        </w:rPr>
      </w:pPr>
      <w:r>
        <w:rPr>
          <w:rFonts w:hint="default" w:ascii="Times New Roman" w:hAnsi="Times New Roman" w:eastAsia="方正楷体_GBK" w:cs="Times New Roman"/>
          <w:sz w:val="32"/>
          <w:szCs w:val="32"/>
          <w:lang w:val="en-US" w:eastAsia="zh-CN"/>
        </w:rPr>
        <w:t>（一）强化组织统筹。</w:t>
      </w:r>
      <w:bookmarkEnd w:id="6"/>
      <w:r>
        <w:rPr>
          <w:rFonts w:hint="default" w:ascii="Times New Roman" w:hAnsi="Times New Roman" w:eastAsia="方正仿宋_GBK" w:cs="Times New Roman"/>
          <w:sz w:val="32"/>
          <w:szCs w:val="32"/>
          <w:lang w:val="en-US" w:eastAsia="zh-CN"/>
        </w:rPr>
        <w:t>成立由区政府主要领导为组长的促进楼宇经济高质量发展工作专班，统筹楼宇经济发展规划制定、政策落实、重大问题研究解决等楼宇经济相关工作；工作专班下设办公室，负责工作专班议定事项的贯彻落实；按区域划分建立4个管委会、11个街道和各相关产业部门专项工作小组，共同推进区域内楼宇经济发展，建立楼宇专员机制，强化楼宇对接联系服务</w:t>
      </w:r>
      <w:r>
        <w:rPr>
          <w:rFonts w:hint="default" w:ascii="Times New Roman" w:hAnsi="Times New Roman" w:eastAsia="方正仿宋_GBK" w:cs="Times New Roman"/>
          <w:bCs w:val="0"/>
          <w:kern w:val="2"/>
          <w:sz w:val="32"/>
          <w:szCs w:val="32"/>
          <w:lang w:val="en-US" w:eastAsia="zh-CN" w:bidi="ar-SA"/>
        </w:rPr>
        <w:t>。</w:t>
      </w:r>
    </w:p>
    <w:p>
      <w:pPr>
        <w:pStyle w:val="8"/>
        <w:keepNext w:val="0"/>
        <w:keepLines w:val="0"/>
        <w:pageBreakBefore w:val="0"/>
        <w:widowControl w:val="0"/>
        <w:kinsoku/>
        <w:wordWrap/>
        <w:overflowPunct w:val="0"/>
        <w:topLinePunct w:val="0"/>
        <w:autoSpaceDE/>
        <w:autoSpaceDN/>
        <w:bidi w:val="0"/>
        <w:adjustRightInd/>
        <w:snapToGrid/>
        <w:spacing w:before="0" w:after="0" w:line="620" w:lineRule="exact"/>
        <w:ind w:left="0" w:leftChars="0" w:firstLine="640" w:firstLineChars="200"/>
        <w:jc w:val="both"/>
        <w:textAlignment w:val="auto"/>
        <w:outlineLvl w:val="2"/>
        <w:rPr>
          <w:rFonts w:hint="default" w:ascii="Times New Roman" w:hAnsi="Times New Roman" w:eastAsia="方正仿宋_GBK" w:cs="Times New Roman"/>
          <w:b w:val="0"/>
          <w:bCs w:val="0"/>
          <w:kern w:val="2"/>
          <w:sz w:val="32"/>
          <w:szCs w:val="32"/>
          <w:lang w:val="en-US" w:eastAsia="zh-CN" w:bidi="ar-SA"/>
        </w:rPr>
      </w:pPr>
      <w:bookmarkStart w:id="7" w:name="_Toc11380"/>
      <w:r>
        <w:rPr>
          <w:rFonts w:hint="default" w:ascii="Times New Roman" w:hAnsi="Times New Roman" w:eastAsia="方正楷体_GBK" w:cs="Times New Roman"/>
          <w:b w:val="0"/>
          <w:bCs w:val="0"/>
          <w:kern w:val="2"/>
          <w:sz w:val="32"/>
          <w:szCs w:val="32"/>
          <w:lang w:val="en-US" w:eastAsia="zh-CN" w:bidi="ar-SA"/>
        </w:rPr>
        <w:t>（二）加强评价考核。</w:t>
      </w:r>
      <w:r>
        <w:rPr>
          <w:rFonts w:hint="default" w:ascii="Times New Roman" w:hAnsi="Times New Roman" w:eastAsia="方正仿宋_GBK" w:cs="Times New Roman"/>
          <w:b w:val="0"/>
          <w:bCs w:val="0"/>
          <w:kern w:val="2"/>
          <w:sz w:val="32"/>
          <w:szCs w:val="32"/>
          <w:lang w:val="en-US" w:eastAsia="zh-CN" w:bidi="ar-SA"/>
        </w:rPr>
        <w:t>强化</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楼均论英雄</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评价体系结果运用，定期开展楼宇经济发展情况排名通报。加强楼宇经济监测，编制年度楼宇经济发展报告，建立完善楼宇经济考核制度，将楼宇经济发展质效纳入各管委会、街道、部门年度考核，提升工作主动性、积极性、有效性。</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Cs w:val="0"/>
          <w:kern w:val="2"/>
          <w:sz w:val="32"/>
          <w:szCs w:val="32"/>
          <w:lang w:val="en-US" w:eastAsia="zh-CN" w:bidi="ar-SA"/>
        </w:rPr>
        <w:t>（三）营造良好氛围。</w:t>
      </w:r>
      <w:r>
        <w:rPr>
          <w:rFonts w:hint="default" w:ascii="Times New Roman" w:hAnsi="Times New Roman" w:eastAsia="方正仿宋_GBK" w:cs="Times New Roman"/>
          <w:bCs w:val="0"/>
          <w:kern w:val="2"/>
          <w:sz w:val="32"/>
          <w:szCs w:val="32"/>
          <w:lang w:val="en-US" w:eastAsia="zh-CN" w:bidi="ar-SA"/>
        </w:rPr>
        <w:t>用好各种宣传平台，加强楼宇经济动态信息、活动信息、服务信息、招商信息宣传推广。加强对楼宇经济发展先进地区成功经验和先进做法借鉴学习。</w:t>
      </w:r>
      <w:r>
        <w:rPr>
          <w:rFonts w:hint="default" w:ascii="Times New Roman" w:hAnsi="Times New Roman" w:eastAsia="方正仿宋_GBK" w:cs="Times New Roman"/>
          <w:bCs w:val="0"/>
          <w:sz w:val="32"/>
          <w:szCs w:val="32"/>
          <w:lang w:val="en-US" w:eastAsia="zh-CN"/>
        </w:rPr>
        <w:t>每年定期召开楼宇经济工作大会，评选表彰楼宇经济发展先进单位和优秀楼宇</w:t>
      </w:r>
      <w:r>
        <w:rPr>
          <w:rFonts w:hint="default" w:ascii="Times New Roman" w:hAnsi="Times New Roman" w:eastAsia="方正仿宋_GBK" w:cs="Times New Roman"/>
          <w:sz w:val="32"/>
          <w:szCs w:val="32"/>
          <w:lang w:val="en-US" w:eastAsia="zh-CN"/>
        </w:rPr>
        <w:t>，选树先进典型，营造良好发展氛围。</w:t>
      </w:r>
      <w:bookmarkEnd w:id="7"/>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附件：渝中区深化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改革评价体系</w:t>
      </w:r>
    </w:p>
    <w:p>
      <w:pPr>
        <w:keepNext w:val="0"/>
        <w:keepLines w:val="0"/>
        <w:pageBreakBefore w:val="0"/>
        <w:widowControl w:val="0"/>
        <w:kinsoku/>
        <w:wordWrap/>
        <w:overflowPunct w:val="0"/>
        <w:topLinePunct w:val="0"/>
        <w:autoSpaceDE/>
        <w:autoSpaceDN/>
        <w:bidi w:val="0"/>
        <w:spacing w:line="620" w:lineRule="exact"/>
        <w:ind w:left="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渝中区深化</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楼均论英雄</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改革评价体系</w:t>
      </w:r>
    </w:p>
    <w:p>
      <w:pPr>
        <w:keepNext w:val="0"/>
        <w:keepLines w:val="0"/>
        <w:pageBreakBefore w:val="0"/>
        <w:widowControl w:val="0"/>
        <w:kinsoku/>
        <w:wordWrap/>
        <w:overflowPunct w:val="0"/>
        <w:topLinePunct w:val="0"/>
        <w:autoSpaceDE/>
        <w:autoSpaceDN/>
        <w:bidi w:val="0"/>
        <w:adjustRightInd/>
        <w:snapToGrid/>
        <w:spacing w:line="620" w:lineRule="exact"/>
        <w:ind w:left="0" w:left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一、总体要求</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lang w:val="en-US" w:eastAsia="zh-CN"/>
        </w:rPr>
        <w:t>以习近平新时代中国特色社会主义思想为指导，坚持质量第一、效益优先，切实把发展经济的着力点放在实体经济上，把深化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改革作为转变发展方式、优化经济结构、转换增长动力的有力抓手，深入推进资源要素差别化配置，切实激发市场主体创新活力，不断提高全要素生产率，着力以楼均效益改革引领推动全区现代服务业提质增效，加快推动全区经济发展质量变革、效率变革、动力变革。</w:t>
      </w:r>
      <w:r>
        <w:rPr>
          <w:rFonts w:hint="default" w:ascii="Times New Roman" w:hAnsi="Times New Roman" w:eastAsia="方正仿宋_GBK" w:cs="Times New Roman"/>
          <w:kern w:val="2"/>
          <w:sz w:val="32"/>
          <w:szCs w:val="32"/>
          <w:lang w:val="en-US" w:eastAsia="zh-CN" w:bidi="ar-SA"/>
        </w:rPr>
        <w:t>到2026年，基本形成楼均效益好、单位强度高、绿色本底实、要素配置优的现代服务业高质量发展新格局。</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二、制定依据和目的</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根据《重庆市人民政府办公厅关于推进制造业亩均论英雄改革的指导意见》（渝府办发〔2023〕72号）的指示精神，为进一步拓展产业发展空间，</w:t>
      </w:r>
      <w:r>
        <w:rPr>
          <w:rFonts w:hint="default" w:ascii="Times New Roman" w:hAnsi="Times New Roman" w:eastAsia="方正仿宋_GBK" w:cs="Times New Roman"/>
          <w:sz w:val="32"/>
          <w:szCs w:val="32"/>
        </w:rPr>
        <w:t>吸纳各类创新要素</w:t>
      </w:r>
      <w:r>
        <w:rPr>
          <w:rFonts w:hint="default" w:ascii="Times New Roman" w:hAnsi="Times New Roman" w:eastAsia="方正仿宋_GBK" w:cs="Times New Roman"/>
          <w:sz w:val="32"/>
          <w:szCs w:val="32"/>
          <w:lang w:val="en-US" w:eastAsia="zh-CN"/>
        </w:rPr>
        <w:t>集聚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提升楼宇经济发展</w:t>
      </w:r>
      <w:r>
        <w:rPr>
          <w:rFonts w:hint="default" w:ascii="Times New Roman" w:hAnsi="Times New Roman" w:eastAsia="方正仿宋_GBK" w:cs="Times New Roman"/>
          <w:sz w:val="32"/>
          <w:szCs w:val="32"/>
          <w:lang w:val="en-US" w:eastAsia="zh-CN"/>
        </w:rPr>
        <w:t>能级和</w:t>
      </w:r>
      <w:r>
        <w:rPr>
          <w:rFonts w:hint="default" w:ascii="Times New Roman" w:hAnsi="Times New Roman" w:eastAsia="方正仿宋_GBK" w:cs="Times New Roman"/>
          <w:sz w:val="32"/>
          <w:szCs w:val="32"/>
        </w:rPr>
        <w:t>质效，</w:t>
      </w:r>
      <w:r>
        <w:rPr>
          <w:rFonts w:hint="default" w:ascii="Times New Roman" w:hAnsi="Times New Roman" w:eastAsia="方正仿宋_GBK" w:cs="Times New Roman"/>
          <w:sz w:val="32"/>
          <w:szCs w:val="32"/>
          <w:lang w:val="en-US" w:eastAsia="zh-CN"/>
        </w:rPr>
        <w:t>加快建设现代化产业体系，助推经济高质量发展。坚持正向激励、反向倒逼，以目标导向、问题导向、结果导向为牵引，以现代服务业发展提质增效为核心，完善激励和倒逼机制，优化产业政策，促进优胜劣汰，提升全区现代服务业高质量发展竞争力。</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三、构建</w:t>
      </w:r>
      <w:r>
        <w:rPr>
          <w:rFonts w:hint="eastAsia" w:ascii="Times New Roman" w:hAnsi="Times New Roman" w:eastAsia="方正黑体_GBK" w:cs="Times New Roman"/>
          <w:kern w:val="2"/>
          <w:sz w:val="32"/>
          <w:szCs w:val="32"/>
          <w:lang w:val="en-US" w:eastAsia="zh-CN" w:bidi="ar-SA"/>
        </w:rPr>
        <w:t>“</w:t>
      </w:r>
      <w:r>
        <w:rPr>
          <w:rFonts w:hint="default" w:ascii="Times New Roman" w:hAnsi="Times New Roman" w:eastAsia="方正黑体_GBK" w:cs="Times New Roman"/>
          <w:kern w:val="2"/>
          <w:sz w:val="32"/>
          <w:szCs w:val="32"/>
          <w:lang w:val="en-US" w:eastAsia="zh-CN" w:bidi="ar-SA"/>
        </w:rPr>
        <w:t>楼均论英雄</w:t>
      </w:r>
      <w:r>
        <w:rPr>
          <w:rFonts w:hint="eastAsia" w:ascii="Times New Roman" w:hAnsi="Times New Roman" w:eastAsia="方正黑体_GBK" w:cs="Times New Roman"/>
          <w:kern w:val="2"/>
          <w:sz w:val="32"/>
          <w:szCs w:val="32"/>
          <w:lang w:val="en-US" w:eastAsia="zh-CN" w:bidi="ar-SA"/>
        </w:rPr>
        <w:t>”</w:t>
      </w:r>
      <w:r>
        <w:rPr>
          <w:rFonts w:hint="default" w:ascii="Times New Roman" w:hAnsi="Times New Roman" w:eastAsia="方正黑体_GBK" w:cs="Times New Roman"/>
          <w:kern w:val="2"/>
          <w:sz w:val="32"/>
          <w:szCs w:val="32"/>
          <w:lang w:val="en-US" w:eastAsia="zh-CN" w:bidi="ar-SA"/>
        </w:rPr>
        <w:t>指标评价体系</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（一）重点商务楼宇评价体系（总分值100分）</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评价范围：对全区商务面积超1万平方米以上或税收贡献超1000万元的楼宇进行评价。</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1.入驻率（权重20%）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w:t>
      </w:r>
      <w:r>
        <w:rPr>
          <w:rFonts w:hint="default" w:ascii="Times New Roman" w:hAnsi="Times New Roman" w:eastAsia="方正仿宋_GBK" w:cs="Times New Roman"/>
          <w:spacing w:val="-6"/>
          <w:sz w:val="32"/>
          <w:szCs w:val="32"/>
          <w:lang w:val="en-US" w:eastAsia="zh-CN"/>
        </w:rPr>
        <w:t>评价楼宇已使用面积与楼宇整体可使用面积之比。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（1）入驻率高于85%（含）得满分；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（2）70%</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入驻率&lt;85%，得80%分值；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（3）50%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入驻率&lt;70%，得60%分值；</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（4）入驻率&lt;50%，得40%分值。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2.统一运营规模（权重20%）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指标说明：评价楼宇产权或使用权集聚比例，计算方式为单一业主持有楼宇产权面积与楼宇总面积之比。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（1）楼宇聘有统一的运营管理机构得满分；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（2）单一主体持有楼宇产权或使用权面积比例超总面积65%（不含）得满分；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（3）单一主体持有楼宇产权或使用权面积比例超总面积50%（不含）得70%分值；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（4）单一主体持有楼宇产权或使用权面积比例超于总面积35%（不含）得50%分值；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（5）单一主体持有楼宇产权或使用权面积比例低于总面积35%得30%分值。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3.营收坪效（权重15%）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指标说明：评价楼宇内规上企业营业收入总额与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4.税收坪效（权重15%）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指标说明：评价楼宇内企业税收总额与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5.特色产业占比（权重15%）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指标说明：评价楼宇内主导产业企业数量和税收贡献占比情况。</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（1）本年度获区级行业主管部门的特色楼宇为满分；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（2）楼宇主导产业（企业数量或税收贡献）占比</w:t>
      </w:r>
      <w:r>
        <w:rPr>
          <w:rFonts w:hint="default" w:ascii="Times New Roman" w:hAnsi="Times New Roman" w:cs="Times New Roman"/>
          <w:color w:val="auto"/>
          <w:sz w:val="32"/>
          <w:szCs w:val="32"/>
          <w:lang w:val="en-US" w:eastAsia="zh-CN"/>
        </w:rPr>
        <w:t>60</w:t>
      </w:r>
      <w:r>
        <w:rPr>
          <w:rFonts w:hint="default" w:ascii="Times New Roman" w:hAnsi="Times New Roman" w:eastAsia="方正仿宋_GBK" w:cs="Times New Roman"/>
          <w:color w:val="auto"/>
          <w:sz w:val="32"/>
          <w:szCs w:val="32"/>
          <w:lang w:val="en-US" w:eastAsia="zh-CN"/>
        </w:rPr>
        <w:t>%（含）以上为满分；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（3）楼宇主导产业（企业数量或税收贡献）占比50%（含）-</w:t>
      </w:r>
      <w:r>
        <w:rPr>
          <w:rFonts w:hint="default"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0%得80%分值；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（4）楼宇主导产业（企业数量或税收贡献）占比40%（含）-50%得60%分值；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（5）楼宇主导产业（企业数量或税收贡献）低于40%以下得40%分值。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6.单位面积能耗（权重5%）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指标说明：评价楼宇能耗总量与可使用面积之比。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计算方式：指标基础分为2%，按照功效系数法从低到高按照排名计算分数。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7.平均租金水平（权重5%）</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指标说明：评价楼宇对外出租价格，按元/㎡/天进行计算。</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计算方式：指标基础分为2%，按照功效系数法从高到低按照排名计算分数。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8.楼宇党建水平（权重5%）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指标说明：评价楼宇是否成立党支部或建立党群服务中心。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（二）重点商业楼宇评价体系（总分值100分）</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评价范围：</w:t>
      </w:r>
      <w:r>
        <w:rPr>
          <w:rFonts w:hint="default" w:ascii="Times New Roman" w:hAnsi="Times New Roman" w:eastAsia="方正仿宋_GBK" w:cs="Times New Roman"/>
          <w:spacing w:val="-6"/>
          <w:kern w:val="2"/>
          <w:sz w:val="32"/>
          <w:szCs w:val="32"/>
          <w:lang w:val="en-US" w:eastAsia="zh-CN" w:bidi="ar-SA"/>
        </w:rPr>
        <w:t>对全区商业面积超1万平方米以上商场进行评价。</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1.入驻率（权重20%）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w:t>
      </w:r>
      <w:r>
        <w:rPr>
          <w:rFonts w:hint="default" w:ascii="Times New Roman" w:hAnsi="Times New Roman" w:eastAsia="方正仿宋_GBK" w:cs="Times New Roman"/>
          <w:spacing w:val="-6"/>
          <w:sz w:val="32"/>
          <w:szCs w:val="32"/>
          <w:lang w:val="en-US" w:eastAsia="zh-CN"/>
        </w:rPr>
        <w:t>评价楼宇已使用面积与楼宇整体可使用面积之比。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（1）入驻率高于85%（含）得满分；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（2）70%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入驻率&lt;85%，得80%分值；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（3）50%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入驻率&lt;70%，得60%分值；</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（4）入驻率&lt;50%，得40%分值。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2.统一运营规模（权重20%）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指标说明：评价楼宇产权或使用集聚比例，计算方式为单一业主持有楼宇产权面积与楼宇总面积之比。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（1）楼宇聘有统一的运营管理机构得满分；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（2）单一主体持有楼宇产权或使用权面积比例超总面积65%（不含）得满分；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（3）单一主体持有楼宇产权或使用权面积比例超总面积50%（不含）得70%分值；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（4）单一主体持有楼宇产权或使用权面积比例超于总面积35%（不含）得50%分值；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（5）单一主体持有楼宇产权或使用权面积比例低于总面积35%得30%分值。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3.营收坪效（权重15%）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指标说明：评价商业体年度销售总额与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4.税收坪效（权重15%）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指标说明：评价楼宇内企业税收总额与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四首经济</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数量（权重15%）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行业首牌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区域首店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品牌首秀</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新品首发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的数量。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计算方式：指标基础分为10%，按照功效系数法从高到低按照排名计算分数。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6.单位面积能耗（权重5%）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指标说明：评价楼宇能耗总量与可使用面积之比。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计算方式：指标基础分为2%，按照功效系数法从低到高按照排名计算分数。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7.平均租金水平（权重5%）</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指标说明：评价楼宇对外出租价格，按元/㎡/天进行计算。</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计算方式：指标基础分为2%，按照功效系数法从高到低按照排名计算分数。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8.楼宇党建水平（权重5%）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指标说明：评价楼宇是否成立党支部或建立党群服务中心。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（三）专业市场评价体系（总分值100分）</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评价范围：对全区登记备案专业市场进行评价。</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1.入驻率（权重20%）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w:t>
      </w:r>
      <w:r>
        <w:rPr>
          <w:rFonts w:hint="default" w:ascii="Times New Roman" w:hAnsi="Times New Roman" w:eastAsia="方正仿宋_GBK" w:cs="Times New Roman"/>
          <w:spacing w:val="-6"/>
          <w:sz w:val="32"/>
          <w:szCs w:val="32"/>
          <w:lang w:val="en-US" w:eastAsia="zh-CN"/>
        </w:rPr>
        <w:t>评价楼宇已使用面积与楼宇整体可使用面积之比。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（1）入驻率高于85%（含）得满分；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（2）70%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入驻率&lt;85%，得80%分值；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（3）50%</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入驻率&lt;70%，得60%分值；</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（4）入驻率&lt;50%，得40%分值。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2.统一运营规模（权重20%）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指标说明：评价楼宇产权或使用权集聚比例，计算方式为单一业主持有楼宇产权面积与楼宇总面积之比。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（1）楼宇聘有统一的运营管理机构得满分；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（2）单一主体持有楼宇产权或使用权面积比例超总面积65%（不含）得满分；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（3）单一主体持有楼宇产权或使用权面积比例超总面积50%（不含）得70%分值；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（4）单一主体持有楼宇产权或使用权面积比例超于总面积35%（不含）得50%分值；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（5）单一主体持有楼宇产权或使用权面积比例低于总面积35%得30%分值。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3.销售（营业）额坪效（权重15%）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指标说明：评价楼宇内企业销售（营业）总额与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4.税收坪效（权重15%）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指标说明：评价楼宇内企业税收总额与</w:t>
      </w:r>
      <w:r>
        <w:rPr>
          <w:rFonts w:hint="default" w:ascii="Times New Roman" w:hAnsi="Times New Roman" w:eastAsia="方正仿宋_GBK" w:cs="Times New Roman"/>
          <w:sz w:val="32"/>
          <w:szCs w:val="32"/>
          <w:lang w:val="en-US" w:eastAsia="zh-CN"/>
        </w:rPr>
        <w:t>楼宇整体可使用面积之比</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计算方式：指标基础分为5%，按照功效系数法从高到低按照排名计算分数。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5.特色产业占比（权重15%）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指标说明：评价楼宇内主导产业企业数量和税收贡献占比情况。</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（1）本年度获区级行业主管部门的特色楼宇为满分；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（2）楼宇主导产业（企业数量或税收贡献）占比</w:t>
      </w:r>
      <w:r>
        <w:rPr>
          <w:rFonts w:hint="default" w:ascii="Times New Roman" w:hAnsi="Times New Roman" w:cs="Times New Roman"/>
          <w:color w:val="auto"/>
          <w:sz w:val="32"/>
          <w:szCs w:val="32"/>
          <w:lang w:val="en-US" w:eastAsia="zh-CN"/>
        </w:rPr>
        <w:t>60</w:t>
      </w:r>
      <w:r>
        <w:rPr>
          <w:rFonts w:hint="default" w:ascii="Times New Roman" w:hAnsi="Times New Roman" w:eastAsia="方正仿宋_GBK" w:cs="Times New Roman"/>
          <w:color w:val="auto"/>
          <w:sz w:val="32"/>
          <w:szCs w:val="32"/>
          <w:lang w:val="en-US" w:eastAsia="zh-CN"/>
        </w:rPr>
        <w:t>%（含）以上为满分；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（3）楼宇主导产业（企业数量或税收贡献）占比50%（含）-</w:t>
      </w:r>
      <w:r>
        <w:rPr>
          <w:rFonts w:hint="default"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0%得80%分值；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（4）楼宇主导产业（企业数量或税收贡献）占比40%（含）-50%得60%分值；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（5）楼宇主导产业（企业数量或税收贡献）低于40%以下得40%分值。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6.单位面积能耗（权重5%）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指标说明：评价楼宇能耗总量与可使用面积之比。</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计算方式：指标基础分为2%，按照功效系数法从低到高按照排名计算分数。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7.平均租金水平（权重5%）</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指标说明：评价楼宇对外出租价格，按元/㎡/天进行计算。</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计算方式：指标基础分为2%，按照功效系数法从高到低按照排名计算分数。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8楼宇党建水平（权重5%）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指标说明：评价楼宇是否成立党支部或建立党群服务中心。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（四）特殊情形规定。</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（1）加分项。</w:t>
      </w:r>
      <w:r>
        <w:rPr>
          <w:rFonts w:hint="default" w:ascii="Times New Roman" w:hAnsi="Times New Roman" w:eastAsia="方正仿宋_GBK" w:cs="Times New Roman"/>
          <w:sz w:val="32"/>
          <w:szCs w:val="32"/>
          <w:lang w:val="en-US" w:eastAsia="zh-CN"/>
        </w:rPr>
        <w:t>评价年度内，所在楼宇有企业新在境内外上市，或获得国家级、市级称号的企业，每项加1分，企业累计加分不超过总分值10%；对楼宇企业平均满意度高于95%的，加5%的分值。</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（2）减分项。</w:t>
      </w:r>
      <w:r>
        <w:rPr>
          <w:rFonts w:hint="default" w:ascii="Times New Roman" w:hAnsi="Times New Roman" w:eastAsia="方正仿宋_GBK" w:cs="Times New Roman"/>
          <w:sz w:val="32"/>
          <w:szCs w:val="32"/>
          <w:lang w:val="en-US" w:eastAsia="zh-CN"/>
        </w:rPr>
        <w:t>评价年度内，楼宇内有企业发生较大及以上安全生产事故、重大环境污染事件、因违法违规或严重失信致使纳税信用等级被直接判定为D级或取消评定资格的、新增违法搭建、列入企业信用黑名单等任一情况的企业，每有一家企业一项扣1%的分值，楼宇累计扣分不超过总分值的10%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（3）否决项。</w:t>
      </w:r>
      <w:r>
        <w:rPr>
          <w:rFonts w:hint="default" w:ascii="Times New Roman" w:hAnsi="Times New Roman" w:eastAsia="方正仿宋_GBK" w:cs="Times New Roman"/>
          <w:sz w:val="32"/>
          <w:szCs w:val="32"/>
          <w:lang w:val="en-US" w:eastAsia="zh-CN"/>
        </w:rPr>
        <w:t>到评价统计截止日，统计在库但已整栋空置一年以上的楼宇或上年度税收低于50万元的楼宇，不予计分直接列入未达标楼宇。符合否决情形的楼宇不占用分档比例。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（4）过渡期。</w:t>
      </w:r>
      <w:r>
        <w:rPr>
          <w:rFonts w:hint="default" w:ascii="Times New Roman" w:hAnsi="Times New Roman" w:eastAsia="方正仿宋_GBK" w:cs="Times New Roman"/>
          <w:sz w:val="32"/>
          <w:szCs w:val="32"/>
          <w:lang w:val="en-US" w:eastAsia="zh-CN"/>
        </w:rPr>
        <w:t>对楼宇因收购重组、破产拍卖等整体转让的，可以根据新业主投资或复工计划，给予楼宇1年的只评价、不分类的过渡期。符合过渡期政策的企业不占用分档比例。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（五）主要程序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评价每年度开展一次，评价程序如下：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1.各管委会及街道办事处负责采集、统计楼宇各项指标数据，由区发展改革委进行统一汇总。</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2.区发展改革委、区统计局、区税务局负责核对、汇总各街道管委会及办事处各项指标数据，并报送至区楼宇经济工作专班审定，并在区内主要新闻媒体上进行公布。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四、评价结果应用</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区楼宇经济工作专班牵头，工作专班办公室具体实施，将楼宇分为商务楼宇、商业楼宇和专业市场三组分别进行评价，各组根据具体分值设定分档线，对各管委会及街道进行考核评价（建议以达到分档线的楼宇数量占比为评价标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（一）优化结果应用。</w:t>
      </w:r>
      <w:r>
        <w:rPr>
          <w:rFonts w:hint="default" w:ascii="Times New Roman" w:hAnsi="Times New Roman" w:eastAsia="方正仿宋_GBK" w:cs="Times New Roman"/>
          <w:sz w:val="32"/>
          <w:szCs w:val="32"/>
          <w:lang w:val="en-US" w:eastAsia="zh-CN"/>
        </w:rPr>
        <w:t>区级各相关部门在制定和实施资源要素差别化配置政策时，要妥善处理好改革、发展和稳定的关系。在研究制定差异化政策时，要充分考虑到区内实际情况，</w:t>
      </w:r>
      <w:r>
        <w:rPr>
          <w:rFonts w:hint="default" w:ascii="Times New Roman" w:hAnsi="Times New Roman" w:eastAsia="方正仿宋_GBK" w:cs="Times New Roman"/>
          <w:spacing w:val="-6"/>
          <w:sz w:val="32"/>
          <w:szCs w:val="32"/>
          <w:lang w:val="en-US" w:eastAsia="zh-CN"/>
        </w:rPr>
        <w:t>以促进企业提质增效为主要目的，坚决杜绝</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一刀切</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管理方式。</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（二）营造良好氛围。</w:t>
      </w:r>
      <w:r>
        <w:rPr>
          <w:rFonts w:hint="default" w:ascii="Times New Roman" w:hAnsi="Times New Roman" w:eastAsia="方正仿宋_GBK" w:cs="Times New Roman"/>
          <w:sz w:val="32"/>
          <w:szCs w:val="32"/>
          <w:lang w:val="en-US" w:eastAsia="zh-CN"/>
        </w:rPr>
        <w:t>区级各相关部门、各管委会及街道办事处要加强有关法律法规、评价指标和配套政策的解读，充分利用媒体宣传，营造政府推动、楼宇（企业）主导、社会参与的良好氛围，宣传推广各地经验和典型做法，正确引导企业预期，切实转变发展理念，为综合评价工作营造良好的舆论氛围和社会环境。</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2"/>
        <w:rPr>
          <w:rFonts w:hint="default" w:ascii="Times New Roman" w:hAnsi="Times New Roman" w:cs="Times New Roman"/>
          <w:lang w:val="en-US" w:eastAsia="zh-CN"/>
        </w:rPr>
      </w:pPr>
      <w:r>
        <w:rPr>
          <w:rFonts w:hint="default" w:ascii="Times New Roman" w:hAnsi="Times New Roman" w:eastAsia="方正楷体_GBK" w:cs="Times New Roman"/>
          <w:sz w:val="32"/>
          <w:szCs w:val="32"/>
          <w:lang w:val="en-US" w:eastAsia="zh-CN"/>
        </w:rPr>
        <w:t>（三）强化工作纪律。</w:t>
      </w:r>
      <w:r>
        <w:rPr>
          <w:rFonts w:hint="default" w:ascii="Times New Roman" w:hAnsi="Times New Roman" w:eastAsia="方正仿宋_GBK" w:cs="Times New Roman"/>
          <w:sz w:val="32"/>
          <w:szCs w:val="32"/>
          <w:lang w:val="en-US" w:eastAsia="zh-CN"/>
        </w:rPr>
        <w:t>区级各相关部门、各管委会及街道办事处在推进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楼均论英雄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评价工作中，要遵守各项法律法</w:t>
      </w:r>
      <w:r>
        <w:rPr>
          <w:rFonts w:hint="default" w:ascii="Times New Roman" w:hAnsi="Times New Roman" w:eastAsia="方正仿宋_GBK" w:cs="Times New Roman"/>
          <w:spacing w:val="-6"/>
          <w:sz w:val="32"/>
          <w:szCs w:val="32"/>
          <w:lang w:val="en-US" w:eastAsia="zh-CN"/>
        </w:rPr>
        <w:t>规规定，严格保障企业数据信息安全，严禁向企业收取任何费用。</w:t>
      </w: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636" w:lineRule="exact"/>
        <w:ind w:left="0"/>
        <w:jc w:val="both"/>
        <w:textAlignment w:val="auto"/>
        <w:rPr>
          <w:rFonts w:hint="default" w:ascii="Times New Roman" w:hAnsi="Times New Roman" w:cs="Times New Roman"/>
          <w:lang w:val="en-US" w:eastAsia="zh-CN"/>
        </w:rPr>
      </w:pPr>
    </w:p>
    <w:p>
      <w:pPr>
        <w:spacing w:line="620" w:lineRule="exact"/>
        <w:ind w:firstLine="140" w:firstLineChars="50"/>
        <w:jc w:val="left"/>
        <w:rPr>
          <w:rFonts w:hint="default" w:ascii="Times New Roman" w:hAnsi="Times New Roman" w:cs="Times New Roman"/>
          <w:lang w:val="en-US" w:eastAsia="zh-CN"/>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3.7pt;z-index:251660288;mso-width-relative:page;mso-height-relative:page;" filled="f" stroked="t" coordsize="21600,21600" o:gfxdata="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P2deB3UAAAABAEAAA8AAAAAAAAAAQAgAAAAOAAAAGRycy9kb3du&#10;cmV2LnhtbFBLAQIUABQAAAAIAIdO4kC+h1M6JgIAADYEAAAOAAAAAAAAAAEAIAAAADkBAABkcnMv&#10;ZTJvRG9jLnhtbFBLBQYAAAAABgAGAFkBAADRBQAAAAA=&#10;">
                <v:fill on="f" focussize="0,0"/>
                <v:stroke color="#000000" joinstyle="miter"/>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3.7pt;z-index:251661312;mso-width-relative:page;mso-height-relative:page;" filled="f" stroked="t" coordsize="21600,21600" o:gfxdata="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ZqQBvVAAAABwEAAA8AAAAAAAAAAQAgAAAAOAAAAGRycy9kb3du&#10;cmV2LnhtbFBLAQIUABQAAAAIAIdO4kBQyF0SJQIAADYEAAAOAAAAAAAAAAEAIAAAADoBAABkcnMv&#10;ZTJvRG9jLnhtbFBLBQYAAAAABgAGAFkBAADRBQAAAAA=&#10;">
                <v:fill on="f" focussize="0,0"/>
                <v:stroke color="#000000" joinstyle="miter"/>
                <v:imagedata o:title=""/>
                <o:lock v:ext="edit" aspectratio="f"/>
              </v:line>
            </w:pict>
          </mc:Fallback>
        </mc:AlternateContent>
      </w:r>
      <w:r>
        <w:rPr>
          <w:rFonts w:hint="default" w:ascii="Times New Roman" w:hAnsi="Times New Roman" w:eastAsia="方正仿宋_GBK" w:cs="Times New Roman"/>
          <w:sz w:val="28"/>
          <w:szCs w:val="28"/>
        </w:rPr>
        <w:t xml:space="preserve">重庆市渝中区人民政府办公室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日印发</w:t>
      </w:r>
    </w:p>
    <w:sectPr>
      <w:pgSz w:w="11906" w:h="16838"/>
      <w:pgMar w:top="1417"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posOffset>4574540</wp:posOffset>
              </wp:positionH>
              <wp:positionV relativeFrom="paragraph">
                <wp:posOffset>-123190</wp:posOffset>
              </wp:positionV>
              <wp:extent cx="970280" cy="269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028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2pt;margin-top:-9.7pt;height:21.2pt;width:76.4pt;mso-position-horizontal-relative:margin;z-index:251659264;mso-width-relative:page;mso-height-relative:page;" filled="f" stroked="f" coordsize="21600,21600" o:gfxdata="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7xrVt9kAAAAKAQAADwAAAAAA&#10;AAABACAAAAA4AAAAZHJzL2Rvd25yZXYueG1sUEsBAhQAFAAAAAgAh07iQI8yPuQ1AgAAYQQAAA4A&#10;AAAAAAAAAQAgAAAAPgEAAGRycy9lMm9Eb2MueG1sUEsFBgAAAAAGAAYAWQEAAOUFAAAAAA==&#10;">
              <v:fill on="f" focussize="0,0"/>
              <v:stroke on="f" weight="0.5pt"/>
              <v:imagedata o:title=""/>
              <o:lock v:ext="edit" aspectratio="f"/>
              <v:textbox inset="0mm,0mm,0mm,0mm">
                <w:txbxContent>
                  <w:p>
                    <w:pPr>
                      <w:pStyle w:val="6"/>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-123190</wp:posOffset>
              </wp:positionV>
              <wp:extent cx="1111885" cy="269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1188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7pt;height:21.2pt;width:87.55pt;mso-position-horizontal-relative:margin;z-index:251660288;mso-width-relative:page;mso-height-relative:page;" filled="f" stroked="f" coordsize="21600,21600" o:gfxdata="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yjx3i1gAAAAcBAAAPAAAAAAAA&#10;AAEAIAAAADgAAABkcnMvZG93bnJldi54bWxQSwECFAAUAAAACACHTuJAIJrHNjcCAABiBAAADgAA&#10;AAAAAAABACAAAAA7AQAAZHJzL2Uyb0RvYy54bWxQSwUGAAAAAAYABgBZAQAA5AUAAAAA&#10;">
              <v:fill on="f" focussize="0,0"/>
              <v:stroke on="f" weight="0.5pt"/>
              <v:imagedata o:title=""/>
              <o:lock v:ext="edit" aspectratio="f"/>
              <v:textbox inset="0mm,0mm,0mm,0mm">
                <w:txbxContent>
                  <w:p>
                    <w:pPr>
                      <w:pStyle w:val="6"/>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Tk2ZDM1N2Y5NDVlZGVkNTRiNTc5ZmViYTBlMzgifQ=="/>
  </w:docVars>
  <w:rsids>
    <w:rsidRoot w:val="7ED75D94"/>
    <w:rsid w:val="007756C4"/>
    <w:rsid w:val="01BA0A83"/>
    <w:rsid w:val="02791550"/>
    <w:rsid w:val="07D9744C"/>
    <w:rsid w:val="095962AF"/>
    <w:rsid w:val="16941548"/>
    <w:rsid w:val="1B8F790E"/>
    <w:rsid w:val="1E0A44D6"/>
    <w:rsid w:val="21283700"/>
    <w:rsid w:val="22610C03"/>
    <w:rsid w:val="24C820E3"/>
    <w:rsid w:val="26B67D32"/>
    <w:rsid w:val="28330740"/>
    <w:rsid w:val="31934BA9"/>
    <w:rsid w:val="36107446"/>
    <w:rsid w:val="3EA90437"/>
    <w:rsid w:val="41474664"/>
    <w:rsid w:val="428A65DC"/>
    <w:rsid w:val="453B6251"/>
    <w:rsid w:val="4A097C67"/>
    <w:rsid w:val="4A4C2637"/>
    <w:rsid w:val="4A723652"/>
    <w:rsid w:val="4C1A32AF"/>
    <w:rsid w:val="4E7E5098"/>
    <w:rsid w:val="4F3E43AC"/>
    <w:rsid w:val="4FA07247"/>
    <w:rsid w:val="4FC51DFF"/>
    <w:rsid w:val="52FA1174"/>
    <w:rsid w:val="5366610D"/>
    <w:rsid w:val="56B35249"/>
    <w:rsid w:val="56CB4F97"/>
    <w:rsid w:val="58064DA6"/>
    <w:rsid w:val="59F0765F"/>
    <w:rsid w:val="5D172CE4"/>
    <w:rsid w:val="5FB939A4"/>
    <w:rsid w:val="62333D09"/>
    <w:rsid w:val="663366B5"/>
    <w:rsid w:val="690B53D6"/>
    <w:rsid w:val="6D1A146B"/>
    <w:rsid w:val="6E283678"/>
    <w:rsid w:val="72B644C4"/>
    <w:rsid w:val="731F10EE"/>
    <w:rsid w:val="73200B7A"/>
    <w:rsid w:val="73AF4682"/>
    <w:rsid w:val="749E114C"/>
    <w:rsid w:val="78E20BC8"/>
    <w:rsid w:val="7ED75D94"/>
    <w:rsid w:val="E35EB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keepNext/>
      <w:keepLines/>
      <w:spacing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4">
    <w:name w:val="Body Text Indent"/>
    <w:basedOn w:val="1"/>
    <w:qFormat/>
    <w:uiPriority w:val="0"/>
    <w:pPr>
      <w:spacing w:after="120"/>
      <w:ind w:left="200" w:leftChars="200"/>
    </w:pPr>
    <w:rPr>
      <w:rFonts w:ascii="仿宋_GB2312" w:hAnsi="Calibri" w:eastAsia="宋体" w:cs="Times New Roman"/>
      <w:sz w:val="21"/>
      <w:szCs w:val="24"/>
    </w:rPr>
  </w:style>
  <w:style w:type="paragraph" w:styleId="5">
    <w:name w:val="toc 8"/>
    <w:basedOn w:val="1"/>
    <w:next w:val="1"/>
    <w:qFormat/>
    <w:uiPriority w:val="0"/>
    <w:pPr>
      <w:ind w:left="294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0"/>
    <w:pPr>
      <w:spacing w:before="240" w:after="60"/>
      <w:jc w:val="center"/>
      <w:outlineLvl w:val="0"/>
    </w:pPr>
    <w:rPr>
      <w:rFonts w:ascii="方正仿宋_GBK" w:eastAsia="方正仿宋_GBK"/>
      <w:bCs/>
      <w:sz w:val="32"/>
      <w:szCs w:val="32"/>
    </w:rPr>
  </w:style>
  <w:style w:type="paragraph" w:customStyle="1" w:styleId="11">
    <w:name w:val="样式2"/>
    <w:basedOn w:val="1"/>
    <w:next w:val="1"/>
    <w:qFormat/>
    <w:uiPriority w:val="0"/>
    <w:pPr>
      <w:spacing w:line="620" w:lineRule="exact"/>
      <w:ind w:firstLine="640"/>
    </w:pPr>
    <w:rPr>
      <w:rFonts w:hint="eastAsia" w:ascii="Times New Roman" w:hAnsi="Times New Roman" w:eastAsia="方正仿宋_GBK" w:cs="Times New Roman"/>
      <w:color w:val="000000"/>
      <w:sz w:val="32"/>
      <w:szCs w:val="32"/>
    </w:rPr>
  </w:style>
  <w:style w:type="character" w:customStyle="1" w:styleId="12">
    <w:name w:val="标题 1 Char"/>
    <w:link w:val="3"/>
    <w:qFormat/>
    <w:uiPriority w:val="0"/>
    <w:rPr>
      <w:b/>
      <w:kern w:val="44"/>
      <w:sz w:val="44"/>
    </w:rPr>
  </w:style>
  <w:style w:type="paragraph" w:customStyle="1" w:styleId="13">
    <w:name w:val="样式 10 磅"/>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10282</Words>
  <Characters>10651</Characters>
  <Lines>0</Lines>
  <Paragraphs>0</Paragraphs>
  <TotalTime>1</TotalTime>
  <ScaleCrop>false</ScaleCrop>
  <LinksUpToDate>false</LinksUpToDate>
  <CharactersWithSpaces>10678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2024-07-10T14:24:00Z</dcterms:created>
  <dc:creator>娃娃忍者</dc:creator>
  <cp:lastModifiedBy>admin</cp:lastModifiedBy>
  <cp:lastPrinted>2024-07-17T16:00:00Z</cp:lastPrinted>
  <dcterms:modified xsi:type="dcterms:W3CDTF">2024-10-12T10:13:41Z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7438CC633214C4EE55DB0967AD2BAE5C</vt:lpwstr>
  </property>
</Properties>
</file>