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8"/>
          <w:szCs w:val="48"/>
          <w:shd w:val="clear" w:color="020000" w:fill="FFFFFF"/>
          <w14:textFill>
            <w14:solidFill>
              <w14:schemeClr w14:val="tx1"/>
            </w14:solidFill>
          </w14:textFill>
        </w:rPr>
      </w:pPr>
      <w:bookmarkStart w:id="0" w:name="_Toc12176"/>
      <w:bookmarkStart w:id="1" w:name="_Toc16583"/>
      <w:bookmarkStart w:id="2" w:name="_Toc2091"/>
      <w:bookmarkStart w:id="3" w:name="_Toc7368"/>
      <w:bookmarkStart w:id="4" w:name="_Toc3675"/>
      <w:bookmarkStart w:id="5" w:name="_Toc13317"/>
      <w:bookmarkStart w:id="6" w:name="_Toc5997"/>
      <w:r>
        <w:rPr>
          <w:rFonts w:ascii="方正小标宋_GBK" w:hAnsi="Times New Roman" w:eastAsia="方正小标宋_GBK"/>
          <w:color w:val="000000" w:themeColor="text1"/>
          <w:sz w:val="48"/>
          <w:szCs w:val="48"/>
          <w:shd w:val="clear" w:color="020000" w:fill="FFFFFF"/>
          <w14:textFill>
            <w14:solidFill>
              <w14:schemeClr w14:val="tx1"/>
            </w14:solidFill>
          </w14:textFill>
        </w:rPr>
        <w:t>重庆市渝中区大石化新区建设管理委员会</w:t>
      </w:r>
      <w:bookmarkStart w:id="7" w:name="_Toc6529_WPSOffice_Level1"/>
      <w:bookmarkStart w:id="8" w:name="_Toc10235_WPSOffice_Level1"/>
      <w:r>
        <w:rPr>
          <w:rFonts w:ascii="方正小标宋_GBK" w:hAnsi="Times New Roman" w:eastAsia="方正小标宋_GBK"/>
          <w:color w:val="000000" w:themeColor="text1"/>
          <w:sz w:val="48"/>
          <w:szCs w:val="48"/>
          <w:shd w:val="clear" w:color="020000" w:fill="FFFFFF"/>
          <w14:textFill>
            <w14:solidFill>
              <w14:schemeClr w14:val="tx1"/>
            </w14:solidFill>
          </w14:textFill>
        </w:rPr>
        <w:t>202</w:t>
      </w:r>
      <w:r>
        <w:rPr>
          <w:rFonts w:hint="eastAsia" w:ascii="方正小标宋_GBK" w:hAnsi="Times New Roman" w:eastAsia="方正小标宋_GBK"/>
          <w:color w:val="000000" w:themeColor="text1"/>
          <w:sz w:val="48"/>
          <w:szCs w:val="48"/>
          <w:shd w:val="clear" w:color="020000" w:fill="FFFFFF"/>
          <w:lang w:val="en-US" w:eastAsia="zh-CN"/>
          <w14:textFill>
            <w14:solidFill>
              <w14:schemeClr w14:val="tx1"/>
            </w14:solidFill>
          </w14:textFill>
        </w:rPr>
        <w:t>2</w:t>
      </w:r>
      <w:r>
        <w:rPr>
          <w:rFonts w:ascii="方正小标宋_GBK" w:hAnsi="Times New Roman" w:eastAsia="方正小标宋_GBK"/>
          <w:color w:val="000000" w:themeColor="text1"/>
          <w:sz w:val="48"/>
          <w:szCs w:val="48"/>
          <w:shd w:val="clear" w:color="020000" w:fill="FFFFFF"/>
          <w14:textFill>
            <w14:solidFill>
              <w14:schemeClr w14:val="tx1"/>
            </w14:solidFill>
          </w14:textFill>
        </w:rPr>
        <w:t>年决算情况说明</w:t>
      </w:r>
      <w:bookmarkEnd w:id="0"/>
      <w:bookmarkEnd w:id="1"/>
      <w:bookmarkEnd w:id="2"/>
      <w:bookmarkEnd w:id="3"/>
      <w:bookmarkEnd w:id="4"/>
      <w:bookmarkEnd w:id="5"/>
      <w:bookmarkEnd w:id="6"/>
      <w:bookmarkEnd w:id="7"/>
      <w:bookmarkEnd w:id="8"/>
    </w:p>
    <w:p>
      <w:pPr>
        <w:widowControl w:val="0"/>
        <w:ind w:firstLine="960" w:firstLineChars="300"/>
        <w:outlineLvl w:val="0"/>
        <w:rPr>
          <w:rFonts w:hint="default"/>
          <w:color w:val="000000" w:themeColor="text1"/>
          <w:szCs w:val="32"/>
          <w14:textFill>
            <w14:solidFill>
              <w14:schemeClr w14:val="tx1"/>
            </w14:solidFill>
          </w14:textFill>
        </w:rPr>
      </w:pPr>
    </w:p>
    <w:p>
      <w:pPr>
        <w:widowControl w:val="0"/>
        <w:ind w:firstLine="640"/>
        <w:rPr>
          <w:rFonts w:hint="default" w:ascii="方正黑体_GBK" w:eastAsia="方正黑体_GBK"/>
          <w:bCs/>
          <w:color w:val="000000" w:themeColor="text1"/>
          <w:szCs w:val="32"/>
          <w14:textFill>
            <w14:solidFill>
              <w14:schemeClr w14:val="tx1"/>
            </w14:solidFill>
          </w14:textFill>
        </w:rPr>
      </w:pPr>
      <w:bookmarkStart w:id="9" w:name="_Toc8704_WPSOffice_Level1"/>
      <w:bookmarkStart w:id="10" w:name="_Toc31238_WPSOffice_Level1"/>
      <w:r>
        <w:rPr>
          <w:rFonts w:ascii="方正黑体_GBK" w:eastAsia="方正黑体_GBK"/>
          <w:bCs/>
          <w:color w:val="000000" w:themeColor="text1"/>
          <w:szCs w:val="32"/>
          <w14:textFill>
            <w14:solidFill>
              <w14:schemeClr w14:val="tx1"/>
            </w14:solidFill>
          </w14:textFill>
        </w:rPr>
        <w:t>一、单位基本情况</w:t>
      </w:r>
      <w:bookmarkEnd w:id="9"/>
      <w:bookmarkEnd w:id="10"/>
    </w:p>
    <w:p>
      <w:pPr>
        <w:pStyle w:val="103"/>
        <w:tabs>
          <w:tab w:val="center" w:pos="4153"/>
          <w:tab w:val="left" w:pos="7275"/>
        </w:tabs>
        <w:spacing w:line="594" w:lineRule="exact"/>
        <w:ind w:firstLine="640"/>
        <w:rPr>
          <w:rFonts w:eastAsia="方正仿宋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14:textFill>
            <w14:solidFill>
              <w14:schemeClr w14:val="tx1"/>
            </w14:solidFill>
          </w14:textFill>
        </w:rPr>
        <w:t>（一）职能职责。</w:t>
      </w:r>
      <w:r>
        <w:rPr>
          <w:rFonts w:hint="eastAsia" w:eastAsia="方正仿宋_GBK"/>
          <w:color w:val="000000" w:themeColor="text1"/>
          <w:sz w:val="32"/>
          <w:szCs w:val="32"/>
          <w14:textFill>
            <w14:solidFill>
              <w14:schemeClr w14:val="tx1"/>
            </w14:solidFill>
          </w14:textFill>
        </w:rPr>
        <w:t>管委会职能职责主要包括：一是负责区域范围内（以下简称“区域内”）承担的区委区政府关于经济发展、产业布局及重大项目建设等目标任务的完成；拟订管委会年度工作计划并组织实施。二是负责按照全区城市建设规划、土地利用规划和产业发展规划，拟定区域发展规划并组织实施。三是负责调查研究区域内产业发展中的重大问题，提出政策建议，贯彻落实产业发展优惠政策。四是负责区域内投资促进和对外合作交流工作。五是统筹推进、协调服务区域内重点建设项目。六是负责区域内企业服务、协税护税工作。七是负责渝中总部经济园区的综合协调、服务、监督和管理。八是负责本部门及所属单位国资管理工作。九是完成区政府交办的其他有关事项。企业服务中心职能职责主要包括：一是宣传国家关于促进经济发展的政策，提供政策、招商信息及政务服务咨询；二是协助企业解决在发展中遇到的困难和问题；三是收集楼宇经济发展动态信息；四是搭建政企之间、企业之间的交流互动平台。</w:t>
      </w:r>
    </w:p>
    <w:p>
      <w:pPr>
        <w:pStyle w:val="103"/>
        <w:tabs>
          <w:tab w:val="center" w:pos="4153"/>
          <w:tab w:val="left" w:pos="7275"/>
        </w:tabs>
        <w:spacing w:line="594" w:lineRule="exact"/>
        <w:ind w:firstLine="640"/>
        <w:rPr>
          <w:rFonts w:eastAsia="方正仿宋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14:textFill>
            <w14:solidFill>
              <w14:schemeClr w14:val="tx1"/>
            </w14:solidFill>
          </w14:textFill>
        </w:rPr>
        <w:t>（二）机构设置。</w:t>
      </w:r>
      <w:r>
        <w:rPr>
          <w:rFonts w:hint="eastAsia"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年大石化新区管委会内设办公室、规划建设科、产业发展科</w:t>
      </w:r>
      <w:r>
        <w:rPr>
          <w:rFonts w:hint="eastAsia" w:eastAsia="方正仿宋_GBK"/>
          <w:color w:val="000000" w:themeColor="text1"/>
          <w:kern w:val="0"/>
          <w:sz w:val="32"/>
          <w:szCs w:val="32"/>
          <w14:textFill>
            <w14:solidFill>
              <w14:schemeClr w14:val="tx1"/>
            </w14:solidFill>
          </w14:textFill>
        </w:rPr>
        <w:t>（招商投资促进科）</w:t>
      </w:r>
      <w:r>
        <w:rPr>
          <w:rFonts w:hint="eastAsia" w:eastAsia="方正仿宋_GBK"/>
          <w:color w:val="000000" w:themeColor="text1"/>
          <w:sz w:val="32"/>
          <w:szCs w:val="32"/>
          <w14:textFill>
            <w14:solidFill>
              <w14:schemeClr w14:val="tx1"/>
            </w14:solidFill>
          </w14:textFill>
        </w:rPr>
        <w:t>、企业服务科（楼宇经济科）4个机构，下设1个财政全额拨款事业单位大石化新区企业服务中心。共有行政编制人员</w:t>
      </w:r>
      <w:r>
        <w:rPr>
          <w:rFonts w:hint="eastAsia" w:eastAsia="方正仿宋_GBK"/>
          <w:color w:val="000000" w:themeColor="text1"/>
          <w:sz w:val="32"/>
          <w:szCs w:val="32"/>
          <w:lang w:val="en-US" w:eastAsia="zh-CN"/>
          <w14:textFill>
            <w14:solidFill>
              <w14:schemeClr w14:val="tx1"/>
            </w14:solidFill>
          </w14:textFill>
        </w:rPr>
        <w:t>8</w:t>
      </w:r>
      <w:r>
        <w:rPr>
          <w:rFonts w:hint="eastAsia" w:eastAsia="方正仿宋_GBK"/>
          <w:color w:val="000000" w:themeColor="text1"/>
          <w:sz w:val="32"/>
          <w:szCs w:val="32"/>
          <w14:textFill>
            <w14:solidFill>
              <w14:schemeClr w14:val="tx1"/>
            </w14:solidFill>
          </w14:textFill>
        </w:rPr>
        <w:t>人，事业编制人员</w:t>
      </w:r>
      <w:r>
        <w:rPr>
          <w:rFonts w:hint="eastAsia" w:eastAsia="方正仿宋_GBK"/>
          <w:color w:val="000000" w:themeColor="text1"/>
          <w:sz w:val="32"/>
          <w:szCs w:val="32"/>
          <w:lang w:val="en-US" w:eastAsia="zh-CN"/>
          <w14:textFill>
            <w14:solidFill>
              <w14:schemeClr w14:val="tx1"/>
            </w14:solidFill>
          </w14:textFill>
        </w:rPr>
        <w:t>7</w:t>
      </w:r>
      <w:r>
        <w:rPr>
          <w:rFonts w:hint="eastAsia" w:eastAsia="方正仿宋_GBK"/>
          <w:color w:val="000000" w:themeColor="text1"/>
          <w:sz w:val="32"/>
          <w:szCs w:val="32"/>
          <w14:textFill>
            <w14:solidFill>
              <w14:schemeClr w14:val="tx1"/>
            </w14:solidFill>
          </w14:textFill>
        </w:rPr>
        <w:t>人，聘用人员10人。大石化新区企业服务中心是2015年6月经区编委同意设立的大石化新区管委会所属的公益一类事业单位，经费渠道为财政全额拨款。中心现有事业编制</w:t>
      </w:r>
      <w:r>
        <w:rPr>
          <w:rFonts w:hint="eastAsia" w:eastAsia="方正仿宋_GBK"/>
          <w:color w:val="000000" w:themeColor="text1"/>
          <w:sz w:val="32"/>
          <w:szCs w:val="32"/>
          <w:lang w:val="en-US" w:eastAsia="zh-CN"/>
          <w14:textFill>
            <w14:solidFill>
              <w14:schemeClr w14:val="tx1"/>
            </w14:solidFill>
          </w14:textFill>
        </w:rPr>
        <w:t>7</w:t>
      </w:r>
      <w:r>
        <w:rPr>
          <w:rFonts w:hint="eastAsia" w:eastAsia="方正仿宋_GBK"/>
          <w:color w:val="000000" w:themeColor="text1"/>
          <w:sz w:val="32"/>
          <w:szCs w:val="32"/>
          <w14:textFill>
            <w14:solidFill>
              <w14:schemeClr w14:val="tx1"/>
            </w14:solidFill>
          </w14:textFill>
        </w:rPr>
        <w:t>人，劳动派遣人员10人。</w:t>
      </w:r>
    </w:p>
    <w:p>
      <w:pPr>
        <w:widowControl w:val="0"/>
        <w:ind w:firstLine="640"/>
        <w:rPr>
          <w:rFonts w:hint="default"/>
          <w:color w:val="000000" w:themeColor="text1"/>
          <w:szCs w:val="32"/>
          <w14:textFill>
            <w14:solidFill>
              <w14:schemeClr w14:val="tx1"/>
            </w14:solidFill>
          </w14:textFill>
        </w:rPr>
      </w:pPr>
      <w:bookmarkStart w:id="11" w:name="_Toc5904_WPSOffice_Level1"/>
      <w:bookmarkStart w:id="12" w:name="_Toc6952_WPSOffice_Level1"/>
      <w:r>
        <w:rPr>
          <w:rFonts w:cs="方正楷体_GBK"/>
          <w:color w:val="000000" w:themeColor="text1"/>
          <w:kern w:val="2"/>
          <w:szCs w:val="32"/>
          <w14:textFill>
            <w14:solidFill>
              <w14:schemeClr w14:val="tx1"/>
            </w14:solidFill>
          </w14:textFill>
        </w:rPr>
        <w:t>（三）单位构成。</w:t>
      </w:r>
      <w:r>
        <w:rPr>
          <w:color w:val="000000" w:themeColor="text1"/>
          <w:szCs w:val="32"/>
          <w14:textFill>
            <w14:solidFill>
              <w14:schemeClr w14:val="tx1"/>
            </w14:solidFill>
          </w14:textFill>
        </w:rPr>
        <w:t>本单位决算公开数据含下属事业单位大石化新区企业服务中心。</w:t>
      </w:r>
    </w:p>
    <w:p>
      <w:pPr>
        <w:widowControl w:val="0"/>
        <w:ind w:firstLine="640"/>
        <w:rPr>
          <w:rFonts w:hint="default"/>
          <w:color w:val="000000" w:themeColor="text1"/>
          <w:szCs w:val="32"/>
          <w14:textFill>
            <w14:solidFill>
              <w14:schemeClr w14:val="tx1"/>
            </w14:solidFill>
          </w14:textFill>
        </w:rPr>
      </w:pPr>
      <w:r>
        <w:rPr>
          <w:rFonts w:cs="方正楷体_GBK"/>
          <w:color w:val="000000" w:themeColor="text1"/>
          <w:kern w:val="2"/>
          <w:szCs w:val="32"/>
          <w14:textFill>
            <w14:solidFill>
              <w14:schemeClr w14:val="tx1"/>
            </w14:solidFill>
          </w14:textFill>
        </w:rPr>
        <w:t>（四）机构改革情况。</w:t>
      </w:r>
      <w:r>
        <w:rPr>
          <w:color w:val="000000" w:themeColor="text1"/>
          <w:szCs w:val="32"/>
          <w14:textFill>
            <w14:solidFill>
              <w14:schemeClr w14:val="tx1"/>
            </w14:solidFill>
          </w14:textFill>
        </w:rPr>
        <w:t>202</w:t>
      </w:r>
      <w:r>
        <w:rPr>
          <w:rFonts w:hint="eastAsia"/>
          <w:color w:val="000000" w:themeColor="text1"/>
          <w:szCs w:val="32"/>
          <w:lang w:val="en-US" w:eastAsia="zh-CN"/>
          <w14:textFill>
            <w14:solidFill>
              <w14:schemeClr w14:val="tx1"/>
            </w14:solidFill>
          </w14:textFill>
        </w:rPr>
        <w:t>2</w:t>
      </w:r>
      <w:r>
        <w:rPr>
          <w:color w:val="000000" w:themeColor="text1"/>
          <w:szCs w:val="32"/>
          <w14:textFill>
            <w14:solidFill>
              <w14:schemeClr w14:val="tx1"/>
            </w14:solidFill>
          </w14:textFill>
        </w:rPr>
        <w:t>年度本部门不涉及机构改革。</w:t>
      </w:r>
    </w:p>
    <w:p>
      <w:pPr>
        <w:widowControl w:val="0"/>
        <w:ind w:firstLine="640"/>
        <w:rPr>
          <w:rFonts w:hint="default" w:ascii="方正黑体_GBK" w:eastAsia="方正黑体_GBK"/>
          <w:bCs/>
          <w:color w:val="000000" w:themeColor="text1"/>
          <w:szCs w:val="32"/>
          <w14:textFill>
            <w14:solidFill>
              <w14:schemeClr w14:val="tx1"/>
            </w14:solidFill>
          </w14:textFill>
        </w:rPr>
      </w:pPr>
      <w:r>
        <w:rPr>
          <w:rFonts w:ascii="方正黑体_GBK" w:eastAsia="方正黑体_GBK"/>
          <w:bCs/>
          <w:color w:val="000000" w:themeColor="text1"/>
          <w:szCs w:val="32"/>
          <w14:textFill>
            <w14:solidFill>
              <w14:schemeClr w14:val="tx1"/>
            </w14:solidFill>
          </w14:textFill>
        </w:rPr>
        <w:t>二、部门决算情况说明</w:t>
      </w:r>
      <w:bookmarkEnd w:id="11"/>
      <w:bookmarkEnd w:id="12"/>
    </w:p>
    <w:p>
      <w:pPr>
        <w:widowControl w:val="0"/>
        <w:ind w:firstLine="640"/>
        <w:rPr>
          <w:rFonts w:hint="default" w:ascii="方正楷体_GBK" w:eastAsia="方正楷体_GBK" w:cs="方正楷体_GBK"/>
          <w:color w:val="000000" w:themeColor="text1"/>
          <w:kern w:val="2"/>
          <w:szCs w:val="32"/>
          <w14:textFill>
            <w14:solidFill>
              <w14:schemeClr w14:val="tx1"/>
            </w14:solidFill>
          </w14:textFill>
        </w:rPr>
      </w:pPr>
      <w:r>
        <w:rPr>
          <w:rFonts w:ascii="方正楷体_GBK" w:eastAsia="方正楷体_GBK" w:cs="方正楷体_GBK"/>
          <w:color w:val="000000" w:themeColor="text1"/>
          <w:kern w:val="2"/>
          <w:szCs w:val="32"/>
          <w14:textFill>
            <w14:solidFill>
              <w14:schemeClr w14:val="tx1"/>
            </w14:solidFill>
          </w14:textFill>
        </w:rPr>
        <w:t>（一）收入支出决算总体情况说明</w:t>
      </w:r>
    </w:p>
    <w:p>
      <w:pPr>
        <w:widowControl w:val="0"/>
        <w:ind w:firstLine="640"/>
        <w:rPr>
          <w:rFonts w:hint="default"/>
          <w:color w:val="000000" w:themeColor="text1"/>
          <w:szCs w:val="32"/>
          <w14:textFill>
            <w14:solidFill>
              <w14:schemeClr w14:val="tx1"/>
            </w14:solidFill>
          </w14:textFill>
        </w:rPr>
      </w:pPr>
      <w:r>
        <w:rPr>
          <w:bCs/>
          <w:color w:val="000000" w:themeColor="text1"/>
          <w:szCs w:val="32"/>
          <w14:textFill>
            <w14:solidFill>
              <w14:schemeClr w14:val="tx1"/>
            </w14:solidFill>
          </w14:textFill>
        </w:rPr>
        <w:t>1.总体情况。</w:t>
      </w:r>
      <w:r>
        <w:rPr>
          <w:shd w:val="clear" w:fill="FFFFFF"/>
        </w:rPr>
        <w:t>2022年度收入总计5,263.67万元，支出总计5,263.67万元</w:t>
      </w:r>
      <w:r>
        <w:rPr>
          <w:color w:val="000000" w:themeColor="text1"/>
          <w:szCs w:val="32"/>
          <w14:textFill>
            <w14:solidFill>
              <w14:schemeClr w14:val="tx1"/>
            </w14:solidFill>
          </w14:textFill>
        </w:rPr>
        <w:t>。收支较上年决算数相比增加</w:t>
      </w:r>
      <w:r>
        <w:rPr>
          <w:rFonts w:hint="eastAsia"/>
          <w:color w:val="000000" w:themeColor="text1"/>
          <w:szCs w:val="32"/>
          <w:lang w:val="en-US" w:eastAsia="zh-CN"/>
          <w14:textFill>
            <w14:solidFill>
              <w14:schemeClr w14:val="tx1"/>
            </w14:solidFill>
          </w14:textFill>
        </w:rPr>
        <w:t>791.99</w:t>
      </w:r>
      <w:r>
        <w:rPr>
          <w:color w:val="000000" w:themeColor="text1"/>
          <w:szCs w:val="32"/>
          <w14:textFill>
            <w14:solidFill>
              <w14:schemeClr w14:val="tx1"/>
            </w14:solidFill>
          </w14:textFill>
        </w:rPr>
        <w:t>万元，增</w:t>
      </w:r>
      <w:r>
        <w:rPr>
          <w:rFonts w:hint="eastAsia"/>
          <w:color w:val="000000" w:themeColor="text1"/>
          <w:szCs w:val="32"/>
          <w:lang w:val="en-US" w:eastAsia="zh-CN"/>
          <w14:textFill>
            <w14:solidFill>
              <w14:schemeClr w14:val="tx1"/>
            </w14:solidFill>
          </w14:textFill>
        </w:rPr>
        <w:t>长</w:t>
      </w:r>
      <w:r>
        <w:rPr>
          <w:color w:val="000000" w:themeColor="text1"/>
          <w:szCs w:val="32"/>
          <w14:textFill>
            <w14:solidFill>
              <w14:schemeClr w14:val="tx1"/>
            </w14:solidFill>
          </w14:textFill>
        </w:rPr>
        <w:t>1</w:t>
      </w:r>
      <w:r>
        <w:rPr>
          <w:rFonts w:hint="eastAsia"/>
          <w:color w:val="000000" w:themeColor="text1"/>
          <w:szCs w:val="32"/>
          <w:lang w:val="en-US" w:eastAsia="zh-CN"/>
          <w14:textFill>
            <w14:solidFill>
              <w14:schemeClr w14:val="tx1"/>
            </w14:solidFill>
          </w14:textFill>
        </w:rPr>
        <w:t>6</w:t>
      </w:r>
      <w:r>
        <w:rPr>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5</w:t>
      </w:r>
      <w:r>
        <w:rPr>
          <w:color w:val="000000" w:themeColor="text1"/>
          <w:szCs w:val="32"/>
          <w14:textFill>
            <w14:solidFill>
              <w14:schemeClr w14:val="tx1"/>
            </w14:solidFill>
          </w14:textFill>
        </w:rPr>
        <w:t>%，主要原因是202</w:t>
      </w:r>
      <w:r>
        <w:rPr>
          <w:rFonts w:hint="eastAsia"/>
          <w:color w:val="000000" w:themeColor="text1"/>
          <w:szCs w:val="32"/>
          <w:lang w:val="en-US" w:eastAsia="zh-CN"/>
          <w14:textFill>
            <w14:solidFill>
              <w14:schemeClr w14:val="tx1"/>
            </w14:solidFill>
          </w14:textFill>
        </w:rPr>
        <w:t>2</w:t>
      </w:r>
      <w:r>
        <w:rPr>
          <w:color w:val="000000" w:themeColor="text1"/>
          <w:szCs w:val="32"/>
          <w14:textFill>
            <w14:solidFill>
              <w14:schemeClr w14:val="tx1"/>
            </w14:solidFill>
          </w14:textFill>
        </w:rPr>
        <w:t>年增加</w:t>
      </w:r>
      <w:r>
        <w:rPr>
          <w:rFonts w:hint="eastAsia"/>
          <w:color w:val="000000" w:themeColor="text1"/>
          <w:szCs w:val="32"/>
          <w:lang w:val="en-US" w:eastAsia="zh-CN"/>
          <w14:textFill>
            <w14:solidFill>
              <w14:schemeClr w14:val="tx1"/>
            </w14:solidFill>
          </w14:textFill>
        </w:rPr>
        <w:t>了信创服务平台专项债项目</w:t>
      </w:r>
      <w:r>
        <w:rPr>
          <w:color w:val="000000" w:themeColor="text1"/>
          <w:szCs w:val="32"/>
          <w14:textFill>
            <w14:solidFill>
              <w14:schemeClr w14:val="tx1"/>
            </w14:solidFill>
          </w14:textFill>
        </w:rPr>
        <w:t>。</w:t>
      </w:r>
    </w:p>
    <w:p>
      <w:pPr>
        <w:widowControl w:val="0"/>
        <w:ind w:firstLine="640"/>
        <w:rPr>
          <w:rFonts w:hint="default"/>
          <w:color w:val="000000" w:themeColor="text1"/>
          <w:szCs w:val="32"/>
          <w14:textFill>
            <w14:solidFill>
              <w14:schemeClr w14:val="tx1"/>
            </w14:solidFill>
          </w14:textFill>
        </w:rPr>
      </w:pPr>
      <w:r>
        <w:rPr>
          <w:bCs/>
          <w:color w:val="000000" w:themeColor="text1"/>
          <w:szCs w:val="32"/>
          <w14:textFill>
            <w14:solidFill>
              <w14:schemeClr w14:val="tx1"/>
            </w14:solidFill>
          </w14:textFill>
        </w:rPr>
        <w:t>2.收入情况。</w:t>
      </w:r>
      <w:r>
        <w:rPr>
          <w:shd w:val="clear" w:fill="FFFFFF"/>
        </w:rPr>
        <w:t>2022年度收入合计5,263.24万元</w:t>
      </w:r>
      <w:r>
        <w:rPr>
          <w:color w:val="000000" w:themeColor="text1"/>
          <w:szCs w:val="32"/>
          <w14:textFill>
            <w14:solidFill>
              <w14:schemeClr w14:val="tx1"/>
            </w14:solidFill>
          </w14:textFill>
        </w:rPr>
        <w:t>，较上年决算增加</w:t>
      </w:r>
      <w:r>
        <w:rPr>
          <w:rFonts w:hint="eastAsia"/>
          <w:color w:val="000000" w:themeColor="text1"/>
          <w:szCs w:val="32"/>
          <w:lang w:val="en-US" w:eastAsia="zh-CN"/>
          <w14:textFill>
            <w14:solidFill>
              <w14:schemeClr w14:val="tx1"/>
            </w14:solidFill>
          </w14:textFill>
        </w:rPr>
        <w:t>746.74</w:t>
      </w:r>
      <w:r>
        <w:rPr>
          <w:color w:val="000000" w:themeColor="text1"/>
          <w:szCs w:val="32"/>
          <w14:textFill>
            <w14:solidFill>
              <w14:schemeClr w14:val="tx1"/>
            </w14:solidFill>
          </w14:textFill>
        </w:rPr>
        <w:t>万元，增长1</w:t>
      </w:r>
      <w:r>
        <w:rPr>
          <w:rFonts w:hint="eastAsia"/>
          <w:color w:val="000000" w:themeColor="text1"/>
          <w:szCs w:val="32"/>
          <w:lang w:val="en-US" w:eastAsia="zh-CN"/>
          <w14:textFill>
            <w14:solidFill>
              <w14:schemeClr w14:val="tx1"/>
            </w14:solidFill>
          </w14:textFill>
        </w:rPr>
        <w:t>6.5</w:t>
      </w:r>
      <w:r>
        <w:rPr>
          <w:color w:val="000000" w:themeColor="text1"/>
          <w:szCs w:val="32"/>
          <w14:textFill>
            <w14:solidFill>
              <w14:schemeClr w14:val="tx1"/>
            </w14:solidFill>
          </w14:textFill>
        </w:rPr>
        <w:t>%，主要原因是202</w:t>
      </w:r>
      <w:r>
        <w:rPr>
          <w:rFonts w:hint="eastAsia"/>
          <w:color w:val="000000" w:themeColor="text1"/>
          <w:szCs w:val="32"/>
          <w:lang w:val="en-US" w:eastAsia="zh-CN"/>
          <w14:textFill>
            <w14:solidFill>
              <w14:schemeClr w14:val="tx1"/>
            </w14:solidFill>
          </w14:textFill>
        </w:rPr>
        <w:t>2</w:t>
      </w:r>
      <w:r>
        <w:rPr>
          <w:color w:val="000000" w:themeColor="text1"/>
          <w:szCs w:val="32"/>
          <w14:textFill>
            <w14:solidFill>
              <w14:schemeClr w14:val="tx1"/>
            </w14:solidFill>
          </w14:textFill>
        </w:rPr>
        <w:t>年增加</w:t>
      </w:r>
      <w:r>
        <w:rPr>
          <w:rFonts w:hint="eastAsia"/>
          <w:color w:val="000000" w:themeColor="text1"/>
          <w:szCs w:val="32"/>
          <w:lang w:val="en-US" w:eastAsia="zh-CN"/>
          <w14:textFill>
            <w14:solidFill>
              <w14:schemeClr w14:val="tx1"/>
            </w14:solidFill>
          </w14:textFill>
        </w:rPr>
        <w:t>了信创服务平台专项债项目</w:t>
      </w:r>
      <w:r>
        <w:rPr>
          <w:color w:val="000000" w:themeColor="text1"/>
          <w:szCs w:val="32"/>
          <w14:textFill>
            <w14:solidFill>
              <w14:schemeClr w14:val="tx1"/>
            </w14:solidFill>
          </w14:textFill>
        </w:rPr>
        <w:t>。其中：财政拨款收入</w:t>
      </w:r>
      <w:r>
        <w:rPr>
          <w:rFonts w:hint="eastAsia"/>
          <w:color w:val="000000" w:themeColor="text1"/>
          <w:szCs w:val="32"/>
          <w:lang w:val="en-US" w:eastAsia="zh-CN"/>
          <w14:textFill>
            <w14:solidFill>
              <w14:schemeClr w14:val="tx1"/>
            </w14:solidFill>
          </w14:textFill>
        </w:rPr>
        <w:t>5263.24</w:t>
      </w:r>
      <w:r>
        <w:rPr>
          <w:color w:val="000000" w:themeColor="text1"/>
          <w:szCs w:val="32"/>
          <w14:textFill>
            <w14:solidFill>
              <w14:schemeClr w14:val="tx1"/>
            </w14:solidFill>
          </w14:textFill>
        </w:rPr>
        <w:t>万元，占100</w:t>
      </w:r>
      <w:r>
        <w:rPr>
          <w:rFonts w:hint="eastAsia"/>
          <w:color w:val="000000" w:themeColor="text1"/>
          <w:szCs w:val="32"/>
          <w:lang w:val="en-US" w:eastAsia="zh-CN"/>
          <w14:textFill>
            <w14:solidFill>
              <w14:schemeClr w14:val="tx1"/>
            </w14:solidFill>
          </w14:textFill>
        </w:rPr>
        <w:t>.0</w:t>
      </w:r>
      <w:r>
        <w:rPr>
          <w:color w:val="000000" w:themeColor="text1"/>
          <w:szCs w:val="32"/>
          <w14:textFill>
            <w14:solidFill>
              <w14:schemeClr w14:val="tx1"/>
            </w14:solidFill>
          </w14:textFill>
        </w:rPr>
        <w:t>%；此外，年初结转和结余0.4</w:t>
      </w:r>
      <w:r>
        <w:rPr>
          <w:rFonts w:hint="eastAsia"/>
          <w:color w:val="000000" w:themeColor="text1"/>
          <w:szCs w:val="32"/>
          <w:lang w:val="en-US" w:eastAsia="zh-CN"/>
          <w14:textFill>
            <w14:solidFill>
              <w14:schemeClr w14:val="tx1"/>
            </w14:solidFill>
          </w14:textFill>
        </w:rPr>
        <w:t>3</w:t>
      </w:r>
      <w:r>
        <w:rPr>
          <w:color w:val="000000" w:themeColor="text1"/>
          <w:szCs w:val="32"/>
          <w14:textFill>
            <w14:solidFill>
              <w14:schemeClr w14:val="tx1"/>
            </w14:solidFill>
          </w14:textFill>
        </w:rPr>
        <w:t>万元。</w:t>
      </w:r>
    </w:p>
    <w:p>
      <w:pPr>
        <w:widowControl w:val="0"/>
        <w:ind w:firstLine="640"/>
        <w:rPr>
          <w:rFonts w:hint="default"/>
          <w:color w:val="000000" w:themeColor="text1"/>
          <w:szCs w:val="32"/>
          <w14:textFill>
            <w14:solidFill>
              <w14:schemeClr w14:val="tx1"/>
            </w14:solidFill>
          </w14:textFill>
        </w:rPr>
      </w:pPr>
      <w:r>
        <w:rPr>
          <w:bCs/>
          <w:color w:val="000000" w:themeColor="text1"/>
          <w:szCs w:val="32"/>
          <w14:textFill>
            <w14:solidFill>
              <w14:schemeClr w14:val="tx1"/>
            </w14:solidFill>
          </w14:textFill>
        </w:rPr>
        <w:t>3.支出情况。</w:t>
      </w:r>
      <w:r>
        <w:rPr>
          <w:shd w:val="clear" w:fill="FFFFFF"/>
        </w:rPr>
        <w:t>2022年度支出合计5,263.24万元</w:t>
      </w:r>
      <w:r>
        <w:rPr>
          <w:color w:val="000000" w:themeColor="text1"/>
          <w:szCs w:val="32"/>
          <w14:textFill>
            <w14:solidFill>
              <w14:schemeClr w14:val="tx1"/>
            </w14:solidFill>
          </w14:textFill>
        </w:rPr>
        <w:t>，较上年决算数相比增加</w:t>
      </w:r>
      <w:r>
        <w:rPr>
          <w:rFonts w:hint="eastAsia"/>
          <w:color w:val="000000" w:themeColor="text1"/>
          <w:szCs w:val="32"/>
          <w:lang w:val="en-US" w:eastAsia="zh-CN"/>
          <w14:textFill>
            <w14:solidFill>
              <w14:schemeClr w14:val="tx1"/>
            </w14:solidFill>
          </w14:textFill>
        </w:rPr>
        <w:t>746.75</w:t>
      </w:r>
      <w:r>
        <w:rPr>
          <w:color w:val="000000" w:themeColor="text1"/>
          <w:szCs w:val="32"/>
          <w14:textFill>
            <w14:solidFill>
              <w14:schemeClr w14:val="tx1"/>
            </w14:solidFill>
          </w14:textFill>
        </w:rPr>
        <w:t>万元，增长</w:t>
      </w:r>
      <w:r>
        <w:rPr>
          <w:rFonts w:hint="eastAsia"/>
          <w:color w:val="000000" w:themeColor="text1"/>
          <w:szCs w:val="32"/>
          <w:lang w:val="en-US" w:eastAsia="zh-CN"/>
          <w14:textFill>
            <w14:solidFill>
              <w14:schemeClr w14:val="tx1"/>
            </w14:solidFill>
          </w14:textFill>
        </w:rPr>
        <w:t>16.5</w:t>
      </w:r>
      <w:r>
        <w:rPr>
          <w:color w:val="000000" w:themeColor="text1"/>
          <w:szCs w:val="32"/>
          <w14:textFill>
            <w14:solidFill>
              <w14:schemeClr w14:val="tx1"/>
            </w14:solidFill>
          </w14:textFill>
        </w:rPr>
        <w:t>%，主要原因是202</w:t>
      </w:r>
      <w:r>
        <w:rPr>
          <w:rFonts w:hint="eastAsia"/>
          <w:color w:val="000000" w:themeColor="text1"/>
          <w:szCs w:val="32"/>
          <w:lang w:val="en-US" w:eastAsia="zh-CN"/>
          <w14:textFill>
            <w14:solidFill>
              <w14:schemeClr w14:val="tx1"/>
            </w14:solidFill>
          </w14:textFill>
        </w:rPr>
        <w:t>2</w:t>
      </w:r>
      <w:r>
        <w:rPr>
          <w:color w:val="000000" w:themeColor="text1"/>
          <w:szCs w:val="32"/>
          <w14:textFill>
            <w14:solidFill>
              <w14:schemeClr w14:val="tx1"/>
            </w14:solidFill>
          </w14:textFill>
        </w:rPr>
        <w:t>年增加</w:t>
      </w:r>
      <w:r>
        <w:rPr>
          <w:rFonts w:hint="eastAsia"/>
          <w:color w:val="000000" w:themeColor="text1"/>
          <w:szCs w:val="32"/>
          <w:lang w:val="en-US" w:eastAsia="zh-CN"/>
          <w14:textFill>
            <w14:solidFill>
              <w14:schemeClr w14:val="tx1"/>
            </w14:solidFill>
          </w14:textFill>
        </w:rPr>
        <w:t>了信创服务平台专项债项目</w:t>
      </w:r>
      <w:r>
        <w:rPr>
          <w:color w:val="000000" w:themeColor="text1"/>
          <w:szCs w:val="32"/>
          <w14:textFill>
            <w14:solidFill>
              <w14:schemeClr w14:val="tx1"/>
            </w14:solidFill>
          </w14:textFill>
        </w:rPr>
        <w:t>。</w:t>
      </w:r>
      <w:r>
        <w:rPr>
          <w:shd w:val="clear" w:fill="FFFFFF"/>
        </w:rPr>
        <w:t>其中：基本支出361.38万元，占6.9%；项目支出4,901.86万元，占93.1%</w:t>
      </w:r>
      <w:r>
        <w:rPr>
          <w:color w:val="000000" w:themeColor="text1"/>
          <w:szCs w:val="32"/>
          <w14:textFill>
            <w14:solidFill>
              <w14:schemeClr w14:val="tx1"/>
            </w14:solidFill>
          </w14:textFill>
        </w:rPr>
        <w:t>。</w:t>
      </w:r>
    </w:p>
    <w:p>
      <w:pPr>
        <w:widowControl w:val="0"/>
        <w:ind w:firstLine="640"/>
        <w:rPr>
          <w:rFonts w:hint="default"/>
          <w:color w:val="000000" w:themeColor="text1"/>
          <w:szCs w:val="32"/>
          <w14:textFill>
            <w14:solidFill>
              <w14:schemeClr w14:val="tx1"/>
            </w14:solidFill>
          </w14:textFill>
        </w:rPr>
      </w:pPr>
      <w:r>
        <w:rPr>
          <w:bCs/>
          <w:color w:val="000000" w:themeColor="text1"/>
          <w:szCs w:val="32"/>
          <w14:textFill>
            <w14:solidFill>
              <w14:schemeClr w14:val="tx1"/>
            </w14:solidFill>
          </w14:textFill>
        </w:rPr>
        <w:t>4.结转结余情况。</w:t>
      </w:r>
      <w:r>
        <w:rPr>
          <w:shd w:val="clear" w:fill="FFFFFF"/>
        </w:rPr>
        <w:t>2022年度年末结转和结余0.43万元</w:t>
      </w:r>
      <w:r>
        <w:rPr>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与上年持平</w:t>
      </w:r>
      <w:r>
        <w:rPr>
          <w:color w:val="000000" w:themeColor="text1"/>
          <w:szCs w:val="32"/>
          <w14:textFill>
            <w14:solidFill>
              <w14:schemeClr w14:val="tx1"/>
            </w14:solidFill>
          </w14:textFill>
        </w:rPr>
        <w:t>。</w:t>
      </w:r>
    </w:p>
    <w:p>
      <w:pPr>
        <w:widowControl w:val="0"/>
        <w:ind w:firstLine="640"/>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（二）财政拨款收入支出决算总体情况说明</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2022年度财政拨款收、支总计5,263.67万元。与202</w:t>
      </w:r>
      <w:r>
        <w:rPr>
          <w:rFonts w:hint="eastAsia"/>
          <w:bCs/>
          <w:color w:val="000000" w:themeColor="text1"/>
          <w:szCs w:val="32"/>
          <w:lang w:val="en-US" w:eastAsia="zh-CN"/>
          <w14:textFill>
            <w14:solidFill>
              <w14:schemeClr w14:val="tx1"/>
            </w14:solidFill>
          </w14:textFill>
        </w:rPr>
        <w:t>1</w:t>
      </w:r>
      <w:r>
        <w:rPr>
          <w:bCs/>
          <w:color w:val="000000" w:themeColor="text1"/>
          <w:szCs w:val="32"/>
          <w14:textFill>
            <w14:solidFill>
              <w14:schemeClr w14:val="tx1"/>
            </w14:solidFill>
          </w14:textFill>
        </w:rPr>
        <w:t>年相比，财政拨款收、支总计各增加</w:t>
      </w:r>
      <w:r>
        <w:rPr>
          <w:rFonts w:hint="eastAsia"/>
          <w:bCs/>
          <w:color w:val="000000" w:themeColor="text1"/>
          <w:szCs w:val="32"/>
          <w:lang w:val="en-US" w:eastAsia="zh-CN"/>
          <w14:textFill>
            <w14:solidFill>
              <w14:schemeClr w14:val="tx1"/>
            </w14:solidFill>
          </w14:textFill>
        </w:rPr>
        <w:t>746.75</w:t>
      </w:r>
      <w:r>
        <w:rPr>
          <w:bCs/>
          <w:color w:val="000000" w:themeColor="text1"/>
          <w:szCs w:val="32"/>
          <w14:textFill>
            <w14:solidFill>
              <w14:schemeClr w14:val="tx1"/>
            </w14:solidFill>
          </w14:textFill>
        </w:rPr>
        <w:t>万元，增长1</w:t>
      </w:r>
      <w:r>
        <w:rPr>
          <w:rFonts w:hint="eastAsia"/>
          <w:bCs/>
          <w:color w:val="000000" w:themeColor="text1"/>
          <w:szCs w:val="32"/>
          <w:lang w:val="en-US" w:eastAsia="zh-CN"/>
          <w14:textFill>
            <w14:solidFill>
              <w14:schemeClr w14:val="tx1"/>
            </w14:solidFill>
          </w14:textFill>
        </w:rPr>
        <w:t>6</w:t>
      </w:r>
      <w:r>
        <w:rPr>
          <w:bCs/>
          <w:color w:val="000000" w:themeColor="text1"/>
          <w:szCs w:val="32"/>
          <w14:textFill>
            <w14:solidFill>
              <w14:schemeClr w14:val="tx1"/>
            </w14:solidFill>
          </w14:textFill>
        </w:rPr>
        <w:t>.</w:t>
      </w:r>
      <w:r>
        <w:rPr>
          <w:rFonts w:hint="eastAsia"/>
          <w:bCs/>
          <w:color w:val="000000" w:themeColor="text1"/>
          <w:szCs w:val="32"/>
          <w:lang w:val="en-US" w:eastAsia="zh-CN"/>
          <w14:textFill>
            <w14:solidFill>
              <w14:schemeClr w14:val="tx1"/>
            </w14:solidFill>
          </w14:textFill>
        </w:rPr>
        <w:t>5</w:t>
      </w:r>
      <w:r>
        <w:rPr>
          <w:bCs/>
          <w:color w:val="000000" w:themeColor="text1"/>
          <w:szCs w:val="32"/>
          <w14:textFill>
            <w14:solidFill>
              <w14:schemeClr w14:val="tx1"/>
            </w14:solidFill>
          </w14:textFill>
        </w:rPr>
        <w:t>%。主要原因是202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年增加</w:t>
      </w:r>
      <w:r>
        <w:rPr>
          <w:rFonts w:hint="eastAsia"/>
          <w:bCs/>
          <w:color w:val="000000" w:themeColor="text1"/>
          <w:szCs w:val="32"/>
          <w:lang w:val="en-US" w:eastAsia="zh-CN"/>
          <w14:textFill>
            <w14:solidFill>
              <w14:schemeClr w14:val="tx1"/>
            </w14:solidFill>
          </w14:textFill>
        </w:rPr>
        <w:t>了信创服务平台专项债项目</w:t>
      </w:r>
      <w:r>
        <w:rPr>
          <w:bCs/>
          <w:color w:val="000000" w:themeColor="text1"/>
          <w:szCs w:val="32"/>
          <w14:textFill>
            <w14:solidFill>
              <w14:schemeClr w14:val="tx1"/>
            </w14:solidFill>
          </w14:textFill>
        </w:rPr>
        <w:t>。</w:t>
      </w:r>
    </w:p>
    <w:p>
      <w:pPr>
        <w:widowControl w:val="0"/>
        <w:ind w:firstLine="640"/>
        <w:rPr>
          <w:rFonts w:hint="default" w:ascii="方正楷体_GBK" w:eastAsia="方正楷体_GBK"/>
          <w:color w:val="000000" w:themeColor="text1"/>
          <w:szCs w:val="32"/>
          <w14:textFill>
            <w14:solidFill>
              <w14:schemeClr w14:val="tx1"/>
            </w14:solidFill>
          </w14:textFill>
        </w:rPr>
      </w:pPr>
      <w:r>
        <w:rPr>
          <w:rFonts w:ascii="方正楷体_GBK" w:eastAsia="方正楷体_GBK"/>
          <w:color w:val="000000" w:themeColor="text1"/>
          <w:szCs w:val="32"/>
          <w14:textFill>
            <w14:solidFill>
              <w14:schemeClr w14:val="tx1"/>
            </w14:solidFill>
          </w14:textFill>
        </w:rPr>
        <w:t>（三）一般公共预算财政拨款支出决算情况说明</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1.收入情况。2022年度一般公共预算财政拨款收入1,963.24万元，较上年决算数</w:t>
      </w:r>
      <w:r>
        <w:rPr>
          <w:rFonts w:hint="eastAsia"/>
          <w:bCs/>
          <w:color w:val="000000" w:themeColor="text1"/>
          <w:szCs w:val="32"/>
          <w:lang w:val="en-US" w:eastAsia="zh-CN"/>
          <w14:textFill>
            <w14:solidFill>
              <w14:schemeClr w14:val="tx1"/>
            </w14:solidFill>
          </w14:textFill>
        </w:rPr>
        <w:t>减少2553.25</w:t>
      </w:r>
      <w:r>
        <w:rPr>
          <w:bCs/>
          <w:color w:val="000000" w:themeColor="text1"/>
          <w:szCs w:val="32"/>
          <w14:textFill>
            <w14:solidFill>
              <w14:schemeClr w14:val="tx1"/>
            </w14:solidFill>
          </w14:textFill>
        </w:rPr>
        <w:t>万元，</w:t>
      </w:r>
      <w:r>
        <w:rPr>
          <w:rFonts w:hint="eastAsia"/>
          <w:bCs/>
          <w:color w:val="000000" w:themeColor="text1"/>
          <w:szCs w:val="32"/>
          <w:lang w:val="en-US" w:eastAsia="zh-CN"/>
          <w14:textFill>
            <w14:solidFill>
              <w14:schemeClr w14:val="tx1"/>
            </w14:solidFill>
          </w14:textFill>
        </w:rPr>
        <w:t>下降56</w:t>
      </w:r>
      <w:r>
        <w:rPr>
          <w:bCs/>
          <w:color w:val="000000" w:themeColor="text1"/>
          <w:szCs w:val="32"/>
          <w14:textFill>
            <w14:solidFill>
              <w14:schemeClr w14:val="tx1"/>
            </w14:solidFill>
          </w14:textFill>
        </w:rPr>
        <w:t>.</w:t>
      </w:r>
      <w:r>
        <w:rPr>
          <w:rFonts w:hint="eastAsia"/>
          <w:bCs/>
          <w:color w:val="000000" w:themeColor="text1"/>
          <w:szCs w:val="32"/>
          <w:lang w:val="en-US" w:eastAsia="zh-CN"/>
          <w14:textFill>
            <w14:solidFill>
              <w14:schemeClr w14:val="tx1"/>
            </w14:solidFill>
          </w14:textFill>
        </w:rPr>
        <w:t>5</w:t>
      </w:r>
      <w:r>
        <w:rPr>
          <w:bCs/>
          <w:color w:val="000000" w:themeColor="text1"/>
          <w:szCs w:val="32"/>
          <w14:textFill>
            <w14:solidFill>
              <w14:schemeClr w14:val="tx1"/>
            </w14:solidFill>
          </w14:textFill>
        </w:rPr>
        <w:t>%。</w:t>
      </w:r>
      <w:r>
        <w:rPr>
          <w:rFonts w:hint="eastAsia"/>
          <w:bCs/>
          <w:color w:val="000000" w:themeColor="text1"/>
          <w:szCs w:val="32"/>
          <w:lang w:val="en-US" w:eastAsia="zh-CN"/>
          <w14:textFill>
            <w14:solidFill>
              <w14:schemeClr w14:val="tx1"/>
            </w14:solidFill>
          </w14:textFill>
        </w:rPr>
        <w:t>主要原因是2022年对企业的补贴减少。</w:t>
      </w:r>
      <w:r>
        <w:rPr>
          <w:bCs/>
          <w:color w:val="000000" w:themeColor="text1"/>
          <w:szCs w:val="32"/>
          <w14:textFill>
            <w14:solidFill>
              <w14:schemeClr w14:val="tx1"/>
            </w14:solidFill>
          </w14:textFill>
        </w:rPr>
        <w:t>较年初预算数增加225.44万元，增长13</w:t>
      </w:r>
      <w:r>
        <w:rPr>
          <w:rFonts w:hint="eastAsia"/>
          <w:bCs/>
          <w:color w:val="000000" w:themeColor="text1"/>
          <w:szCs w:val="32"/>
          <w:lang w:val="en-US" w:eastAsia="zh-CN"/>
          <w14:textFill>
            <w14:solidFill>
              <w14:schemeClr w14:val="tx1"/>
            </w14:solidFill>
          </w14:textFill>
        </w:rPr>
        <w:t>.0</w:t>
      </w:r>
      <w:r>
        <w:rPr>
          <w:bCs/>
          <w:color w:val="000000" w:themeColor="text1"/>
          <w:szCs w:val="32"/>
          <w14:textFill>
            <w14:solidFill>
              <w14:schemeClr w14:val="tx1"/>
            </w14:solidFill>
          </w14:textFill>
        </w:rPr>
        <w:t>%。主要原因是</w:t>
      </w:r>
      <w:r>
        <w:rPr>
          <w:bCs/>
          <w:color w:val="auto"/>
          <w:szCs w:val="32"/>
          <w:highlight w:val="none"/>
        </w:rPr>
        <w:t>主要原因是202</w:t>
      </w:r>
      <w:r>
        <w:rPr>
          <w:rFonts w:hint="eastAsia"/>
          <w:bCs/>
          <w:color w:val="auto"/>
          <w:szCs w:val="32"/>
          <w:highlight w:val="none"/>
          <w:lang w:val="en-US" w:eastAsia="zh-CN"/>
        </w:rPr>
        <w:t>2</w:t>
      </w:r>
      <w:r>
        <w:rPr>
          <w:bCs/>
          <w:color w:val="auto"/>
          <w:szCs w:val="32"/>
          <w:highlight w:val="none"/>
        </w:rPr>
        <w:t>年</w:t>
      </w:r>
      <w:r>
        <w:rPr>
          <w:rFonts w:hint="eastAsia"/>
          <w:bCs/>
          <w:color w:val="auto"/>
          <w:szCs w:val="32"/>
          <w:highlight w:val="none"/>
          <w:lang w:val="en-US" w:eastAsia="zh-CN"/>
        </w:rPr>
        <w:t>国家级区块链发展先行示范区等项目是跨年项目，部分资金将于次年支出</w:t>
      </w:r>
      <w:r>
        <w:rPr>
          <w:bCs/>
          <w:color w:val="000000" w:themeColor="text1"/>
          <w:szCs w:val="32"/>
          <w14:textFill>
            <w14:solidFill>
              <w14:schemeClr w14:val="tx1"/>
            </w14:solidFill>
          </w14:textFill>
        </w:rPr>
        <w:t>。此外，年初财政拨款结转和结余0.4</w:t>
      </w:r>
      <w:r>
        <w:rPr>
          <w:rFonts w:hint="eastAsia"/>
          <w:bCs/>
          <w:color w:val="000000" w:themeColor="text1"/>
          <w:szCs w:val="32"/>
          <w:lang w:val="en-US" w:eastAsia="zh-CN"/>
          <w14:textFill>
            <w14:solidFill>
              <w14:schemeClr w14:val="tx1"/>
            </w14:solidFill>
          </w14:textFill>
        </w:rPr>
        <w:t>3</w:t>
      </w:r>
      <w:r>
        <w:rPr>
          <w:bCs/>
          <w:color w:val="000000" w:themeColor="text1"/>
          <w:szCs w:val="32"/>
          <w14:textFill>
            <w14:solidFill>
              <w14:schemeClr w14:val="tx1"/>
            </w14:solidFill>
          </w14:textFill>
        </w:rPr>
        <w:t>万元。</w:t>
      </w:r>
    </w:p>
    <w:p>
      <w:pPr>
        <w:widowControl w:val="0"/>
        <w:ind w:firstLine="640"/>
        <w:rPr>
          <w:rFonts w:hint="default"/>
          <w:bCs/>
          <w:color w:val="000000" w:themeColor="text1"/>
          <w:szCs w:val="32"/>
          <w:highlight w:val="none"/>
          <w14:textFill>
            <w14:solidFill>
              <w14:schemeClr w14:val="tx1"/>
            </w14:solidFill>
          </w14:textFill>
        </w:rPr>
      </w:pPr>
      <w:r>
        <w:rPr>
          <w:bCs/>
          <w:color w:val="000000" w:themeColor="text1"/>
          <w:szCs w:val="32"/>
          <w14:textFill>
            <w14:solidFill>
              <w14:schemeClr w14:val="tx1"/>
            </w14:solidFill>
          </w14:textFill>
        </w:rPr>
        <w:t>2.支出情况。2022年度一般公共预算财政拨款支出1,963.24万元，较上年决算数</w:t>
      </w:r>
      <w:r>
        <w:rPr>
          <w:rFonts w:hint="eastAsia"/>
          <w:bCs/>
          <w:color w:val="000000" w:themeColor="text1"/>
          <w:szCs w:val="32"/>
          <w:lang w:val="en-US" w:eastAsia="zh-CN"/>
          <w14:textFill>
            <w14:solidFill>
              <w14:schemeClr w14:val="tx1"/>
            </w14:solidFill>
          </w14:textFill>
        </w:rPr>
        <w:t>减少2553.25</w:t>
      </w:r>
      <w:r>
        <w:rPr>
          <w:bCs/>
          <w:color w:val="000000" w:themeColor="text1"/>
          <w:szCs w:val="32"/>
          <w14:textFill>
            <w14:solidFill>
              <w14:schemeClr w14:val="tx1"/>
            </w14:solidFill>
          </w14:textFill>
        </w:rPr>
        <w:t>万元，</w:t>
      </w:r>
      <w:r>
        <w:rPr>
          <w:rFonts w:hint="eastAsia"/>
          <w:bCs/>
          <w:color w:val="000000" w:themeColor="text1"/>
          <w:szCs w:val="32"/>
          <w:lang w:val="en-US" w:eastAsia="zh-CN"/>
          <w14:textFill>
            <w14:solidFill>
              <w14:schemeClr w14:val="tx1"/>
            </w14:solidFill>
          </w14:textFill>
        </w:rPr>
        <w:t>下降56</w:t>
      </w:r>
      <w:r>
        <w:rPr>
          <w:bCs/>
          <w:color w:val="000000" w:themeColor="text1"/>
          <w:szCs w:val="32"/>
          <w14:textFill>
            <w14:solidFill>
              <w14:schemeClr w14:val="tx1"/>
            </w14:solidFill>
          </w14:textFill>
        </w:rPr>
        <w:t>.</w:t>
      </w:r>
      <w:r>
        <w:rPr>
          <w:rFonts w:hint="eastAsia"/>
          <w:bCs/>
          <w:color w:val="000000" w:themeColor="text1"/>
          <w:szCs w:val="32"/>
          <w:lang w:val="en-US" w:eastAsia="zh-CN"/>
          <w14:textFill>
            <w14:solidFill>
              <w14:schemeClr w14:val="tx1"/>
            </w14:solidFill>
          </w14:textFill>
        </w:rPr>
        <w:t>5</w:t>
      </w:r>
      <w:r>
        <w:rPr>
          <w:bCs/>
          <w:color w:val="000000" w:themeColor="text1"/>
          <w:szCs w:val="32"/>
          <w14:textFill>
            <w14:solidFill>
              <w14:schemeClr w14:val="tx1"/>
            </w14:solidFill>
          </w14:textFill>
        </w:rPr>
        <w:t>%。</w:t>
      </w:r>
      <w:r>
        <w:rPr>
          <w:rFonts w:hint="eastAsia"/>
          <w:bCs/>
          <w:color w:val="000000" w:themeColor="text1"/>
          <w:szCs w:val="32"/>
          <w:lang w:val="en-US" w:eastAsia="zh-CN"/>
          <w14:textFill>
            <w14:solidFill>
              <w14:schemeClr w14:val="tx1"/>
            </w14:solidFill>
          </w14:textFill>
        </w:rPr>
        <w:t>主要原因是2022年对企业的补贴减少。</w:t>
      </w:r>
      <w:r>
        <w:rPr>
          <w:bCs/>
          <w:color w:val="000000" w:themeColor="text1"/>
          <w:szCs w:val="32"/>
          <w14:textFill>
            <w14:solidFill>
              <w14:schemeClr w14:val="tx1"/>
            </w14:solidFill>
          </w14:textFill>
        </w:rPr>
        <w:t>较年初预算数减少176.59万元，下降8.3%。</w:t>
      </w:r>
      <w:r>
        <w:rPr>
          <w:bCs/>
          <w:color w:val="auto"/>
          <w:szCs w:val="32"/>
          <w:highlight w:val="none"/>
        </w:rPr>
        <w:t>主要原因是202</w:t>
      </w:r>
      <w:r>
        <w:rPr>
          <w:rFonts w:hint="eastAsia"/>
          <w:bCs/>
          <w:color w:val="auto"/>
          <w:szCs w:val="32"/>
          <w:highlight w:val="none"/>
          <w:lang w:val="en-US" w:eastAsia="zh-CN"/>
        </w:rPr>
        <w:t>2</w:t>
      </w:r>
      <w:r>
        <w:rPr>
          <w:bCs/>
          <w:color w:val="auto"/>
          <w:szCs w:val="32"/>
          <w:highlight w:val="none"/>
        </w:rPr>
        <w:t>年</w:t>
      </w:r>
      <w:r>
        <w:rPr>
          <w:rFonts w:hint="eastAsia"/>
          <w:bCs/>
          <w:color w:val="auto"/>
          <w:szCs w:val="32"/>
          <w:highlight w:val="none"/>
          <w:lang w:val="en-US" w:eastAsia="zh-CN"/>
        </w:rPr>
        <w:t>国家级区块链发展先行示范区等项目是跨年项目，部分资金将于次年支出</w:t>
      </w:r>
      <w:r>
        <w:rPr>
          <w:bCs/>
          <w:color w:val="000000" w:themeColor="text1"/>
          <w:szCs w:val="32"/>
          <w:highlight w:val="none"/>
          <w14:textFill>
            <w14:solidFill>
              <w14:schemeClr w14:val="tx1"/>
            </w14:solidFill>
          </w14:textFill>
        </w:rPr>
        <w:t>。。</w:t>
      </w:r>
    </w:p>
    <w:p>
      <w:pPr>
        <w:widowControl w:val="0"/>
        <w:ind w:firstLine="640"/>
        <w:rPr>
          <w:rFonts w:hint="default"/>
          <w:bCs/>
          <w:color w:val="000000" w:themeColor="text1"/>
          <w:szCs w:val="32"/>
          <w:highlight w:val="none"/>
          <w14:textFill>
            <w14:solidFill>
              <w14:schemeClr w14:val="tx1"/>
            </w14:solidFill>
          </w14:textFill>
        </w:rPr>
      </w:pPr>
      <w:r>
        <w:rPr>
          <w:bCs/>
          <w:color w:val="000000" w:themeColor="text1"/>
          <w:szCs w:val="32"/>
          <w:highlight w:val="none"/>
          <w14:textFill>
            <w14:solidFill>
              <w14:schemeClr w14:val="tx1"/>
            </w14:solidFill>
          </w14:textFill>
        </w:rPr>
        <w:t>3.结转结余情况。202</w:t>
      </w:r>
      <w:r>
        <w:rPr>
          <w:rFonts w:hint="eastAsia"/>
          <w:bCs/>
          <w:color w:val="000000" w:themeColor="text1"/>
          <w:szCs w:val="32"/>
          <w:highlight w:val="none"/>
          <w:lang w:val="en-US" w:eastAsia="zh-CN"/>
          <w14:textFill>
            <w14:solidFill>
              <w14:schemeClr w14:val="tx1"/>
            </w14:solidFill>
          </w14:textFill>
        </w:rPr>
        <w:t>2</w:t>
      </w:r>
      <w:r>
        <w:rPr>
          <w:bCs/>
          <w:color w:val="000000" w:themeColor="text1"/>
          <w:szCs w:val="32"/>
          <w:highlight w:val="none"/>
          <w14:textFill>
            <w14:solidFill>
              <w14:schemeClr w14:val="tx1"/>
            </w14:solidFill>
          </w14:textFill>
        </w:rPr>
        <w:t>年度年末一般公共预算财政拨款结转和结余0.43万元，</w:t>
      </w:r>
      <w:r>
        <w:rPr>
          <w:rFonts w:hint="eastAsia"/>
          <w:bCs/>
          <w:color w:val="000000" w:themeColor="text1"/>
          <w:szCs w:val="32"/>
          <w:highlight w:val="none"/>
          <w:lang w:val="en-US" w:eastAsia="zh-CN"/>
          <w14:textFill>
            <w14:solidFill>
              <w14:schemeClr w14:val="tx1"/>
            </w14:solidFill>
          </w14:textFill>
        </w:rPr>
        <w:t>与上年持平</w:t>
      </w:r>
      <w:r>
        <w:rPr>
          <w:bCs/>
          <w:color w:val="000000" w:themeColor="text1"/>
          <w:szCs w:val="32"/>
          <w:highlight w:val="none"/>
          <w14:textFill>
            <w14:solidFill>
              <w14:schemeClr w14:val="tx1"/>
            </w14:solidFill>
          </w14:textFill>
        </w:rPr>
        <w:t>。</w:t>
      </w:r>
    </w:p>
    <w:p>
      <w:pPr>
        <w:widowControl w:val="0"/>
        <w:ind w:firstLine="640"/>
        <w:rPr>
          <w:rFonts w:hint="default"/>
          <w:bCs/>
          <w:color w:val="000000" w:themeColor="text1"/>
          <w:szCs w:val="32"/>
          <w:highlight w:val="none"/>
          <w14:textFill>
            <w14:solidFill>
              <w14:schemeClr w14:val="tx1"/>
            </w14:solidFill>
          </w14:textFill>
        </w:rPr>
      </w:pPr>
      <w:r>
        <w:rPr>
          <w:bCs/>
          <w:color w:val="000000" w:themeColor="text1"/>
          <w:szCs w:val="32"/>
          <w:highlight w:val="none"/>
          <w14:textFill>
            <w14:solidFill>
              <w14:schemeClr w14:val="tx1"/>
            </w14:solidFill>
          </w14:textFill>
        </w:rPr>
        <w:t>4.比较情况。202</w:t>
      </w:r>
      <w:r>
        <w:rPr>
          <w:rFonts w:hint="eastAsia"/>
          <w:bCs/>
          <w:color w:val="000000" w:themeColor="text1"/>
          <w:szCs w:val="32"/>
          <w:highlight w:val="none"/>
          <w:lang w:val="en-US" w:eastAsia="zh-CN"/>
          <w14:textFill>
            <w14:solidFill>
              <w14:schemeClr w14:val="tx1"/>
            </w14:solidFill>
          </w14:textFill>
        </w:rPr>
        <w:t>2</w:t>
      </w:r>
      <w:r>
        <w:rPr>
          <w:bCs/>
          <w:color w:val="000000" w:themeColor="text1"/>
          <w:szCs w:val="32"/>
          <w:highlight w:val="none"/>
          <w14:textFill>
            <w14:solidFill>
              <w14:schemeClr w14:val="tx1"/>
            </w14:solidFill>
          </w14:textFill>
        </w:rPr>
        <w:t>年度一般公共预算财政拨款支出主要用于以下几个方面：</w:t>
      </w:r>
    </w:p>
    <w:p>
      <w:pPr>
        <w:widowControl w:val="0"/>
        <w:ind w:firstLine="640"/>
        <w:rPr>
          <w:rFonts w:hint="default"/>
          <w:bCs/>
          <w:color w:val="000000" w:themeColor="text1"/>
          <w:szCs w:val="32"/>
          <w:highlight w:val="none"/>
          <w14:textFill>
            <w14:solidFill>
              <w14:schemeClr w14:val="tx1"/>
            </w14:solidFill>
          </w14:textFill>
        </w:rPr>
      </w:pPr>
      <w:r>
        <w:rPr>
          <w:bCs/>
          <w:color w:val="000000" w:themeColor="text1"/>
          <w:szCs w:val="32"/>
          <w:highlight w:val="none"/>
          <w14:textFill>
            <w14:solidFill>
              <w14:schemeClr w14:val="tx1"/>
            </w14:solidFill>
          </w14:textFill>
        </w:rPr>
        <w:t>⑴一般公共服务支出920.72万元，占46.9%，较年初预算数减少298.18万元，下降24.5%，</w:t>
      </w:r>
      <w:r>
        <w:rPr>
          <w:bCs/>
          <w:color w:val="auto"/>
          <w:szCs w:val="32"/>
          <w:highlight w:val="none"/>
        </w:rPr>
        <w:t>主要原因是202</w:t>
      </w:r>
      <w:r>
        <w:rPr>
          <w:rFonts w:hint="eastAsia"/>
          <w:bCs/>
          <w:color w:val="auto"/>
          <w:szCs w:val="32"/>
          <w:highlight w:val="none"/>
          <w:lang w:val="en-US" w:eastAsia="zh-CN"/>
        </w:rPr>
        <w:t>2</w:t>
      </w:r>
      <w:r>
        <w:rPr>
          <w:bCs/>
          <w:color w:val="auto"/>
          <w:szCs w:val="32"/>
          <w:highlight w:val="none"/>
        </w:rPr>
        <w:t>年</w:t>
      </w:r>
      <w:r>
        <w:rPr>
          <w:rFonts w:hint="eastAsia"/>
          <w:bCs/>
          <w:color w:val="auto"/>
          <w:szCs w:val="32"/>
          <w:highlight w:val="none"/>
          <w:lang w:val="en-US" w:eastAsia="zh-CN"/>
        </w:rPr>
        <w:t>国家级区块链发展先行示范区等项目是跨年项目，部分资金将于次年支出</w:t>
      </w:r>
      <w:r>
        <w:rPr>
          <w:bCs/>
          <w:color w:val="000000" w:themeColor="text1"/>
          <w:szCs w:val="32"/>
          <w:highlight w:val="none"/>
          <w14:textFill>
            <w14:solidFill>
              <w14:schemeClr w14:val="tx1"/>
            </w14:solidFill>
          </w14:textFill>
        </w:rPr>
        <w:t>。</w:t>
      </w:r>
    </w:p>
    <w:p>
      <w:pPr>
        <w:widowControl w:val="0"/>
        <w:ind w:firstLine="640"/>
        <w:rPr>
          <w:rFonts w:hint="default"/>
          <w:bCs/>
          <w:color w:val="000000" w:themeColor="text1"/>
          <w:szCs w:val="32"/>
          <w:highlight w:val="none"/>
          <w14:textFill>
            <w14:solidFill>
              <w14:schemeClr w14:val="tx1"/>
            </w14:solidFill>
          </w14:textFill>
        </w:rPr>
      </w:pPr>
      <w:r>
        <w:rPr>
          <w:bCs/>
          <w:color w:val="000000" w:themeColor="text1"/>
          <w:szCs w:val="32"/>
          <w:highlight w:val="none"/>
          <w14:textFill>
            <w14:solidFill>
              <w14:schemeClr w14:val="tx1"/>
            </w14:solidFill>
          </w14:textFill>
        </w:rPr>
        <w:t>⑵社会保障与就业支出30.71万元，占1.6%，较年初预算数减少0.41万元，下降1.3%，</w:t>
      </w:r>
      <w:r>
        <w:rPr>
          <w:rFonts w:hint="eastAsia"/>
          <w:bCs/>
          <w:color w:val="000000" w:themeColor="text1"/>
          <w:szCs w:val="32"/>
          <w:highlight w:val="none"/>
          <w:lang w:val="en-US" w:eastAsia="zh-CN"/>
          <w14:textFill>
            <w14:solidFill>
              <w14:schemeClr w14:val="tx1"/>
            </w14:solidFill>
          </w14:textFill>
        </w:rPr>
        <w:t>主要原因是行编人员年末时减少1人</w:t>
      </w:r>
      <w:r>
        <w:rPr>
          <w:bCs/>
          <w:color w:val="000000" w:themeColor="text1"/>
          <w:szCs w:val="32"/>
          <w:highlight w:val="none"/>
          <w14:textFill>
            <w14:solidFill>
              <w14:schemeClr w14:val="tx1"/>
            </w14:solidFill>
          </w14:textFill>
        </w:rPr>
        <w:t>。</w:t>
      </w:r>
    </w:p>
    <w:p>
      <w:pPr>
        <w:widowControl w:val="0"/>
        <w:ind w:firstLine="640"/>
        <w:rPr>
          <w:rFonts w:hint="default"/>
          <w:bCs/>
          <w:color w:val="000000" w:themeColor="text1"/>
          <w:szCs w:val="32"/>
          <w:highlight w:val="none"/>
          <w14:textFill>
            <w14:solidFill>
              <w14:schemeClr w14:val="tx1"/>
            </w14:solidFill>
          </w14:textFill>
        </w:rPr>
      </w:pPr>
      <w:r>
        <w:rPr>
          <w:bCs/>
          <w:color w:val="000000" w:themeColor="text1"/>
          <w:szCs w:val="32"/>
          <w:highlight w:val="none"/>
          <w14:textFill>
            <w14:solidFill>
              <w14:schemeClr w14:val="tx1"/>
            </w14:solidFill>
          </w14:textFill>
        </w:rPr>
        <w:t>⑶卫生健康支出14.83万元，占0.8%，较年初预算数减少1.25万元，下降7.8%，</w:t>
      </w:r>
      <w:r>
        <w:rPr>
          <w:rFonts w:hint="eastAsia"/>
          <w:bCs/>
          <w:color w:val="000000" w:themeColor="text1"/>
          <w:szCs w:val="32"/>
          <w:highlight w:val="none"/>
          <w:lang w:val="en-US" w:eastAsia="zh-CN"/>
          <w14:textFill>
            <w14:solidFill>
              <w14:schemeClr w14:val="tx1"/>
            </w14:solidFill>
          </w14:textFill>
        </w:rPr>
        <w:t>主要原因是行编人员年末时减少1人</w:t>
      </w:r>
      <w:r>
        <w:rPr>
          <w:bCs/>
          <w:color w:val="000000" w:themeColor="text1"/>
          <w:szCs w:val="32"/>
          <w:highlight w:val="none"/>
          <w14:textFill>
            <w14:solidFill>
              <w14:schemeClr w14:val="tx1"/>
            </w14:solidFill>
          </w14:textFill>
        </w:rPr>
        <w:t>。</w:t>
      </w:r>
    </w:p>
    <w:p>
      <w:pPr>
        <w:widowControl w:val="0"/>
        <w:ind w:firstLine="640"/>
        <w:rPr>
          <w:rFonts w:hint="default"/>
          <w:bCs/>
          <w:color w:val="000000" w:themeColor="text1"/>
          <w:szCs w:val="32"/>
          <w:highlight w:val="none"/>
          <w14:textFill>
            <w14:solidFill>
              <w14:schemeClr w14:val="tx1"/>
            </w14:solidFill>
          </w14:textFill>
        </w:rPr>
      </w:pPr>
      <w:r>
        <w:rPr>
          <w:bCs/>
          <w:color w:val="000000" w:themeColor="text1"/>
          <w:szCs w:val="32"/>
          <w:highlight w:val="none"/>
          <w14:textFill>
            <w14:solidFill>
              <w14:schemeClr w14:val="tx1"/>
            </w14:solidFill>
          </w14:textFill>
        </w:rPr>
        <w:t>⑷科学技术支出779.11万元，占39.7%，较年初预算数增加328.11万元，增长72.8%，主要原因是</w:t>
      </w:r>
      <w:r>
        <w:rPr>
          <w:rFonts w:hint="eastAsia"/>
          <w:bCs/>
          <w:color w:val="000000" w:themeColor="text1"/>
          <w:szCs w:val="32"/>
          <w:highlight w:val="none"/>
          <w:lang w:val="en-US" w:eastAsia="zh-CN"/>
          <w14:textFill>
            <w14:solidFill>
              <w14:schemeClr w14:val="tx1"/>
            </w14:solidFill>
          </w14:textFill>
        </w:rPr>
        <w:t>2022年将数字产业园项目纳入科学技术支出中</w:t>
      </w:r>
      <w:r>
        <w:rPr>
          <w:bCs/>
          <w:color w:val="000000" w:themeColor="text1"/>
          <w:szCs w:val="32"/>
          <w:highlight w:val="none"/>
          <w14:textFill>
            <w14:solidFill>
              <w14:schemeClr w14:val="tx1"/>
            </w14:solidFill>
          </w14:textFill>
        </w:rPr>
        <w:t>。</w:t>
      </w:r>
    </w:p>
    <w:p>
      <w:pPr>
        <w:widowControl w:val="0"/>
        <w:ind w:firstLine="640"/>
        <w:rPr>
          <w:rFonts w:hint="default"/>
          <w:bCs/>
          <w:color w:val="000000" w:themeColor="text1"/>
          <w:szCs w:val="32"/>
          <w:highlight w:val="none"/>
          <w14:textFill>
            <w14:solidFill>
              <w14:schemeClr w14:val="tx1"/>
            </w14:solidFill>
          </w14:textFill>
        </w:rPr>
      </w:pPr>
      <w:r>
        <w:rPr>
          <w:bCs/>
          <w:color w:val="000000" w:themeColor="text1"/>
          <w:szCs w:val="32"/>
          <w:highlight w:val="none"/>
          <w14:textFill>
            <w14:solidFill>
              <w14:schemeClr w14:val="tx1"/>
            </w14:solidFill>
          </w14:textFill>
        </w:rPr>
        <w:t>⑸商业服务业等支出4.75万元，占0.2%，较年初预算数减少383.29万元，下降98.8%，</w:t>
      </w:r>
      <w:r>
        <w:rPr>
          <w:bCs/>
          <w:color w:val="auto"/>
          <w:szCs w:val="32"/>
          <w:highlight w:val="none"/>
        </w:rPr>
        <w:t>主要原因是202</w:t>
      </w:r>
      <w:r>
        <w:rPr>
          <w:rFonts w:hint="eastAsia"/>
          <w:bCs/>
          <w:color w:val="auto"/>
          <w:szCs w:val="32"/>
          <w:highlight w:val="none"/>
          <w:lang w:val="en-US" w:eastAsia="zh-CN"/>
        </w:rPr>
        <w:t>2</w:t>
      </w:r>
      <w:r>
        <w:rPr>
          <w:bCs/>
          <w:color w:val="auto"/>
          <w:szCs w:val="32"/>
          <w:highlight w:val="none"/>
        </w:rPr>
        <w:t>年</w:t>
      </w:r>
      <w:r>
        <w:rPr>
          <w:rFonts w:hint="eastAsia"/>
          <w:bCs/>
          <w:color w:val="auto"/>
          <w:szCs w:val="32"/>
          <w:highlight w:val="none"/>
          <w:lang w:val="en-US" w:eastAsia="zh-CN"/>
        </w:rPr>
        <w:t>国家级区块链发展先行示范区等项目是跨年项目，部分资金将于次年支出</w:t>
      </w:r>
      <w:r>
        <w:rPr>
          <w:bCs/>
          <w:color w:val="000000" w:themeColor="text1"/>
          <w:szCs w:val="32"/>
          <w:highlight w:val="none"/>
          <w14:textFill>
            <w14:solidFill>
              <w14:schemeClr w14:val="tx1"/>
            </w14:solidFill>
          </w14:textFill>
        </w:rPr>
        <w:t>。</w:t>
      </w:r>
    </w:p>
    <w:p>
      <w:pPr>
        <w:widowControl w:val="0"/>
        <w:ind w:firstLine="640"/>
        <w:rPr>
          <w:bCs/>
          <w:color w:val="000000" w:themeColor="text1"/>
          <w:szCs w:val="32"/>
          <w14:textFill>
            <w14:solidFill>
              <w14:schemeClr w14:val="tx1"/>
            </w14:solidFill>
          </w14:textFill>
        </w:rPr>
      </w:pPr>
      <w:r>
        <w:rPr>
          <w:bCs/>
          <w:color w:val="000000" w:themeColor="text1"/>
          <w:szCs w:val="32"/>
          <w14:textFill>
            <w14:solidFill>
              <w14:schemeClr w14:val="tx1"/>
            </w14:solidFill>
          </w14:textFill>
        </w:rPr>
        <w:t>⑹住房保障支出20.4万元，占1%，较年初预算数减少0.3万元，下降1.4%，</w:t>
      </w:r>
      <w:r>
        <w:rPr>
          <w:rFonts w:hint="eastAsia"/>
          <w:bCs/>
          <w:color w:val="000000" w:themeColor="text1"/>
          <w:szCs w:val="32"/>
          <w:lang w:val="en-US" w:eastAsia="zh-CN"/>
          <w14:textFill>
            <w14:solidFill>
              <w14:schemeClr w14:val="tx1"/>
            </w14:solidFill>
          </w14:textFill>
        </w:rPr>
        <w:t>主要原因是行编人员年末时减少1人</w:t>
      </w:r>
      <w:r>
        <w:rPr>
          <w:bCs/>
          <w:color w:val="000000" w:themeColor="text1"/>
          <w:szCs w:val="32"/>
          <w14:textFill>
            <w14:solidFill>
              <w14:schemeClr w14:val="tx1"/>
            </w14:solidFill>
          </w14:textFill>
        </w:rPr>
        <w:t>。</w:t>
      </w:r>
    </w:p>
    <w:p>
      <w:pPr>
        <w:widowControl w:val="0"/>
        <w:ind w:firstLine="640"/>
        <w:rPr>
          <w:rFonts w:hint="eastAsia"/>
          <w:bCs/>
          <w:color w:val="000000" w:themeColor="text1"/>
          <w:szCs w:val="32"/>
          <w:lang w:val="en-US" w:eastAsia="zh-CN"/>
          <w14:textFill>
            <w14:solidFill>
              <w14:schemeClr w14:val="tx1"/>
            </w14:solidFill>
          </w14:textFill>
        </w:rPr>
      </w:pPr>
      <w:r>
        <w:rPr>
          <w:rFonts w:hint="default"/>
          <w:bCs/>
          <w:color w:val="000000" w:themeColor="text1"/>
          <w:szCs w:val="32"/>
          <w:lang w:val="en-US"/>
          <w14:textFill>
            <w14:solidFill>
              <w14:schemeClr w14:val="tx1"/>
            </w14:solidFill>
          </w14:textFill>
        </w:rPr>
        <w:t>(7)</w:t>
      </w:r>
      <w:r>
        <w:rPr>
          <w:bCs/>
          <w:color w:val="000000" w:themeColor="text1"/>
          <w:szCs w:val="32"/>
          <w14:textFill>
            <w14:solidFill>
              <w14:schemeClr w14:val="tx1"/>
            </w14:solidFill>
          </w14:textFill>
        </w:rPr>
        <w:t>城乡社区支出14万元，占0.7%，</w:t>
      </w:r>
      <w:r>
        <w:rPr>
          <w:rFonts w:hint="eastAsia"/>
          <w:bCs/>
          <w:color w:val="000000" w:themeColor="text1"/>
          <w:szCs w:val="32"/>
          <w:lang w:val="en-US" w:eastAsia="zh-CN"/>
          <w14:textFill>
            <w14:solidFill>
              <w14:schemeClr w14:val="tx1"/>
            </w14:solidFill>
          </w14:textFill>
        </w:rPr>
        <w:t>和</w:t>
      </w:r>
      <w:r>
        <w:rPr>
          <w:bCs/>
          <w:color w:val="000000" w:themeColor="text1"/>
          <w:szCs w:val="32"/>
          <w14:textFill>
            <w14:solidFill>
              <w14:schemeClr w14:val="tx1"/>
            </w14:solidFill>
          </w14:textFill>
        </w:rPr>
        <w:t>年初预算数</w:t>
      </w:r>
      <w:r>
        <w:rPr>
          <w:rFonts w:hint="eastAsia"/>
          <w:bCs/>
          <w:color w:val="000000" w:themeColor="text1"/>
          <w:szCs w:val="32"/>
          <w:lang w:val="en-US" w:eastAsia="zh-CN"/>
          <w14:textFill>
            <w14:solidFill>
              <w14:schemeClr w14:val="tx1"/>
            </w14:solidFill>
          </w14:textFill>
        </w:rPr>
        <w:t>持平。</w:t>
      </w:r>
    </w:p>
    <w:p>
      <w:pPr>
        <w:widowControl w:val="0"/>
        <w:ind w:firstLine="640"/>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14:textFill>
            <w14:solidFill>
              <w14:schemeClr w14:val="tx1"/>
            </w14:solidFill>
          </w14:textFill>
        </w:rPr>
        <w:t>(8)</w:t>
      </w:r>
      <w:r>
        <w:rPr>
          <w:bCs/>
          <w:color w:val="000000" w:themeColor="text1"/>
          <w:szCs w:val="32"/>
          <w14:textFill>
            <w14:solidFill>
              <w14:schemeClr w14:val="tx1"/>
            </w14:solidFill>
          </w14:textFill>
        </w:rPr>
        <w:t>资源勘探信息等支出178.73万元，占9.1%，较年初预算数增加178.73万元，增长</w:t>
      </w:r>
      <w:r>
        <w:rPr>
          <w:rFonts w:hint="eastAsia"/>
          <w:bCs/>
          <w:color w:val="000000" w:themeColor="text1"/>
          <w:szCs w:val="32"/>
          <w:lang w:val="en-US" w:eastAsia="zh-CN"/>
          <w14:textFill>
            <w14:solidFill>
              <w14:schemeClr w14:val="tx1"/>
            </w14:solidFill>
          </w14:textFill>
        </w:rPr>
        <w:t>100.0</w:t>
      </w:r>
      <w:r>
        <w:rPr>
          <w:bCs/>
          <w:color w:val="000000" w:themeColor="text1"/>
          <w:szCs w:val="32"/>
          <w14:textFill>
            <w14:solidFill>
              <w14:schemeClr w14:val="tx1"/>
            </w14:solidFill>
          </w14:textFill>
        </w:rPr>
        <w:t>%</w:t>
      </w:r>
      <w:r>
        <w:rPr>
          <w:rFonts w:hint="eastAsia"/>
          <w:bCs/>
          <w:color w:val="000000" w:themeColor="text1"/>
          <w:szCs w:val="32"/>
          <w:lang w:eastAsia="zh-CN"/>
          <w14:textFill>
            <w14:solidFill>
              <w14:schemeClr w14:val="tx1"/>
            </w14:solidFill>
          </w14:textFill>
        </w:rPr>
        <w:t>，</w:t>
      </w:r>
      <w:r>
        <w:rPr>
          <w:rFonts w:hint="eastAsia"/>
          <w:bCs/>
          <w:color w:val="000000" w:themeColor="text1"/>
          <w:szCs w:val="32"/>
          <w:lang w:val="en-US" w:eastAsia="zh-CN"/>
          <w14:textFill>
            <w14:solidFill>
              <w14:schemeClr w14:val="tx1"/>
            </w14:solidFill>
          </w14:textFill>
        </w:rPr>
        <w:t>主要原因是年中追加了工软大会策划及服务费。</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（四）一般公共预算财政拨款基本支出决算情况说明</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2022年度一般公共预算财政拨款基本支出361.38万元。其中：人员经费283.58万元，较上年决算数</w:t>
      </w:r>
      <w:r>
        <w:rPr>
          <w:rFonts w:hint="eastAsia"/>
          <w:bCs/>
          <w:color w:val="000000" w:themeColor="text1"/>
          <w:szCs w:val="32"/>
          <w:lang w:val="en-US" w:eastAsia="zh-CN"/>
          <w14:textFill>
            <w14:solidFill>
              <w14:schemeClr w14:val="tx1"/>
            </w14:solidFill>
          </w14:textFill>
        </w:rPr>
        <w:t>减少4.51</w:t>
      </w:r>
      <w:r>
        <w:rPr>
          <w:bCs/>
          <w:color w:val="000000" w:themeColor="text1"/>
          <w:szCs w:val="32"/>
          <w14:textFill>
            <w14:solidFill>
              <w14:schemeClr w14:val="tx1"/>
            </w14:solidFill>
          </w14:textFill>
        </w:rPr>
        <w:t>万元，</w:t>
      </w:r>
      <w:r>
        <w:rPr>
          <w:rFonts w:hint="eastAsia"/>
          <w:bCs/>
          <w:color w:val="000000" w:themeColor="text1"/>
          <w:szCs w:val="32"/>
          <w:lang w:val="en-US" w:eastAsia="zh-CN"/>
          <w14:textFill>
            <w14:solidFill>
              <w14:schemeClr w14:val="tx1"/>
            </w14:solidFill>
          </w14:textFill>
        </w:rPr>
        <w:t>下降1.6</w:t>
      </w:r>
      <w:r>
        <w:rPr>
          <w:bCs/>
          <w:color w:val="000000" w:themeColor="text1"/>
          <w:szCs w:val="32"/>
          <w14:textFill>
            <w14:solidFill>
              <w14:schemeClr w14:val="tx1"/>
            </w14:solidFill>
          </w14:textFill>
        </w:rPr>
        <w:t>%，主要原因是202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w:t>
      </w:r>
      <w:r>
        <w:rPr>
          <w:rFonts w:hint="eastAsia"/>
          <w:bCs/>
          <w:color w:val="000000" w:themeColor="text1"/>
          <w:szCs w:val="32"/>
          <w:lang w:val="en-US" w:eastAsia="zh-CN"/>
          <w14:textFill>
            <w14:solidFill>
              <w14:schemeClr w14:val="tx1"/>
            </w14:solidFill>
          </w14:textFill>
        </w:rPr>
        <w:t>末</w:t>
      </w:r>
      <w:r>
        <w:rPr>
          <w:bCs/>
          <w:color w:val="000000" w:themeColor="text1"/>
          <w:szCs w:val="32"/>
          <w14:textFill>
            <w14:solidFill>
              <w14:schemeClr w14:val="tx1"/>
            </w14:solidFill>
          </w14:textFill>
        </w:rPr>
        <w:t>行编</w:t>
      </w:r>
      <w:r>
        <w:rPr>
          <w:rFonts w:hint="eastAsia"/>
          <w:bCs/>
          <w:color w:val="000000" w:themeColor="text1"/>
          <w:szCs w:val="32"/>
          <w:lang w:val="en-US" w:eastAsia="zh-CN"/>
          <w14:textFill>
            <w14:solidFill>
              <w14:schemeClr w14:val="tx1"/>
            </w14:solidFill>
          </w14:textFill>
        </w:rPr>
        <w:t>人员减少</w:t>
      </w:r>
      <w:r>
        <w:rPr>
          <w:bCs/>
          <w:color w:val="000000" w:themeColor="text1"/>
          <w:szCs w:val="32"/>
          <w14:textFill>
            <w14:solidFill>
              <w14:schemeClr w14:val="tx1"/>
            </w14:solidFill>
          </w14:textFill>
        </w:rPr>
        <w:t>1人。人员经费用途主要包括基本工资、津贴补贴、奖金、社会保障缴费等。公用经费77.8万元，较上年</w:t>
      </w:r>
      <w:r>
        <w:rPr>
          <w:rFonts w:hint="eastAsia"/>
          <w:bCs/>
          <w:color w:val="000000" w:themeColor="text1"/>
          <w:szCs w:val="32"/>
          <w:lang w:val="en-US" w:eastAsia="zh-CN"/>
          <w14:textFill>
            <w14:solidFill>
              <w14:schemeClr w14:val="tx1"/>
            </w14:solidFill>
          </w14:textFill>
        </w:rPr>
        <w:t>增加13.17</w:t>
      </w:r>
      <w:r>
        <w:rPr>
          <w:bCs/>
          <w:color w:val="000000" w:themeColor="text1"/>
          <w:szCs w:val="32"/>
          <w14:textFill>
            <w14:solidFill>
              <w14:schemeClr w14:val="tx1"/>
            </w14:solidFill>
          </w14:textFill>
        </w:rPr>
        <w:t>万元，</w:t>
      </w:r>
      <w:r>
        <w:rPr>
          <w:rFonts w:hint="eastAsia"/>
          <w:bCs/>
          <w:color w:val="000000" w:themeColor="text1"/>
          <w:szCs w:val="32"/>
          <w:lang w:val="en-US" w:eastAsia="zh-CN"/>
          <w14:textFill>
            <w14:solidFill>
              <w14:schemeClr w14:val="tx1"/>
            </w14:solidFill>
          </w14:textFill>
        </w:rPr>
        <w:t>增长20.4</w:t>
      </w:r>
      <w:r>
        <w:rPr>
          <w:bCs/>
          <w:color w:val="000000" w:themeColor="text1"/>
          <w:szCs w:val="32"/>
          <w14:textFill>
            <w14:solidFill>
              <w14:schemeClr w14:val="tx1"/>
            </w14:solidFill>
          </w14:textFill>
        </w:rPr>
        <w:t>%，主要原因是</w:t>
      </w:r>
      <w:r>
        <w:rPr>
          <w:rFonts w:hint="eastAsia"/>
          <w:bCs/>
          <w:color w:val="000000" w:themeColor="text1"/>
          <w:szCs w:val="32"/>
          <w:lang w:val="en-US" w:eastAsia="zh-CN"/>
          <w14:textFill>
            <w14:solidFill>
              <w14:schemeClr w14:val="tx1"/>
            </w14:solidFill>
          </w14:textFill>
        </w:rPr>
        <w:t>招商力度加大，办公经费相对增加</w:t>
      </w:r>
      <w:r>
        <w:rPr>
          <w:bCs/>
          <w:color w:val="000000" w:themeColor="text1"/>
          <w:szCs w:val="32"/>
          <w14:textFill>
            <w14:solidFill>
              <w14:schemeClr w14:val="tx1"/>
            </w14:solidFill>
          </w14:textFill>
        </w:rPr>
        <w:t>。公用经费用途主要包括办公费、印刷费、手续费、差旅费、会务接待培训费、水电费、物业费等日常运行开销费用。</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（五）政府性基金预算收入支出决算情况说明</w:t>
      </w:r>
    </w:p>
    <w:p>
      <w:pPr>
        <w:widowControl w:val="0"/>
        <w:ind w:firstLine="640"/>
        <w:rPr>
          <w:bCs/>
          <w:color w:val="000000" w:themeColor="text1"/>
          <w:szCs w:val="32"/>
          <w14:textFill>
            <w14:solidFill>
              <w14:schemeClr w14:val="tx1"/>
            </w14:solidFill>
          </w14:textFill>
        </w:rPr>
      </w:pPr>
      <w:r>
        <w:rPr>
          <w:rFonts w:hint="eastAsia"/>
          <w:bCs/>
          <w:color w:val="000000" w:themeColor="text1"/>
          <w:szCs w:val="32"/>
          <w:lang w:val="en-US" w:eastAsia="zh-CN"/>
          <w14:textFill>
            <w14:solidFill>
              <w14:schemeClr w14:val="tx1"/>
            </w14:solidFill>
          </w14:textFill>
        </w:rPr>
        <w:t>本部门</w:t>
      </w:r>
      <w:bookmarkStart w:id="13" w:name="_Toc25721_WPSOffice_Level1"/>
      <w:bookmarkStart w:id="14" w:name="_Toc18323_WPSOffice_Level1"/>
      <w:bookmarkStart w:id="15" w:name="RANGE_A1_G18"/>
      <w:r>
        <w:rPr>
          <w:rFonts w:hint="eastAsia"/>
          <w:bCs/>
          <w:color w:val="000000" w:themeColor="text1"/>
          <w:szCs w:val="32"/>
          <w:lang w:val="en-US" w:eastAsia="zh-CN"/>
          <w14:textFill>
            <w14:solidFill>
              <w14:schemeClr w14:val="tx1"/>
            </w14:solidFill>
          </w14:textFill>
        </w:rPr>
        <w:t>2022年度政府性基金预算财政拨款年初结转结余0万元，年末结转结余0万元。本年收入3,300万元，较上年决算数增加3,300万元，增长100.0%，主要原因是本年度增加了信创服务平台项目。本年支出3,300万元，较上年决算数增加3,300万元，增长100.0%，主要原因是本年度增加了信创服务平台项目。</w:t>
      </w:r>
    </w:p>
    <w:p>
      <w:pPr>
        <w:widowControl w:val="0"/>
        <w:ind w:firstLine="640"/>
        <w:rPr>
          <w:rFonts w:hint="default"/>
          <w:bCs/>
          <w:color w:val="000000" w:themeColor="text1"/>
          <w:szCs w:val="32"/>
          <w14:textFill>
            <w14:solidFill>
              <w14:schemeClr w14:val="tx1"/>
            </w14:solidFill>
          </w14:textFill>
        </w:rPr>
      </w:pP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（六）国有资本经营预算财政拨款支出决算情况说明</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本部门202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年度无国有资本经营预算财政拨款支出，较上年决算数和年初预算数持平。</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三、“三公”经费情况说明</w:t>
      </w:r>
      <w:bookmarkEnd w:id="13"/>
      <w:bookmarkEnd w:id="14"/>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（一）“三公”经费支出总体情况</w:t>
      </w:r>
    </w:p>
    <w:p>
      <w:pPr>
        <w:widowControl w:val="0"/>
        <w:ind w:firstLine="640"/>
        <w:rPr>
          <w:rFonts w:hint="default"/>
          <w:bCs/>
          <w:color w:val="000000" w:themeColor="text1"/>
          <w:szCs w:val="32"/>
          <w:highlight w:val="none"/>
          <w14:textFill>
            <w14:solidFill>
              <w14:schemeClr w14:val="tx1"/>
            </w14:solidFill>
          </w14:textFill>
        </w:rPr>
      </w:pPr>
      <w:r>
        <w:rPr>
          <w:bCs/>
          <w:color w:val="000000" w:themeColor="text1"/>
          <w:szCs w:val="32"/>
          <w14:textFill>
            <w14:solidFill>
              <w14:schemeClr w14:val="tx1"/>
            </w14:solidFill>
          </w14:textFill>
        </w:rPr>
        <w:t>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年度“三公”经费支出共计</w:t>
      </w:r>
      <w:r>
        <w:rPr>
          <w:rFonts w:hint="eastAsia"/>
          <w:bCs/>
          <w:color w:val="000000" w:themeColor="text1"/>
          <w:szCs w:val="32"/>
          <w:lang w:val="en-US" w:eastAsia="zh-CN"/>
          <w14:textFill>
            <w14:solidFill>
              <w14:schemeClr w14:val="tx1"/>
            </w14:solidFill>
          </w14:textFill>
        </w:rPr>
        <w:t>7.34</w:t>
      </w:r>
      <w:r>
        <w:rPr>
          <w:bCs/>
          <w:color w:val="000000" w:themeColor="text1"/>
          <w:szCs w:val="32"/>
          <w14:textFill>
            <w14:solidFill>
              <w14:schemeClr w14:val="tx1"/>
            </w14:solidFill>
          </w14:textFill>
        </w:rPr>
        <w:t>万元，较年初预算数</w:t>
      </w:r>
      <w:r>
        <w:rPr>
          <w:rFonts w:hint="eastAsia"/>
          <w:bCs/>
          <w:color w:val="000000" w:themeColor="text1"/>
          <w:szCs w:val="32"/>
          <w:lang w:val="en-US" w:eastAsia="zh-CN"/>
          <w14:textFill>
            <w14:solidFill>
              <w14:schemeClr w14:val="tx1"/>
            </w14:solidFill>
          </w14:textFill>
        </w:rPr>
        <w:t>增加4.34</w:t>
      </w:r>
      <w:r>
        <w:rPr>
          <w:bCs/>
          <w:color w:val="000000" w:themeColor="text1"/>
          <w:szCs w:val="32"/>
          <w14:textFill>
            <w14:solidFill>
              <w14:schemeClr w14:val="tx1"/>
            </w14:solidFill>
          </w14:textFill>
        </w:rPr>
        <w:t>万元，</w:t>
      </w:r>
      <w:r>
        <w:rPr>
          <w:rFonts w:hint="eastAsia"/>
          <w:bCs/>
          <w:color w:val="000000" w:themeColor="text1"/>
          <w:szCs w:val="32"/>
          <w:lang w:val="en-US" w:eastAsia="zh-CN"/>
          <w14:textFill>
            <w14:solidFill>
              <w14:schemeClr w14:val="tx1"/>
            </w14:solidFill>
          </w14:textFill>
        </w:rPr>
        <w:t>增长144.7</w:t>
      </w:r>
      <w:r>
        <w:rPr>
          <w:bCs/>
          <w:color w:val="000000" w:themeColor="text1"/>
          <w:szCs w:val="32"/>
          <w14:textFill>
            <w14:solidFill>
              <w14:schemeClr w14:val="tx1"/>
            </w14:solidFill>
          </w14:textFill>
        </w:rPr>
        <w:t>%，</w:t>
      </w:r>
      <w:r>
        <w:rPr>
          <w:rFonts w:hint="eastAsia"/>
          <w:bCs/>
          <w:color w:val="000000" w:themeColor="text1"/>
          <w:szCs w:val="32"/>
          <w:highlight w:val="none"/>
          <w:lang w:val="en-US" w:eastAsia="zh-CN"/>
          <w14:textFill>
            <w14:solidFill>
              <w14:schemeClr w14:val="tx1"/>
            </w14:solidFill>
          </w14:textFill>
        </w:rPr>
        <w:t>主要原因是按照管委会工作安排，年度中增加招商考察等接待工作，导致接待费用增加。</w:t>
      </w:r>
      <w:r>
        <w:rPr>
          <w:bCs/>
          <w:color w:val="000000" w:themeColor="text1"/>
          <w:szCs w:val="32"/>
          <w:highlight w:val="none"/>
          <w14:textFill>
            <w14:solidFill>
              <w14:schemeClr w14:val="tx1"/>
            </w14:solidFill>
          </w14:textFill>
        </w:rPr>
        <w:t>较上年支出数</w:t>
      </w:r>
      <w:r>
        <w:rPr>
          <w:rFonts w:hint="eastAsia"/>
          <w:bCs/>
          <w:color w:val="000000" w:themeColor="text1"/>
          <w:szCs w:val="32"/>
          <w:highlight w:val="none"/>
          <w:lang w:val="en-US" w:eastAsia="zh-CN"/>
          <w14:textFill>
            <w14:solidFill>
              <w14:schemeClr w14:val="tx1"/>
            </w14:solidFill>
          </w14:textFill>
        </w:rPr>
        <w:t>增加4.35</w:t>
      </w:r>
      <w:r>
        <w:rPr>
          <w:bCs/>
          <w:color w:val="000000" w:themeColor="text1"/>
          <w:szCs w:val="32"/>
          <w:highlight w:val="none"/>
          <w14:textFill>
            <w14:solidFill>
              <w14:schemeClr w14:val="tx1"/>
            </w14:solidFill>
          </w14:textFill>
        </w:rPr>
        <w:t>万元，</w:t>
      </w:r>
      <w:r>
        <w:rPr>
          <w:rFonts w:hint="eastAsia"/>
          <w:bCs/>
          <w:color w:val="000000" w:themeColor="text1"/>
          <w:szCs w:val="32"/>
          <w:highlight w:val="none"/>
          <w:lang w:val="en-US" w:eastAsia="zh-CN"/>
          <w14:textFill>
            <w14:solidFill>
              <w14:schemeClr w14:val="tx1"/>
            </w14:solidFill>
          </w14:textFill>
        </w:rPr>
        <w:t>增长145</w:t>
      </w:r>
      <w:r>
        <w:rPr>
          <w:bCs/>
          <w:color w:val="000000" w:themeColor="text1"/>
          <w:szCs w:val="32"/>
          <w:highlight w:val="none"/>
          <w14:textFill>
            <w14:solidFill>
              <w14:schemeClr w14:val="tx1"/>
            </w14:solidFill>
          </w14:textFill>
        </w:rPr>
        <w:t>.</w:t>
      </w:r>
      <w:r>
        <w:rPr>
          <w:rFonts w:hint="eastAsia"/>
          <w:bCs/>
          <w:color w:val="000000" w:themeColor="text1"/>
          <w:szCs w:val="32"/>
          <w:highlight w:val="none"/>
          <w:lang w:val="en-US" w:eastAsia="zh-CN"/>
          <w14:textFill>
            <w14:solidFill>
              <w14:schemeClr w14:val="tx1"/>
            </w14:solidFill>
          </w14:textFill>
        </w:rPr>
        <w:t>5</w:t>
      </w:r>
      <w:r>
        <w:rPr>
          <w:bCs/>
          <w:color w:val="000000" w:themeColor="text1"/>
          <w:szCs w:val="32"/>
          <w:highlight w:val="none"/>
          <w14:textFill>
            <w14:solidFill>
              <w14:schemeClr w14:val="tx1"/>
            </w14:solidFill>
          </w14:textFill>
        </w:rPr>
        <w:t>%，主要原因是</w:t>
      </w:r>
      <w:r>
        <w:rPr>
          <w:rFonts w:hint="eastAsia"/>
          <w:bCs/>
          <w:color w:val="000000" w:themeColor="text1"/>
          <w:szCs w:val="32"/>
          <w:highlight w:val="none"/>
          <w:lang w:val="en-US" w:eastAsia="zh-CN"/>
          <w14:textFill>
            <w14:solidFill>
              <w14:schemeClr w14:val="tx1"/>
            </w14:solidFill>
          </w14:textFill>
        </w:rPr>
        <w:t>按照管委会工作安排，年度中增加招商考察等接待工作，导致接待费用增加</w:t>
      </w:r>
      <w:r>
        <w:rPr>
          <w:bCs/>
          <w:color w:val="000000" w:themeColor="text1"/>
          <w:szCs w:val="32"/>
          <w:highlight w:val="none"/>
          <w14:textFill>
            <w14:solidFill>
              <w14:schemeClr w14:val="tx1"/>
            </w14:solidFill>
          </w14:textFill>
        </w:rPr>
        <w:t>。</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（二）“三公”经费分项支出情况</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年度因公出国（境）费用0.00万元，主要是用于因公出国（境）事由。费用支出与年初预算数持平，较上年支出数持平，主要原因202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年度未涉及因公出国（境）事项。</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公务车购置费0</w:t>
      </w:r>
      <w:r>
        <w:rPr>
          <w:rFonts w:hint="eastAsia"/>
          <w:bCs/>
          <w:color w:val="000000" w:themeColor="text1"/>
          <w:szCs w:val="32"/>
          <w:lang w:val="en-US" w:eastAsia="zh-CN"/>
          <w14:textFill>
            <w14:solidFill>
              <w14:schemeClr w14:val="tx1"/>
            </w14:solidFill>
          </w14:textFill>
        </w:rPr>
        <w:t>.00</w:t>
      </w:r>
      <w:r>
        <w:rPr>
          <w:bCs/>
          <w:color w:val="000000" w:themeColor="text1"/>
          <w:szCs w:val="32"/>
          <w14:textFill>
            <w14:solidFill>
              <w14:schemeClr w14:val="tx1"/>
            </w14:solidFill>
          </w14:textFill>
        </w:rPr>
        <w:t>万元，202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年度未涉及公务车购置。</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公务车运行维护费2.</w:t>
      </w:r>
      <w:r>
        <w:rPr>
          <w:rFonts w:hint="eastAsia"/>
          <w:bCs/>
          <w:color w:val="000000" w:themeColor="text1"/>
          <w:szCs w:val="32"/>
          <w:lang w:val="en-US" w:eastAsia="zh-CN"/>
          <w14:textFill>
            <w14:solidFill>
              <w14:schemeClr w14:val="tx1"/>
            </w14:solidFill>
          </w14:textFill>
        </w:rPr>
        <w:t>87</w:t>
      </w:r>
      <w:r>
        <w:rPr>
          <w:bCs/>
          <w:color w:val="000000" w:themeColor="text1"/>
          <w:szCs w:val="32"/>
          <w14:textFill>
            <w14:solidFill>
              <w14:schemeClr w14:val="tx1"/>
            </w14:solidFill>
          </w14:textFill>
        </w:rPr>
        <w:t>万元，主要用于市内因公出行等工作所需车辆的燃料费、维修费保险费等，费用支出较年初预算数减少0.1</w:t>
      </w:r>
      <w:r>
        <w:rPr>
          <w:rFonts w:hint="eastAsia"/>
          <w:bCs/>
          <w:color w:val="000000" w:themeColor="text1"/>
          <w:szCs w:val="32"/>
          <w:lang w:val="en-US" w:eastAsia="zh-CN"/>
          <w14:textFill>
            <w14:solidFill>
              <w14:schemeClr w14:val="tx1"/>
            </w14:solidFill>
          </w14:textFill>
        </w:rPr>
        <w:t>3</w:t>
      </w:r>
      <w:r>
        <w:rPr>
          <w:bCs/>
          <w:color w:val="000000" w:themeColor="text1"/>
          <w:szCs w:val="32"/>
          <w14:textFill>
            <w14:solidFill>
              <w14:schemeClr w14:val="tx1"/>
            </w14:solidFill>
          </w14:textFill>
        </w:rPr>
        <w:t>万元，下降</w:t>
      </w:r>
      <w:r>
        <w:rPr>
          <w:rFonts w:hint="eastAsia"/>
          <w:bCs/>
          <w:color w:val="000000" w:themeColor="text1"/>
          <w:szCs w:val="32"/>
          <w:lang w:val="en-US" w:eastAsia="zh-CN"/>
          <w14:textFill>
            <w14:solidFill>
              <w14:schemeClr w14:val="tx1"/>
            </w14:solidFill>
          </w14:textFill>
        </w:rPr>
        <w:t>4.3</w:t>
      </w:r>
      <w:r>
        <w:rPr>
          <w:bCs/>
          <w:color w:val="000000" w:themeColor="text1"/>
          <w:szCs w:val="32"/>
          <w14:textFill>
            <w14:solidFill>
              <w14:schemeClr w14:val="tx1"/>
            </w14:solidFill>
          </w14:textFill>
        </w:rPr>
        <w:t>%</w:t>
      </w:r>
      <w:r>
        <w:rPr>
          <w:rFonts w:hint="eastAsia"/>
          <w:bCs/>
          <w:color w:val="000000" w:themeColor="text1"/>
          <w:szCs w:val="32"/>
          <w:lang w:eastAsia="zh-CN"/>
          <w14:textFill>
            <w14:solidFill>
              <w14:schemeClr w14:val="tx1"/>
            </w14:solidFill>
          </w14:textFill>
        </w:rPr>
        <w:t>。</w:t>
      </w:r>
      <w:r>
        <w:rPr>
          <w:rFonts w:hint="eastAsia"/>
          <w:bCs/>
          <w:color w:val="000000" w:themeColor="text1"/>
          <w:szCs w:val="32"/>
          <w:lang w:val="en-US" w:eastAsia="zh-CN"/>
          <w14:textFill>
            <w14:solidFill>
              <w14:schemeClr w14:val="tx1"/>
            </w14:solidFill>
          </w14:textFill>
        </w:rPr>
        <w:t>较上年支出数减少0.12，下降4.0%。</w:t>
      </w:r>
      <w:r>
        <w:rPr>
          <w:bCs/>
          <w:color w:val="000000" w:themeColor="text1"/>
          <w:szCs w:val="32"/>
          <w14:textFill>
            <w14:solidFill>
              <w14:schemeClr w14:val="tx1"/>
            </w14:solidFill>
          </w14:textFill>
        </w:rPr>
        <w:t>主要原因是严格落实公车使用规定，公车运行维护成本下降。</w:t>
      </w:r>
    </w:p>
    <w:p>
      <w:pPr>
        <w:widowControl w:val="0"/>
        <w:ind w:firstLine="640"/>
        <w:rPr>
          <w:rFonts w:hint="default"/>
          <w:bCs/>
          <w:color w:val="000000" w:themeColor="text1"/>
          <w:szCs w:val="32"/>
          <w:highlight w:val="none"/>
          <w14:textFill>
            <w14:solidFill>
              <w14:schemeClr w14:val="tx1"/>
            </w14:solidFill>
          </w14:textFill>
        </w:rPr>
      </w:pPr>
      <w:r>
        <w:rPr>
          <w:bCs/>
          <w:color w:val="000000" w:themeColor="text1"/>
          <w:szCs w:val="32"/>
          <w14:textFill>
            <w14:solidFill>
              <w14:schemeClr w14:val="tx1"/>
            </w14:solidFill>
          </w14:textFill>
        </w:rPr>
        <w:t>公务接待费</w:t>
      </w:r>
      <w:r>
        <w:rPr>
          <w:rFonts w:hint="eastAsia"/>
          <w:bCs/>
          <w:color w:val="000000" w:themeColor="text1"/>
          <w:szCs w:val="32"/>
          <w:lang w:val="en-US" w:eastAsia="zh-CN"/>
          <w14:textFill>
            <w14:solidFill>
              <w14:schemeClr w14:val="tx1"/>
            </w14:solidFill>
          </w14:textFill>
        </w:rPr>
        <w:t>4.47</w:t>
      </w:r>
      <w:r>
        <w:rPr>
          <w:bCs/>
          <w:color w:val="000000" w:themeColor="text1"/>
          <w:szCs w:val="32"/>
          <w14:textFill>
            <w14:solidFill>
              <w14:schemeClr w14:val="tx1"/>
            </w14:solidFill>
          </w14:textFill>
        </w:rPr>
        <w:t>万元，</w:t>
      </w:r>
      <w:r>
        <w:rPr>
          <w:rFonts w:hint="eastAsia"/>
          <w:bCs/>
          <w:color w:val="000000" w:themeColor="text1"/>
          <w:szCs w:val="32"/>
          <w:lang w:val="en-US" w:eastAsia="zh-CN"/>
          <w14:textFill>
            <w14:solidFill>
              <w14:schemeClr w14:val="tx1"/>
            </w14:solidFill>
          </w14:textFill>
        </w:rPr>
        <w:t>主要用于招商接待企业，较</w:t>
      </w:r>
      <w:r>
        <w:rPr>
          <w:bCs/>
          <w:color w:val="000000" w:themeColor="text1"/>
          <w:szCs w:val="32"/>
          <w14:textFill>
            <w14:solidFill>
              <w14:schemeClr w14:val="tx1"/>
            </w14:solidFill>
          </w14:textFill>
        </w:rPr>
        <w:t>年初预算</w:t>
      </w:r>
      <w:r>
        <w:rPr>
          <w:rFonts w:hint="eastAsia"/>
          <w:bCs/>
          <w:color w:val="000000" w:themeColor="text1"/>
          <w:szCs w:val="32"/>
          <w:lang w:val="en-US" w:eastAsia="zh-CN"/>
          <w14:textFill>
            <w14:solidFill>
              <w14:schemeClr w14:val="tx1"/>
            </w14:solidFill>
          </w14:textFill>
        </w:rPr>
        <w:t>增加4.47万元，增长100.0%。较上年支出数增加4.47万元，增长100.0%。</w:t>
      </w:r>
      <w:r>
        <w:rPr>
          <w:bCs/>
          <w:color w:val="000000" w:themeColor="text1"/>
          <w:szCs w:val="32"/>
          <w:highlight w:val="none"/>
          <w14:textFill>
            <w14:solidFill>
              <w14:schemeClr w14:val="tx1"/>
            </w14:solidFill>
          </w14:textFill>
        </w:rPr>
        <w:t>主要原因是</w:t>
      </w:r>
      <w:r>
        <w:rPr>
          <w:rFonts w:hint="eastAsia"/>
          <w:bCs/>
          <w:color w:val="000000" w:themeColor="text1"/>
          <w:szCs w:val="32"/>
          <w:highlight w:val="none"/>
          <w:lang w:val="en-US" w:eastAsia="zh-CN"/>
          <w14:textFill>
            <w14:solidFill>
              <w14:schemeClr w14:val="tx1"/>
            </w14:solidFill>
          </w14:textFill>
        </w:rPr>
        <w:t>按照管委会工作安排，年度中增加招商考察等接待工作，导致接待费用增加</w:t>
      </w:r>
      <w:r>
        <w:rPr>
          <w:bCs/>
          <w:color w:val="000000" w:themeColor="text1"/>
          <w:szCs w:val="32"/>
          <w:highlight w:val="none"/>
          <w14:textFill>
            <w14:solidFill>
              <w14:schemeClr w14:val="tx1"/>
            </w14:solidFill>
          </w14:textFill>
        </w:rPr>
        <w:t>。</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（三）“三公”经费实物量情况</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度因公出国（境）共计0个团组，0人；公务用车购置0辆，公务车保有量为1辆；国内公务接待25批次358人，其中：国内外事接待0批次，0人；国（境）外公务接待0批次，0人。2022年本部门人均接待费124.82元，车均购置费0.00万元，车均维护费2.87万元</w:t>
      </w:r>
      <w:bookmarkStart w:id="16" w:name="_Toc27357_WPSOffice_Level1"/>
      <w:bookmarkStart w:id="17" w:name="_Toc5333_WPSOffice_Level1"/>
      <w:r>
        <w:rPr>
          <w:bCs/>
          <w:color w:val="000000" w:themeColor="text1"/>
          <w:szCs w:val="32"/>
          <w14:textFill>
            <w14:solidFill>
              <w14:schemeClr w14:val="tx1"/>
            </w14:solidFill>
          </w14:textFill>
        </w:rPr>
        <w:t>。</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四、其他</w:t>
      </w:r>
      <w:bookmarkEnd w:id="16"/>
      <w:bookmarkEnd w:id="17"/>
      <w:r>
        <w:rPr>
          <w:bCs/>
          <w:color w:val="000000" w:themeColor="text1"/>
          <w:szCs w:val="32"/>
          <w14:textFill>
            <w14:solidFill>
              <w14:schemeClr w14:val="tx1"/>
            </w14:solidFill>
          </w14:textFill>
        </w:rPr>
        <w:t>需要说明的事项</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（一）机关运行经费情况说明。202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年度机关运行经费支出</w:t>
      </w:r>
      <w:r>
        <w:rPr>
          <w:rFonts w:hint="eastAsia"/>
          <w:bCs/>
          <w:color w:val="000000" w:themeColor="text1"/>
          <w:szCs w:val="32"/>
          <w:lang w:val="en-US" w:eastAsia="zh-CN"/>
          <w14:textFill>
            <w14:solidFill>
              <w14:schemeClr w14:val="tx1"/>
            </w14:solidFill>
          </w14:textFill>
        </w:rPr>
        <w:t>51.53</w:t>
      </w:r>
      <w:r>
        <w:rPr>
          <w:bCs/>
          <w:color w:val="000000" w:themeColor="text1"/>
          <w:szCs w:val="32"/>
          <w14:textFill>
            <w14:solidFill>
              <w14:schemeClr w14:val="tx1"/>
            </w14:solidFill>
          </w14:textFill>
        </w:rPr>
        <w:t>万元，机关运行经费主要用于办公费、印刷费、邮电费、差旅费、会务接待培训费、水电费、物业管理及其他商品和服务支出等日常运行开销的费用。机关运行经费较上年决算数</w:t>
      </w:r>
      <w:r>
        <w:rPr>
          <w:rFonts w:hint="eastAsia"/>
          <w:bCs/>
          <w:color w:val="000000" w:themeColor="text1"/>
          <w:szCs w:val="32"/>
          <w:lang w:val="en-US" w:eastAsia="zh-CN"/>
          <w14:textFill>
            <w14:solidFill>
              <w14:schemeClr w14:val="tx1"/>
            </w14:solidFill>
          </w14:textFill>
        </w:rPr>
        <w:t>增加1.77</w:t>
      </w:r>
      <w:r>
        <w:rPr>
          <w:bCs/>
          <w:color w:val="000000" w:themeColor="text1"/>
          <w:szCs w:val="32"/>
          <w14:textFill>
            <w14:solidFill>
              <w14:schemeClr w14:val="tx1"/>
            </w14:solidFill>
          </w14:textFill>
        </w:rPr>
        <w:t>万元，</w:t>
      </w:r>
      <w:r>
        <w:rPr>
          <w:rFonts w:hint="eastAsia"/>
          <w:bCs/>
          <w:color w:val="000000" w:themeColor="text1"/>
          <w:szCs w:val="32"/>
          <w:lang w:val="en-US" w:eastAsia="zh-CN"/>
          <w14:textFill>
            <w14:solidFill>
              <w14:schemeClr w14:val="tx1"/>
            </w14:solidFill>
          </w14:textFill>
        </w:rPr>
        <w:t>增长3.6</w:t>
      </w:r>
      <w:r>
        <w:rPr>
          <w:bCs/>
          <w:color w:val="000000" w:themeColor="text1"/>
          <w:szCs w:val="32"/>
          <w14:textFill>
            <w14:solidFill>
              <w14:schemeClr w14:val="tx1"/>
            </w14:solidFill>
          </w14:textFill>
        </w:rPr>
        <w:t>%，主要原因是</w:t>
      </w:r>
      <w:r>
        <w:rPr>
          <w:rFonts w:hint="eastAsia"/>
          <w:bCs/>
          <w:color w:val="000000" w:themeColor="text1"/>
          <w:szCs w:val="32"/>
          <w:lang w:val="en-US" w:eastAsia="zh-CN"/>
          <w14:textFill>
            <w14:solidFill>
              <w14:schemeClr w14:val="tx1"/>
            </w14:solidFill>
          </w14:textFill>
        </w:rPr>
        <w:t>招商工作频繁，运行经费相应增加</w:t>
      </w:r>
      <w:r>
        <w:rPr>
          <w:bCs/>
          <w:color w:val="000000" w:themeColor="text1"/>
          <w:szCs w:val="32"/>
          <w14:textFill>
            <w14:solidFill>
              <w14:schemeClr w14:val="tx1"/>
            </w14:solidFill>
          </w14:textFill>
        </w:rPr>
        <w:t>。</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w:t>
      </w:r>
      <w:r>
        <w:rPr>
          <w:rFonts w:hint="eastAsia"/>
          <w:bCs/>
          <w:color w:val="000000" w:themeColor="text1"/>
          <w:szCs w:val="32"/>
          <w:lang w:eastAsia="zh-CN"/>
          <w14:textFill>
            <w14:solidFill>
              <w14:schemeClr w14:val="tx1"/>
            </w14:solidFill>
          </w14:textFill>
        </w:rPr>
        <w:t>二</w:t>
      </w:r>
      <w:r>
        <w:rPr>
          <w:bCs/>
          <w:color w:val="000000" w:themeColor="text1"/>
          <w:szCs w:val="32"/>
          <w14:textFill>
            <w14:solidFill>
              <w14:schemeClr w14:val="tx1"/>
            </w14:solidFill>
          </w14:textFill>
        </w:rPr>
        <w:t>）本年度一般公共预算财政拨款会议费支出12.16万元，较上年决算数</w:t>
      </w:r>
      <w:r>
        <w:rPr>
          <w:rFonts w:hint="eastAsia"/>
          <w:bCs/>
          <w:color w:val="000000" w:themeColor="text1"/>
          <w:szCs w:val="32"/>
          <w:lang w:val="en-US" w:eastAsia="zh-CN"/>
          <w14:textFill>
            <w14:solidFill>
              <w14:schemeClr w14:val="tx1"/>
            </w14:solidFill>
          </w14:textFill>
        </w:rPr>
        <w:t>减少23.39</w:t>
      </w:r>
      <w:r>
        <w:rPr>
          <w:bCs/>
          <w:color w:val="000000" w:themeColor="text1"/>
          <w:szCs w:val="32"/>
          <w14:textFill>
            <w14:solidFill>
              <w14:schemeClr w14:val="tx1"/>
            </w14:solidFill>
          </w14:textFill>
        </w:rPr>
        <w:t>万元，</w:t>
      </w:r>
      <w:r>
        <w:rPr>
          <w:rFonts w:hint="eastAsia"/>
          <w:bCs/>
          <w:color w:val="000000" w:themeColor="text1"/>
          <w:szCs w:val="32"/>
          <w:lang w:val="en-US" w:eastAsia="zh-CN"/>
          <w14:textFill>
            <w14:solidFill>
              <w14:schemeClr w14:val="tx1"/>
            </w14:solidFill>
          </w14:textFill>
        </w:rPr>
        <w:t>下降65.8</w:t>
      </w:r>
      <w:r>
        <w:rPr>
          <w:bCs/>
          <w:color w:val="000000" w:themeColor="text1"/>
          <w:szCs w:val="32"/>
          <w14:textFill>
            <w14:solidFill>
              <w14:schemeClr w14:val="tx1"/>
            </w14:solidFill>
          </w14:textFill>
        </w:rPr>
        <w:t>%，主要原因是</w:t>
      </w:r>
      <w:r>
        <w:rPr>
          <w:rFonts w:hint="eastAsia"/>
          <w:bCs/>
          <w:color w:val="000000" w:themeColor="text1"/>
          <w:szCs w:val="32"/>
          <w:lang w:val="en-US" w:eastAsia="zh-CN"/>
          <w14:textFill>
            <w14:solidFill>
              <w14:schemeClr w14:val="tx1"/>
            </w14:solidFill>
          </w14:textFill>
        </w:rPr>
        <w:t>响应国家号召节约开支，严格控制会议费用</w:t>
      </w:r>
      <w:r>
        <w:rPr>
          <w:bCs/>
          <w:color w:val="000000" w:themeColor="text1"/>
          <w:szCs w:val="32"/>
          <w14:textFill>
            <w14:solidFill>
              <w14:schemeClr w14:val="tx1"/>
            </w14:solidFill>
          </w14:textFill>
        </w:rPr>
        <w:t>。本年度一般公共预算财政拨款培训费支出1.</w:t>
      </w:r>
      <w:r>
        <w:rPr>
          <w:rFonts w:hint="eastAsia"/>
          <w:bCs/>
          <w:color w:val="000000" w:themeColor="text1"/>
          <w:szCs w:val="32"/>
          <w:lang w:val="en-US" w:eastAsia="zh-CN"/>
          <w14:textFill>
            <w14:solidFill>
              <w14:schemeClr w14:val="tx1"/>
            </w14:solidFill>
          </w14:textFill>
        </w:rPr>
        <w:t>52</w:t>
      </w:r>
      <w:r>
        <w:rPr>
          <w:bCs/>
          <w:color w:val="000000" w:themeColor="text1"/>
          <w:szCs w:val="32"/>
          <w14:textFill>
            <w14:solidFill>
              <w14:schemeClr w14:val="tx1"/>
            </w14:solidFill>
          </w14:textFill>
        </w:rPr>
        <w:t>万元，较上年决算数</w:t>
      </w:r>
      <w:r>
        <w:rPr>
          <w:rFonts w:hint="eastAsia"/>
          <w:bCs/>
          <w:color w:val="000000" w:themeColor="text1"/>
          <w:szCs w:val="32"/>
          <w:lang w:val="en-US" w:eastAsia="zh-CN"/>
          <w14:textFill>
            <w14:solidFill>
              <w14:schemeClr w14:val="tx1"/>
            </w14:solidFill>
          </w14:textFill>
        </w:rPr>
        <w:t>减少</w:t>
      </w:r>
      <w:r>
        <w:rPr>
          <w:bCs/>
          <w:color w:val="000000" w:themeColor="text1"/>
          <w:szCs w:val="32"/>
          <w14:textFill>
            <w14:solidFill>
              <w14:schemeClr w14:val="tx1"/>
            </w14:solidFill>
          </w14:textFill>
        </w:rPr>
        <w:t>0.</w:t>
      </w:r>
      <w:r>
        <w:rPr>
          <w:rFonts w:hint="eastAsia"/>
          <w:bCs/>
          <w:color w:val="000000" w:themeColor="text1"/>
          <w:szCs w:val="32"/>
          <w:lang w:val="en-US" w:eastAsia="zh-CN"/>
          <w14:textFill>
            <w14:solidFill>
              <w14:schemeClr w14:val="tx1"/>
            </w14:solidFill>
          </w14:textFill>
        </w:rPr>
        <w:t>22</w:t>
      </w:r>
      <w:r>
        <w:rPr>
          <w:bCs/>
          <w:color w:val="000000" w:themeColor="text1"/>
          <w:szCs w:val="32"/>
          <w14:textFill>
            <w14:solidFill>
              <w14:schemeClr w14:val="tx1"/>
            </w14:solidFill>
          </w14:textFill>
        </w:rPr>
        <w:t>万元，</w:t>
      </w:r>
      <w:r>
        <w:rPr>
          <w:rFonts w:hint="eastAsia"/>
          <w:bCs/>
          <w:color w:val="000000" w:themeColor="text1"/>
          <w:szCs w:val="32"/>
          <w:lang w:val="en-US" w:eastAsia="zh-CN"/>
          <w14:textFill>
            <w14:solidFill>
              <w14:schemeClr w14:val="tx1"/>
            </w14:solidFill>
          </w14:textFill>
        </w:rPr>
        <w:t>降低12.6</w:t>
      </w:r>
      <w:r>
        <w:rPr>
          <w:bCs/>
          <w:color w:val="000000" w:themeColor="text1"/>
          <w:szCs w:val="32"/>
          <w14:textFill>
            <w14:solidFill>
              <w14:schemeClr w14:val="tx1"/>
            </w14:solidFill>
          </w14:textFill>
        </w:rPr>
        <w:t>%，主要原因是202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w:t>
      </w:r>
      <w:r>
        <w:rPr>
          <w:rFonts w:hint="eastAsia"/>
          <w:bCs/>
          <w:color w:val="000000" w:themeColor="text1"/>
          <w:szCs w:val="32"/>
          <w:lang w:val="en-US" w:eastAsia="zh-CN"/>
          <w14:textFill>
            <w14:solidFill>
              <w14:schemeClr w14:val="tx1"/>
            </w14:solidFill>
          </w14:textFill>
        </w:rPr>
        <w:t>降低培训费用</w:t>
      </w:r>
      <w:r>
        <w:rPr>
          <w:bCs/>
          <w:color w:val="000000" w:themeColor="text1"/>
          <w:szCs w:val="32"/>
          <w14:textFill>
            <w14:solidFill>
              <w14:schemeClr w14:val="tx1"/>
            </w14:solidFill>
          </w14:textFill>
        </w:rPr>
        <w:t>。</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w:t>
      </w:r>
      <w:r>
        <w:rPr>
          <w:rFonts w:hint="eastAsia"/>
          <w:bCs/>
          <w:color w:val="000000" w:themeColor="text1"/>
          <w:szCs w:val="32"/>
          <w:lang w:eastAsia="zh-CN"/>
          <w14:textFill>
            <w14:solidFill>
              <w14:schemeClr w14:val="tx1"/>
            </w14:solidFill>
          </w14:textFill>
        </w:rPr>
        <w:t>三</w:t>
      </w:r>
      <w:r>
        <w:rPr>
          <w:bCs/>
          <w:color w:val="000000" w:themeColor="text1"/>
          <w:szCs w:val="32"/>
          <w14:textFill>
            <w14:solidFill>
              <w14:schemeClr w14:val="tx1"/>
            </w14:solidFill>
          </w14:textFill>
        </w:rPr>
        <w:t>）国有资产占用情况说明。截至202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12月31日，本部门共有车辆1辆，其中，副部（省）级及以上领导干部用车0辆、主要领导干部用车0辆、机要通信用车0辆、应急保障用车1辆、执法执勤用车0辆、特种专业技术用车0辆、离退休干部用车0辆、其他用车0辆，单价50万元以上通用设备0台（套），单价100万元以上专用设备0台（套）。</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w:t>
      </w:r>
      <w:r>
        <w:rPr>
          <w:rFonts w:hint="eastAsia"/>
          <w:bCs/>
          <w:color w:val="000000" w:themeColor="text1"/>
          <w:szCs w:val="32"/>
          <w:lang w:eastAsia="zh-CN"/>
          <w14:textFill>
            <w14:solidFill>
              <w14:schemeClr w14:val="tx1"/>
            </w14:solidFill>
          </w14:textFill>
        </w:rPr>
        <w:t>四</w:t>
      </w:r>
      <w:r>
        <w:rPr>
          <w:bCs/>
          <w:color w:val="000000" w:themeColor="text1"/>
          <w:szCs w:val="32"/>
          <w14:textFill>
            <w14:solidFill>
              <w14:schemeClr w14:val="tx1"/>
            </w14:solidFill>
          </w14:textFill>
        </w:rPr>
        <w:t>）政府采购支出情况说明。202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年度政府采购支出总额</w:t>
      </w:r>
      <w:r>
        <w:rPr>
          <w:rFonts w:hint="eastAsia"/>
          <w:bCs/>
          <w:color w:val="000000" w:themeColor="text1"/>
          <w:szCs w:val="32"/>
          <w:lang w:val="en-US" w:eastAsia="zh-CN"/>
          <w14:textFill>
            <w14:solidFill>
              <w14:schemeClr w14:val="tx1"/>
            </w14:solidFill>
          </w14:textFill>
        </w:rPr>
        <w:t>197.5</w:t>
      </w:r>
      <w:r>
        <w:rPr>
          <w:bCs/>
          <w:color w:val="000000" w:themeColor="text1"/>
          <w:szCs w:val="32"/>
          <w14:textFill>
            <w14:solidFill>
              <w14:schemeClr w14:val="tx1"/>
            </w14:solidFill>
          </w14:textFill>
        </w:rPr>
        <w:t>万元，其中：政府采购货物支出0万元、政府采购工程支出0万元、政府采购服务支出</w:t>
      </w:r>
      <w:r>
        <w:rPr>
          <w:rFonts w:hint="eastAsia"/>
          <w:bCs/>
          <w:color w:val="000000" w:themeColor="text1"/>
          <w:szCs w:val="32"/>
          <w:lang w:val="en-US" w:eastAsia="zh-CN"/>
          <w14:textFill>
            <w14:solidFill>
              <w14:schemeClr w14:val="tx1"/>
            </w14:solidFill>
          </w14:textFill>
        </w:rPr>
        <w:t>197.5</w:t>
      </w:r>
      <w:r>
        <w:rPr>
          <w:bCs/>
          <w:color w:val="000000" w:themeColor="text1"/>
          <w:szCs w:val="32"/>
          <w14:textFill>
            <w14:solidFill>
              <w14:schemeClr w14:val="tx1"/>
            </w14:solidFill>
          </w14:textFill>
        </w:rPr>
        <w:t>万元。授予中小企业合同金额</w:t>
      </w:r>
      <w:r>
        <w:rPr>
          <w:rFonts w:hint="eastAsia"/>
          <w:bCs/>
          <w:color w:val="000000" w:themeColor="text1"/>
          <w:szCs w:val="32"/>
          <w:lang w:val="en-US" w:eastAsia="zh-CN"/>
          <w14:textFill>
            <w14:solidFill>
              <w14:schemeClr w14:val="tx1"/>
            </w14:solidFill>
          </w14:textFill>
        </w:rPr>
        <w:t>197.5</w:t>
      </w:r>
      <w:r>
        <w:rPr>
          <w:bCs/>
          <w:color w:val="000000" w:themeColor="text1"/>
          <w:szCs w:val="32"/>
          <w14:textFill>
            <w14:solidFill>
              <w14:schemeClr w14:val="tx1"/>
            </w14:solidFill>
          </w14:textFill>
        </w:rPr>
        <w:t>万元，占政府采购支出总额的100</w:t>
      </w:r>
      <w:r>
        <w:rPr>
          <w:rFonts w:hint="eastAsia"/>
          <w:bCs/>
          <w:color w:val="000000" w:themeColor="text1"/>
          <w:szCs w:val="32"/>
          <w:lang w:val="en-US" w:eastAsia="zh-CN"/>
          <w14:textFill>
            <w14:solidFill>
              <w14:schemeClr w14:val="tx1"/>
            </w14:solidFill>
          </w14:textFill>
        </w:rPr>
        <w:t>.0</w:t>
      </w:r>
      <w:r>
        <w:rPr>
          <w:bCs/>
          <w:color w:val="000000" w:themeColor="text1"/>
          <w:szCs w:val="32"/>
          <w14:textFill>
            <w14:solidFill>
              <w14:schemeClr w14:val="tx1"/>
            </w14:solidFill>
          </w14:textFill>
        </w:rPr>
        <w:t>%，其中授予小微企业合同金额</w:t>
      </w:r>
      <w:r>
        <w:rPr>
          <w:rFonts w:hint="eastAsia"/>
          <w:bCs/>
          <w:color w:val="000000" w:themeColor="text1"/>
          <w:szCs w:val="32"/>
          <w:lang w:val="en-US" w:eastAsia="zh-CN"/>
          <w14:textFill>
            <w14:solidFill>
              <w14:schemeClr w14:val="tx1"/>
            </w14:solidFill>
          </w14:textFill>
        </w:rPr>
        <w:t>0</w:t>
      </w:r>
      <w:r>
        <w:rPr>
          <w:bCs/>
          <w:color w:val="000000" w:themeColor="text1"/>
          <w:szCs w:val="32"/>
          <w14:textFill>
            <w14:solidFill>
              <w14:schemeClr w14:val="tx1"/>
            </w14:solidFill>
          </w14:textFill>
        </w:rPr>
        <w:t>万元，占政府采购支出总额的</w:t>
      </w:r>
      <w:r>
        <w:rPr>
          <w:rFonts w:hint="eastAsia"/>
          <w:bCs/>
          <w:color w:val="000000" w:themeColor="text1"/>
          <w:szCs w:val="32"/>
          <w:lang w:val="en-US" w:eastAsia="zh-CN"/>
          <w14:textFill>
            <w14:solidFill>
              <w14:schemeClr w14:val="tx1"/>
            </w14:solidFill>
          </w14:textFill>
        </w:rPr>
        <w:t>0</w:t>
      </w:r>
      <w:r>
        <w:rPr>
          <w:bCs/>
          <w:color w:val="000000" w:themeColor="text1"/>
          <w:szCs w:val="32"/>
          <w14:textFill>
            <w14:solidFill>
              <w14:schemeClr w14:val="tx1"/>
            </w14:solidFill>
          </w14:textFill>
        </w:rPr>
        <w:t>。主要用于202</w:t>
      </w:r>
      <w:r>
        <w:rPr>
          <w:rFonts w:hint="eastAsia"/>
          <w:bCs/>
          <w:color w:val="000000" w:themeColor="text1"/>
          <w:szCs w:val="32"/>
          <w:lang w:val="en-US" w:eastAsia="zh-CN"/>
          <w14:textFill>
            <w14:solidFill>
              <w14:schemeClr w14:val="tx1"/>
            </w14:solidFill>
          </w14:textFill>
        </w:rPr>
        <w:t>2</w:t>
      </w:r>
      <w:r>
        <w:rPr>
          <w:bCs/>
          <w:color w:val="000000" w:themeColor="text1"/>
          <w:szCs w:val="32"/>
          <w14:textFill>
            <w14:solidFill>
              <w14:schemeClr w14:val="tx1"/>
            </w14:solidFill>
          </w14:textFill>
        </w:rPr>
        <w:t>全国工业软件大会</w:t>
      </w:r>
      <w:r>
        <w:rPr>
          <w:rFonts w:hint="eastAsia"/>
          <w:bCs/>
          <w:color w:val="000000" w:themeColor="text1"/>
          <w:szCs w:val="32"/>
          <w:lang w:val="en-US" w:eastAsia="zh-CN"/>
          <w14:textFill>
            <w14:solidFill>
              <w14:schemeClr w14:val="tx1"/>
            </w14:solidFill>
          </w14:textFill>
        </w:rPr>
        <w:t>执行</w:t>
      </w:r>
      <w:r>
        <w:rPr>
          <w:bCs/>
          <w:color w:val="000000" w:themeColor="text1"/>
          <w:szCs w:val="32"/>
          <w14:textFill>
            <w14:solidFill>
              <w14:schemeClr w14:val="tx1"/>
            </w14:solidFill>
          </w14:textFill>
        </w:rPr>
        <w:t>服务</w:t>
      </w:r>
      <w:r>
        <w:rPr>
          <w:rFonts w:hint="eastAsia"/>
          <w:bCs/>
          <w:color w:val="000000" w:themeColor="text1"/>
          <w:szCs w:val="32"/>
          <w:lang w:val="en-US" w:eastAsia="zh-CN"/>
          <w14:textFill>
            <w14:solidFill>
              <w14:schemeClr w14:val="tx1"/>
            </w14:solidFill>
          </w14:textFill>
        </w:rPr>
        <w:t>费</w:t>
      </w:r>
      <w:r>
        <w:rPr>
          <w:bCs/>
          <w:color w:val="000000" w:themeColor="text1"/>
          <w:szCs w:val="32"/>
          <w14:textFill>
            <w14:solidFill>
              <w14:schemeClr w14:val="tx1"/>
            </w14:solidFill>
          </w14:textFill>
        </w:rPr>
        <w:t>。</w:t>
      </w:r>
    </w:p>
    <w:p>
      <w:pPr>
        <w:widowControl w:val="0"/>
        <w:ind w:firstLine="640"/>
        <w:rPr>
          <w:bCs/>
          <w:color w:val="000000" w:themeColor="text1"/>
          <w:szCs w:val="32"/>
          <w14:textFill>
            <w14:solidFill>
              <w14:schemeClr w14:val="tx1"/>
            </w14:solidFill>
          </w14:textFill>
        </w:rPr>
      </w:pPr>
      <w:r>
        <w:rPr>
          <w:rFonts w:hint="eastAsia"/>
          <w:bCs/>
          <w:color w:val="000000" w:themeColor="text1"/>
          <w:szCs w:val="32"/>
          <w:lang w:val="en-US" w:eastAsia="zh-CN"/>
          <w14:textFill>
            <w14:solidFill>
              <w14:schemeClr w14:val="tx1"/>
            </w14:solidFill>
          </w14:textFill>
        </w:rPr>
        <w:t>五、</w:t>
      </w:r>
      <w:r>
        <w:rPr>
          <w:bCs/>
          <w:color w:val="000000" w:themeColor="text1"/>
          <w:szCs w:val="32"/>
          <w14:textFill>
            <w14:solidFill>
              <w14:schemeClr w14:val="tx1"/>
            </w14:solidFill>
          </w14:textFill>
        </w:rPr>
        <w:t>预算绩效管理情况说明</w:t>
      </w:r>
    </w:p>
    <w:p>
      <w:pPr>
        <w:spacing w:line="594" w:lineRule="exact"/>
        <w:ind w:firstLine="640" w:firstLineChars="200"/>
        <w:jc w:val="both"/>
        <w:rPr>
          <w:rFonts w:hint="default" w:ascii="Times New Roman" w:hAnsi="Times New Roman" w:eastAsia="方正仿宋_GBK"/>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bCs/>
          <w:sz w:val="32"/>
          <w:szCs w:val="32"/>
        </w:rPr>
        <w:t>（1）</w:t>
      </w:r>
      <w:r>
        <w:rPr>
          <w:rFonts w:hint="default" w:ascii="Times New Roman" w:hAnsi="Times New Roman" w:eastAsia="方正仿宋_GBK"/>
          <w:b/>
          <w:sz w:val="32"/>
          <w:szCs w:val="32"/>
        </w:rPr>
        <w:t>预算绩效管理工作开展情况。</w:t>
      </w:r>
      <w:r>
        <w:rPr>
          <w:rFonts w:hint="eastAsia" w:ascii="Times New Roman" w:hAnsi="Times New Roman" w:eastAsia="方正仿宋_GBK"/>
          <w:b w:val="0"/>
          <w:bCs/>
          <w:color w:val="000000" w:themeColor="text1"/>
          <w:sz w:val="32"/>
          <w:szCs w:val="32"/>
          <w:lang w:val="en-US" w:eastAsia="zh-CN"/>
          <w14:textFill>
            <w14:solidFill>
              <w14:schemeClr w14:val="tx1"/>
            </w14:solidFill>
          </w14:textFill>
        </w:rPr>
        <w:t>根据预算绩效管理要求，我委对部门整体和1</w:t>
      </w:r>
      <w:r>
        <w:rPr>
          <w:rFonts w:hint="eastAsia"/>
          <w:b w:val="0"/>
          <w:bCs/>
          <w:color w:val="000000" w:themeColor="text1"/>
          <w:sz w:val="32"/>
          <w:szCs w:val="32"/>
          <w:lang w:val="en-US" w:eastAsia="zh-CN"/>
          <w14:textFill>
            <w14:solidFill>
              <w14:schemeClr w14:val="tx1"/>
            </w14:solidFill>
          </w14:textFill>
        </w:rPr>
        <w:t>6</w:t>
      </w:r>
      <w:r>
        <w:rPr>
          <w:rFonts w:hint="eastAsia" w:ascii="Times New Roman" w:hAnsi="Times New Roman" w:eastAsia="方正仿宋_GBK"/>
          <w:b w:val="0"/>
          <w:bCs/>
          <w:color w:val="000000" w:themeColor="text1"/>
          <w:sz w:val="32"/>
          <w:szCs w:val="32"/>
          <w:lang w:val="en-US" w:eastAsia="zh-CN"/>
          <w14:textFill>
            <w14:solidFill>
              <w14:schemeClr w14:val="tx1"/>
            </w14:solidFill>
          </w14:textFill>
        </w:rPr>
        <w:t>个项目开展了绩效自评，涉及资金</w:t>
      </w:r>
      <w:r>
        <w:rPr>
          <w:bCs/>
          <w:color w:val="000000" w:themeColor="text1"/>
          <w:szCs w:val="32"/>
          <w14:textFill>
            <w14:solidFill>
              <w14:schemeClr w14:val="tx1"/>
            </w14:solidFill>
          </w14:textFill>
        </w:rPr>
        <w:t>5,263.24</w:t>
      </w:r>
      <w:r>
        <w:rPr>
          <w:rFonts w:hint="eastAsia" w:ascii="Times New Roman" w:hAnsi="Times New Roman" w:eastAsia="方正仿宋_GBK"/>
          <w:b w:val="0"/>
          <w:bCs/>
          <w:color w:val="000000" w:themeColor="text1"/>
          <w:sz w:val="32"/>
          <w:szCs w:val="32"/>
          <w:lang w:val="en-US" w:eastAsia="zh-CN"/>
          <w14:textFill>
            <w14:solidFill>
              <w14:schemeClr w14:val="tx1"/>
            </w14:solidFill>
          </w14:textFill>
        </w:rPr>
        <w:t>万元，其中，以填报目标自评表形式开展自评1</w:t>
      </w:r>
      <w:r>
        <w:rPr>
          <w:rFonts w:hint="eastAsia"/>
          <w:b w:val="0"/>
          <w:bCs/>
          <w:color w:val="000000" w:themeColor="text1"/>
          <w:sz w:val="32"/>
          <w:szCs w:val="32"/>
          <w:lang w:val="en-US" w:eastAsia="zh-CN"/>
          <w14:textFill>
            <w14:solidFill>
              <w14:schemeClr w14:val="tx1"/>
            </w14:solidFill>
          </w14:textFill>
        </w:rPr>
        <w:t>6</w:t>
      </w:r>
      <w:r>
        <w:rPr>
          <w:rFonts w:hint="eastAsia" w:ascii="Times New Roman" w:hAnsi="Times New Roman" w:eastAsia="方正仿宋_GBK"/>
          <w:b w:val="0"/>
          <w:bCs/>
          <w:color w:val="000000" w:themeColor="text1"/>
          <w:sz w:val="32"/>
          <w:szCs w:val="32"/>
          <w:lang w:val="en-US" w:eastAsia="zh-CN"/>
          <w14:textFill>
            <w14:solidFill>
              <w14:schemeClr w14:val="tx1"/>
            </w14:solidFill>
          </w14:textFill>
        </w:rPr>
        <w:t>项，涉及资金</w:t>
      </w:r>
      <w:r>
        <w:rPr>
          <w:rFonts w:hint="eastAsia"/>
          <w:b w:val="0"/>
          <w:bCs/>
          <w:color w:val="000000" w:themeColor="text1"/>
          <w:sz w:val="32"/>
          <w:szCs w:val="32"/>
          <w:lang w:val="en-US" w:eastAsia="zh-CN"/>
          <w14:textFill>
            <w14:solidFill>
              <w14:schemeClr w14:val="tx1"/>
            </w14:solidFill>
          </w14:textFill>
        </w:rPr>
        <w:t>4901.86</w:t>
      </w:r>
      <w:r>
        <w:rPr>
          <w:rFonts w:hint="eastAsia" w:ascii="Times New Roman" w:hAnsi="Times New Roman" w:eastAsia="方正仿宋_GBK"/>
          <w:b w:val="0"/>
          <w:bCs/>
          <w:color w:val="000000" w:themeColor="text1"/>
          <w:sz w:val="32"/>
          <w:szCs w:val="32"/>
          <w:lang w:val="en-US" w:eastAsia="zh-CN"/>
          <w14:textFill>
            <w14:solidFill>
              <w14:schemeClr w14:val="tx1"/>
            </w14:solidFill>
          </w14:textFill>
        </w:rPr>
        <w:t>万元。</w:t>
      </w:r>
    </w:p>
    <w:p>
      <w:pPr>
        <w:spacing w:line="594"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bCs/>
          <w:sz w:val="32"/>
          <w:szCs w:val="32"/>
        </w:rPr>
        <w:t>（2）</w:t>
      </w:r>
      <w:r>
        <w:rPr>
          <w:rFonts w:hint="default" w:ascii="Times New Roman" w:hAnsi="Times New Roman" w:eastAsia="方正仿宋_GBK"/>
          <w:b/>
          <w:sz w:val="32"/>
          <w:szCs w:val="32"/>
        </w:rPr>
        <w:t>绩效目标自评结果。</w:t>
      </w:r>
      <w:r>
        <w:rPr>
          <w:rFonts w:hint="eastAsia" w:ascii="Times New Roman" w:hAnsi="Times New Roman" w:eastAsia="方正仿宋_GBK"/>
          <w:b w:val="0"/>
          <w:bCs/>
          <w:color w:val="000000" w:themeColor="text1"/>
          <w:sz w:val="32"/>
          <w:szCs w:val="32"/>
          <w:lang w:val="en-US" w:eastAsia="zh-CN"/>
          <w14:textFill>
            <w14:solidFill>
              <w14:schemeClr w14:val="tx1"/>
            </w14:solidFill>
          </w14:textFill>
        </w:rPr>
        <w:t>从评价情况来看，我委项目资金绩效管理工作扎实，项目实施达到了预期效益</w:t>
      </w:r>
      <w:r>
        <w:rPr>
          <w:rFonts w:hint="default" w:ascii="Times New Roman" w:hAnsi="Times New Roman" w:eastAsia="方正仿宋_GBK"/>
          <w:bCs/>
          <w:sz w:val="32"/>
          <w:szCs w:val="32"/>
        </w:rPr>
        <w:t>。</w:t>
      </w:r>
      <w:bookmarkStart w:id="22" w:name="_GoBack"/>
      <w:bookmarkEnd w:id="22"/>
    </w:p>
    <w:p>
      <w:pPr>
        <w:widowControl w:val="0"/>
        <w:ind w:left="0" w:leftChars="0" w:firstLine="0" w:firstLineChars="0"/>
        <w:rPr>
          <w:rFonts w:hint="default"/>
          <w:bCs/>
          <w:color w:val="000000" w:themeColor="text1"/>
          <w:szCs w:val="32"/>
          <w14:textFill>
            <w14:solidFill>
              <w14:schemeClr w14:val="tx1"/>
            </w14:solidFill>
          </w14:textFill>
        </w:rPr>
      </w:pPr>
    </w:p>
    <w:p>
      <w:pPr>
        <w:widowControl w:val="0"/>
        <w:ind w:firstLine="640"/>
        <w:rPr>
          <w:rFonts w:hint="default"/>
          <w:bCs/>
          <w:color w:val="000000" w:themeColor="text1"/>
          <w:szCs w:val="32"/>
          <w14:textFill>
            <w14:solidFill>
              <w14:schemeClr w14:val="tx1"/>
            </w14:solidFill>
          </w14:textFill>
        </w:rPr>
      </w:pPr>
      <w:bookmarkStart w:id="18" w:name="_Toc28316_WPSOffice_Level1"/>
      <w:bookmarkStart w:id="19" w:name="_Toc28573_WPSOffice_Level1"/>
      <w:r>
        <w:rPr>
          <w:rFonts w:hint="eastAsia"/>
          <w:bCs/>
          <w:color w:val="000000" w:themeColor="text1"/>
          <w:szCs w:val="32"/>
          <w:lang w:val="en-US" w:eastAsia="zh-CN"/>
          <w14:textFill>
            <w14:solidFill>
              <w14:schemeClr w14:val="tx1"/>
            </w14:solidFill>
          </w14:textFill>
        </w:rPr>
        <w:t>六</w:t>
      </w:r>
      <w:r>
        <w:rPr>
          <w:bCs/>
          <w:color w:val="000000" w:themeColor="text1"/>
          <w:szCs w:val="32"/>
          <w14:textFill>
            <w14:solidFill>
              <w14:schemeClr w14:val="tx1"/>
            </w14:solidFill>
          </w14:textFill>
        </w:rPr>
        <w:t>、专业名词解释</w:t>
      </w:r>
      <w:bookmarkEnd w:id="18"/>
      <w:bookmarkEnd w:id="19"/>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（一）财政拨款收入：指本年度从本级财政部门取得的财政拨款，包括一般公共预算财政拨款和政府性基金预算财政拨款。</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（二）事业收入：指事业单位开展专业业务活动及其辅助活动取得的收入；事业单位收到的财政专户实际核拨的教育收费等资金在此反映。</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（三）经营收入：指事业单位在专业业务活动及其辅助活动之外开展非独立核算经营活动取得的收入。</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（六）年初结转和结余：指单位上年结转本年使用的基本支出结转、项目支出结转和结余、经营结余。不包括事业单位净资产项下的事业基金和专用基金。</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（八）年末结转和结余：指单位结转下年的基本支出结转、项目支出结转和结余、经营结余。不包括事业单位净资产项下的事业基金和专用基金。</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（十）项目支出：指在基本支出之外为完成特定行政任务和事业发展目标所发生的支出。</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（十一）经营支出：指事业单位在专业业务活动及其辅助活动之外开展非独立核算经营活动发生的支出。</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十三）机关运行经费：为保障行政单位（含参照公务员法管理的事业单位）运行用于购买货物和服务等的各项公用经费，包括办公及印刷费、邮电费、差旅费、会议费、日常维护费、专用材料及一般设备购置费、办公用房水电费、办公用房取暖费、办公用房物业管理费、公务用车运行维护费以及其他费用。</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（十四）工资福利支出（支出经济分类科目类级）：反映单位开支的在职职工和编制外长期聘用人员的各类劳动报酬，以及为上述人员缴纳的各项社会保险费等。</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（十五）商品和服务支出（支出经济分类科目类级）：反映单位购买商品和服务的支出（不包括用于购置固定资产的支出、战略性和应急储备支出）。</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（十六）对个人和家庭的补助（支出经济分类科目类级）：反映用于对个人和家庭的补助支出。</w:t>
      </w:r>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widowControl w:val="0"/>
        <w:ind w:firstLine="640"/>
        <w:rPr>
          <w:rFonts w:hint="default"/>
          <w:bCs/>
          <w:color w:val="000000" w:themeColor="text1"/>
          <w:szCs w:val="32"/>
          <w14:textFill>
            <w14:solidFill>
              <w14:schemeClr w14:val="tx1"/>
            </w14:solidFill>
          </w14:textFill>
        </w:rPr>
      </w:pPr>
      <w:bookmarkStart w:id="20" w:name="_Toc15048_WPSOffice_Level1"/>
      <w:bookmarkStart w:id="21" w:name="_Toc9420_WPSOffice_Level1"/>
      <w:r>
        <w:rPr>
          <w:rFonts w:hint="eastAsia"/>
          <w:bCs/>
          <w:color w:val="000000" w:themeColor="text1"/>
          <w:szCs w:val="32"/>
          <w:lang w:val="en-US" w:eastAsia="zh-CN"/>
          <w14:textFill>
            <w14:solidFill>
              <w14:schemeClr w14:val="tx1"/>
            </w14:solidFill>
          </w14:textFill>
        </w:rPr>
        <w:t>七</w:t>
      </w:r>
      <w:r>
        <w:rPr>
          <w:bCs/>
          <w:color w:val="000000" w:themeColor="text1"/>
          <w:szCs w:val="32"/>
          <w14:textFill>
            <w14:solidFill>
              <w14:schemeClr w14:val="tx1"/>
            </w14:solidFill>
          </w14:textFill>
        </w:rPr>
        <w:t>、决算公开联系方式</w:t>
      </w:r>
      <w:bookmarkEnd w:id="20"/>
      <w:bookmarkEnd w:id="21"/>
    </w:p>
    <w:p>
      <w:pPr>
        <w:widowControl w:val="0"/>
        <w:ind w:firstLine="640"/>
        <w:rPr>
          <w:rFonts w:hint="default"/>
          <w:bCs/>
          <w:color w:val="000000" w:themeColor="text1"/>
          <w:szCs w:val="32"/>
          <w14:textFill>
            <w14:solidFill>
              <w14:schemeClr w14:val="tx1"/>
            </w14:solidFill>
          </w14:textFill>
        </w:rPr>
      </w:pPr>
      <w:r>
        <w:rPr>
          <w:bCs/>
          <w:color w:val="000000" w:themeColor="text1"/>
          <w:szCs w:val="32"/>
          <w14:textFill>
            <w14:solidFill>
              <w14:schemeClr w14:val="tx1"/>
            </w14:solidFill>
          </w14:textFill>
        </w:rPr>
        <w:t>本单位决算公开信息反馈和联系方式：023—</w:t>
      </w:r>
      <w:bookmarkEnd w:id="15"/>
      <w:r>
        <w:rPr>
          <w:bCs/>
          <w:color w:val="000000" w:themeColor="text1"/>
          <w:szCs w:val="32"/>
          <w14:textFill>
            <w14:solidFill>
              <w14:schemeClr w14:val="tx1"/>
            </w14:solidFill>
          </w14:textFill>
        </w:rPr>
        <w:t>63256355</w:t>
      </w:r>
    </w:p>
    <w:p>
      <w:pPr>
        <w:widowControl w:val="0"/>
        <w:ind w:firstLine="640"/>
        <w:rPr>
          <w:rFonts w:hint="default"/>
          <w:bCs/>
          <w:color w:val="000000" w:themeColor="text1"/>
          <w:szCs w:val="32"/>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88" w:right="1418" w:bottom="1588" w:left="1418" w:header="851" w:footer="907" w:gutter="0"/>
      <w:pgNumType w:start="1"/>
      <w:cols w:space="720" w:num="1"/>
      <w:docGrid w:linePitch="435"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67784376-5ECE-46EF-975E-4203588AA78A}"/>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B81BDD0E-59F7-4760-AFD7-05E43DC14743}"/>
  </w:font>
  <w:font w:name="方正楷体_GBK">
    <w:panose1 w:val="02000000000000000000"/>
    <w:charset w:val="86"/>
    <w:family w:val="script"/>
    <w:pitch w:val="default"/>
    <w:sig w:usb0="800002BF" w:usb1="38CF7CFA" w:usb2="00000016" w:usb3="00000000" w:csb0="00040000" w:csb1="00000000"/>
    <w:embedRegular r:id="rId3" w:fontKey="{D19384C9-B0F3-4FAD-8487-77F1D7A24068}"/>
  </w:font>
  <w:font w:name="方正黑体_GBK">
    <w:panose1 w:val="03000509000000000000"/>
    <w:charset w:val="86"/>
    <w:family w:val="script"/>
    <w:pitch w:val="default"/>
    <w:sig w:usb0="00000001" w:usb1="080E0000" w:usb2="00000000" w:usb3="00000000" w:csb0="00040000" w:csb1="00000000"/>
    <w:embedRegular r:id="rId4" w:fontKey="{304C6F3D-B5CB-4AA9-AD8A-D1AA4BFA08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00"/>
      <w:jc w:val="right"/>
      <w:rPr>
        <w:rFonts w:hint="default"/>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7</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0"/>
        <w:numId w:val="1"/>
      </w:numPr>
      <w:ind w:firstLineChars="0"/>
      <w:rPr>
        <w:rFonts w:hint="default"/>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8</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62255"/>
    <w:multiLevelType w:val="multilevel"/>
    <w:tmpl w:val="0E062255"/>
    <w:lvl w:ilvl="0" w:tentative="0">
      <w:start w:val="0"/>
      <w:numFmt w:val="bullet"/>
      <w:lvlText w:val="—"/>
      <w:lvlJc w:val="left"/>
      <w:pPr>
        <w:ind w:left="720" w:hanging="360"/>
      </w:pPr>
      <w:rPr>
        <w:rFonts w:hint="default" w:ascii="Times New Roman" w:hAnsi="Times New Roman" w:eastAsia="宋体" w:cs="Times New Roman"/>
        <w:sz w:val="3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hideGrammaticalErrors/>
  <w:documentProtection w:enforcement="0"/>
  <w:defaultTabStop w:val="420"/>
  <w:evenAndOddHeaders w:val="1"/>
  <w:drawingGridHorizontalSpacing w:val="160"/>
  <w:drawingGridVerticalSpacing w:val="157"/>
  <w:displayHorizontalDrawingGridEvery w:val="2"/>
  <w:noPunctuationKerning w:val="1"/>
  <w:characterSpacingControl w:val="doNotCompres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ODY5MmZkNmNiOGIzYTI5ZTE5MzQ2YWFiMWI2OTIifQ=="/>
  </w:docVars>
  <w:rsids>
    <w:rsidRoot w:val="00490BD0"/>
    <w:rsid w:val="00006F4F"/>
    <w:rsid w:val="00015C70"/>
    <w:rsid w:val="00042B91"/>
    <w:rsid w:val="000476B1"/>
    <w:rsid w:val="0005523A"/>
    <w:rsid w:val="00097B49"/>
    <w:rsid w:val="000F4798"/>
    <w:rsid w:val="00106AE5"/>
    <w:rsid w:val="001273B7"/>
    <w:rsid w:val="001879D1"/>
    <w:rsid w:val="001A1441"/>
    <w:rsid w:val="001A5813"/>
    <w:rsid w:val="001B4957"/>
    <w:rsid w:val="002045C3"/>
    <w:rsid w:val="00250D2D"/>
    <w:rsid w:val="002541C3"/>
    <w:rsid w:val="00293435"/>
    <w:rsid w:val="002D30F9"/>
    <w:rsid w:val="002E0B04"/>
    <w:rsid w:val="002F088C"/>
    <w:rsid w:val="003012BA"/>
    <w:rsid w:val="0031547A"/>
    <w:rsid w:val="003376DA"/>
    <w:rsid w:val="00370740"/>
    <w:rsid w:val="00377AAB"/>
    <w:rsid w:val="0038180B"/>
    <w:rsid w:val="003A62AD"/>
    <w:rsid w:val="003D4404"/>
    <w:rsid w:val="003E3822"/>
    <w:rsid w:val="00405168"/>
    <w:rsid w:val="00437AAA"/>
    <w:rsid w:val="0046764A"/>
    <w:rsid w:val="00490BD0"/>
    <w:rsid w:val="004A3641"/>
    <w:rsid w:val="004A4CBA"/>
    <w:rsid w:val="004B2303"/>
    <w:rsid w:val="005319EE"/>
    <w:rsid w:val="005433F1"/>
    <w:rsid w:val="00547027"/>
    <w:rsid w:val="00637F68"/>
    <w:rsid w:val="00640170"/>
    <w:rsid w:val="00656528"/>
    <w:rsid w:val="006B4AE4"/>
    <w:rsid w:val="006B7322"/>
    <w:rsid w:val="006C7D6D"/>
    <w:rsid w:val="006E00C0"/>
    <w:rsid w:val="006E0434"/>
    <w:rsid w:val="006F68A5"/>
    <w:rsid w:val="00722C48"/>
    <w:rsid w:val="00751E95"/>
    <w:rsid w:val="007567B1"/>
    <w:rsid w:val="00763437"/>
    <w:rsid w:val="007D0E00"/>
    <w:rsid w:val="00810D1A"/>
    <w:rsid w:val="00810DDA"/>
    <w:rsid w:val="00831912"/>
    <w:rsid w:val="00870684"/>
    <w:rsid w:val="00886093"/>
    <w:rsid w:val="008B1F65"/>
    <w:rsid w:val="008C12E2"/>
    <w:rsid w:val="008D742B"/>
    <w:rsid w:val="00921C3C"/>
    <w:rsid w:val="00934171"/>
    <w:rsid w:val="00935E35"/>
    <w:rsid w:val="00962A44"/>
    <w:rsid w:val="009716C8"/>
    <w:rsid w:val="00976BD4"/>
    <w:rsid w:val="009C2323"/>
    <w:rsid w:val="009F4E8A"/>
    <w:rsid w:val="00A578D8"/>
    <w:rsid w:val="00A75C33"/>
    <w:rsid w:val="00AC67EC"/>
    <w:rsid w:val="00AE3B64"/>
    <w:rsid w:val="00B3196F"/>
    <w:rsid w:val="00B50CB3"/>
    <w:rsid w:val="00BA2C46"/>
    <w:rsid w:val="00BE1300"/>
    <w:rsid w:val="00BF0DD5"/>
    <w:rsid w:val="00BF7D1E"/>
    <w:rsid w:val="00C141D4"/>
    <w:rsid w:val="00C418F7"/>
    <w:rsid w:val="00C63A26"/>
    <w:rsid w:val="00C67438"/>
    <w:rsid w:val="00C858D4"/>
    <w:rsid w:val="00CA5005"/>
    <w:rsid w:val="00CA5802"/>
    <w:rsid w:val="00CA60A9"/>
    <w:rsid w:val="00CB1117"/>
    <w:rsid w:val="00D1217B"/>
    <w:rsid w:val="00D70791"/>
    <w:rsid w:val="00DA71D7"/>
    <w:rsid w:val="00DC0C9F"/>
    <w:rsid w:val="00DC2E3E"/>
    <w:rsid w:val="00DE695D"/>
    <w:rsid w:val="00E00F80"/>
    <w:rsid w:val="00E214ED"/>
    <w:rsid w:val="00E35F21"/>
    <w:rsid w:val="00E536EE"/>
    <w:rsid w:val="00E62B4D"/>
    <w:rsid w:val="00E802A8"/>
    <w:rsid w:val="00EB650E"/>
    <w:rsid w:val="00EC1B69"/>
    <w:rsid w:val="00FB08FB"/>
    <w:rsid w:val="00FF7903"/>
    <w:rsid w:val="03CE2CCD"/>
    <w:rsid w:val="12700D1F"/>
    <w:rsid w:val="169C5213"/>
    <w:rsid w:val="18015B6E"/>
    <w:rsid w:val="184A5B64"/>
    <w:rsid w:val="19A64DBB"/>
    <w:rsid w:val="1C233862"/>
    <w:rsid w:val="20A470C6"/>
    <w:rsid w:val="214D2CB5"/>
    <w:rsid w:val="22FD0D55"/>
    <w:rsid w:val="24567752"/>
    <w:rsid w:val="24AA02A9"/>
    <w:rsid w:val="27C126E4"/>
    <w:rsid w:val="29410BE4"/>
    <w:rsid w:val="2A6F63AD"/>
    <w:rsid w:val="2E917F1F"/>
    <w:rsid w:val="3455249D"/>
    <w:rsid w:val="366D30A4"/>
    <w:rsid w:val="3808086B"/>
    <w:rsid w:val="38B41CD7"/>
    <w:rsid w:val="3CD967A1"/>
    <w:rsid w:val="3D3A4818"/>
    <w:rsid w:val="41EC202B"/>
    <w:rsid w:val="42863E3F"/>
    <w:rsid w:val="482F0FE2"/>
    <w:rsid w:val="50232D2F"/>
    <w:rsid w:val="50896216"/>
    <w:rsid w:val="53366123"/>
    <w:rsid w:val="55AE0A2B"/>
    <w:rsid w:val="59312782"/>
    <w:rsid w:val="5941497C"/>
    <w:rsid w:val="5A37217D"/>
    <w:rsid w:val="5ACB1CF9"/>
    <w:rsid w:val="5B136F0D"/>
    <w:rsid w:val="5C6771D4"/>
    <w:rsid w:val="5E133CB7"/>
    <w:rsid w:val="61BB23BA"/>
    <w:rsid w:val="664917C6"/>
    <w:rsid w:val="66756D2D"/>
    <w:rsid w:val="6706191C"/>
    <w:rsid w:val="67837A99"/>
    <w:rsid w:val="685E5C6B"/>
    <w:rsid w:val="6A523827"/>
    <w:rsid w:val="6DD4732E"/>
    <w:rsid w:val="711D7BF0"/>
    <w:rsid w:val="7130279A"/>
    <w:rsid w:val="73144891"/>
    <w:rsid w:val="7A3206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name="heading 7"/>
    <w:lsdException w:qFormat="1" w:unhideWhenUsed="0" w:uiPriority="9" w:name="heading 8"/>
    <w:lsdException w:qFormat="1" w:unhideWhenUsed="0" w:uiPriority="9" w:name="heading 9"/>
    <w:lsdException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qFormat="1" w:unhideWhenUsed="0" w:uiPriority="0" w:semiHidden="0" w:name="toc 1"/>
    <w:lsdException w:qFormat="1" w:unhideWhenUsed="0" w:uiPriority="0"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99" w:semiHidden="0" w:name="footnote text"/>
    <w:lsdException w:qFormat="1" w:uiPriority="99" w:semiHidden="0" w:name="annotation text"/>
    <w:lsdException w:qFormat="1" w:uiPriority="0" w:semiHidden="0" w:name="header"/>
    <w:lsdException w:qFormat="1" w:uiPriority="99" w:semiHidden="0" w:name="footer"/>
    <w:lsdException w:uiPriority="99" w:semiHidden="0" w:name="index heading"/>
    <w:lsdException w:qFormat="1" w:unhideWhenUsed="0" w:uiPriority="35" w:name="caption"/>
    <w:lsdException w:uiPriority="99" w:semiHidden="0" w:name="table of figures"/>
    <w:lsdException w:uiPriority="99" w:semiHidden="0" w:name="envelope address"/>
    <w:lsdException w:uiPriority="99" w:semiHidden="0" w:name="envelope return"/>
    <w:lsdException w:uiPriority="99" w:semiHidden="0" w:name="footnote reference"/>
    <w:lsdException w:uiPriority="99" w:semiHidden="0" w:name="annotation reference"/>
    <w:lsdException w:uiPriority="99" w:semiHidden="0" w:name="line number"/>
    <w:lsdException w:qFormat="1" w:unhideWhenUsed="0" w:uiPriority="0" w:semiHidden="0" w:name="page number"/>
    <w:lsdException w:uiPriority="99" w:semiHidden="0" w:name="endnote reference"/>
    <w:lsdException w:uiPriority="99" w:semiHidden="0" w:name="endnote text"/>
    <w:lsdException w:uiPriority="99" w:semiHidden="0" w:name="table of authorities"/>
    <w:lsdException w:uiPriority="99" w:semiHidden="0" w:name="macro"/>
    <w:lsdException w:uiPriority="99" w:semiHidden="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semiHidden="0" w:name="List 4"/>
    <w:lsdException w:uiPriority="99" w:semiHidden="0" w:name="List 5"/>
    <w:lsdException w:uiPriority="99" w:semiHidden="0" w:name="List Bullet 2"/>
    <w:lsdException w:uiPriority="99" w:semiHidden="0" w:name="List Bullet 3"/>
    <w:lsdException w:uiPriority="99" w:semiHidden="0" w:name="List Bullet 4"/>
    <w:lsdException w:uiPriority="99" w:semiHidden="0" w:name="List Bullet 5"/>
    <w:lsdException w:uiPriority="99" w:semiHidden="0" w:name="List Number 2"/>
    <w:lsdException w:uiPriority="99" w:semiHidden="0" w:name="List Number 3"/>
    <w:lsdException w:uiPriority="99" w:semiHidden="0" w:name="List Number 4"/>
    <w:lsdException w:uiPriority="99" w:semiHidden="0" w:name="List Number 5"/>
    <w:lsdException w:qFormat="1" w:unhideWhenUsed="0" w:uiPriority="0" w:semiHidden="0" w:name="Title"/>
    <w:lsdException w:uiPriority="99" w:semiHidden="0" w:name="Closing"/>
    <w:lsdException w:uiPriority="99" w:semiHidden="0" w:name="Signature"/>
    <w:lsdException w:qFormat="1" w:uiPriority="1" w:name="Default Paragraph Font"/>
    <w:lsdException w:qFormat="1" w:unhideWhenUsed="0" w:uiPriority="0" w:semiHidden="0" w:name="Body Text"/>
    <w:lsdException w:uiPriority="99" w:semiHidden="0" w:name="Body Text Indent"/>
    <w:lsdException w:uiPriority="99" w:semiHidden="0" w:name="List Continue"/>
    <w:lsdException w:uiPriority="99" w:semiHidden="0" w:name="List Continue 2"/>
    <w:lsdException w:uiPriority="99" w:semiHidden="0" w:name="List Continue 3"/>
    <w:lsdException w:uiPriority="99" w:semiHidden="0" w:name="List Continue 4"/>
    <w:lsdException w:uiPriority="99" w:semiHidden="0" w:name="List Continue 5"/>
    <w:lsdException w:uiPriority="99" w:semiHidden="0" w:name="Message Header"/>
    <w:lsdException w:qFormat="1" w:unhideWhenUsed="0" w:uiPriority="11" w:semiHidden="0" w:name="Subtitle"/>
    <w:lsdException w:uiPriority="99" w:semiHidden="0" w:name="Salutation"/>
    <w:lsdException w:uiPriority="99" w:semiHidden="0" w:name="Date"/>
    <w:lsdException w:uiPriority="99" w:semiHidden="0" w:name="Body Text First Indent"/>
    <w:lsdException w:uiPriority="99" w:semiHidden="0" w:name="Body Text First Indent 2"/>
    <w:lsdException w:uiPriority="99" w:semiHidden="0"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semiHidden="0" w:name="Document Map"/>
    <w:lsdException w:qFormat="1" w:unhideWhenUsed="0" w:uiPriority="99" w:semiHidden="0" w:name="Plain Text"/>
    <w:lsdException w:uiPriority="99" w:semiHidden="0" w:name="E-mail Signature"/>
    <w:lsdException w:qFormat="1" w:uiPriority="99" w:semiHidden="0" w:name="Normal (Web)"/>
    <w:lsdException w:uiPriority="99" w:semiHidden="0" w:name="HTML Acronym"/>
    <w:lsdException w:uiPriority="99"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semiHidden="0" w:name="HTML Keyboard"/>
    <w:lsdException w:qFormat="1" w:uiPriority="0" w:semiHidden="0" w:name="HTML Preformatted"/>
    <w:lsdException w:uiPriority="99" w:semiHidden="0" w:name="HTML Sample"/>
    <w:lsdException w:uiPriority="99" w:semiHidden="0" w:name="HTML Typewriter"/>
    <w:lsdException w:qFormat="1" w:unhideWhenUsed="0" w:uiPriority="0" w:semiHidden="0"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line="594" w:lineRule="exact"/>
      <w:ind w:firstLine="1080" w:firstLineChars="200"/>
      <w:jc w:val="both"/>
    </w:pPr>
    <w:rPr>
      <w:rFonts w:hint="eastAsia" w:ascii="Times New Roman" w:hAnsi="Times New Roman" w:eastAsia="方正仿宋_GBK" w:cs="宋体"/>
      <w:sz w:val="32"/>
      <w:szCs w:val="24"/>
      <w:lang w:val="en-US" w:eastAsia="zh-CN" w:bidi="ar-SA"/>
    </w:rPr>
  </w:style>
  <w:style w:type="paragraph" w:styleId="2">
    <w:name w:val="heading 1"/>
    <w:basedOn w:val="1"/>
    <w:next w:val="1"/>
    <w:link w:val="30"/>
    <w:qFormat/>
    <w:uiPriority w:val="0"/>
    <w:pPr>
      <w:spacing w:beforeAutospacing="1" w:afterAutospacing="1"/>
      <w:jc w:val="left"/>
      <w:outlineLvl w:val="0"/>
    </w:pPr>
    <w:rPr>
      <w:rFonts w:ascii="宋体" w:hAnsi="宋体" w:eastAsia="宋体"/>
      <w:b/>
      <w:kern w:val="44"/>
      <w:sz w:val="48"/>
      <w:szCs w:val="48"/>
    </w:rPr>
  </w:style>
  <w:style w:type="paragraph" w:styleId="3">
    <w:name w:val="heading 2"/>
    <w:basedOn w:val="1"/>
    <w:next w:val="1"/>
    <w:link w:val="31"/>
    <w:qFormat/>
    <w:uiPriority w:val="0"/>
    <w:pPr>
      <w:spacing w:beforeAutospacing="1" w:afterAutospacing="1"/>
      <w:jc w:val="left"/>
      <w:outlineLvl w:val="1"/>
    </w:pPr>
    <w:rPr>
      <w:rFonts w:ascii="宋体" w:hAnsi="宋体" w:eastAsia="宋体"/>
      <w:b/>
      <w:sz w:val="36"/>
      <w:szCs w:val="36"/>
    </w:rPr>
  </w:style>
  <w:style w:type="paragraph" w:styleId="4">
    <w:name w:val="heading 3"/>
    <w:basedOn w:val="1"/>
    <w:next w:val="1"/>
    <w:link w:val="32"/>
    <w:qFormat/>
    <w:uiPriority w:val="0"/>
    <w:pPr>
      <w:spacing w:beforeAutospacing="1" w:afterAutospacing="1"/>
      <w:jc w:val="left"/>
      <w:outlineLvl w:val="2"/>
    </w:pPr>
    <w:rPr>
      <w:rFonts w:ascii="宋体" w:hAnsi="宋体" w:eastAsia="宋体"/>
      <w:b/>
      <w:sz w:val="27"/>
      <w:szCs w:val="27"/>
    </w:rPr>
  </w:style>
  <w:style w:type="paragraph" w:styleId="5">
    <w:name w:val="heading 4"/>
    <w:basedOn w:val="1"/>
    <w:next w:val="1"/>
    <w:link w:val="33"/>
    <w:qFormat/>
    <w:uiPriority w:val="0"/>
    <w:pPr>
      <w:spacing w:beforeAutospacing="1" w:afterAutospacing="1"/>
      <w:jc w:val="left"/>
      <w:outlineLvl w:val="3"/>
    </w:pPr>
    <w:rPr>
      <w:rFonts w:ascii="宋体" w:hAnsi="宋体" w:eastAsia="宋体"/>
      <w:b/>
      <w:sz w:val="24"/>
    </w:rPr>
  </w:style>
  <w:style w:type="paragraph" w:styleId="6">
    <w:name w:val="heading 5"/>
    <w:basedOn w:val="1"/>
    <w:next w:val="1"/>
    <w:link w:val="34"/>
    <w:qFormat/>
    <w:uiPriority w:val="0"/>
    <w:pPr>
      <w:spacing w:beforeAutospacing="1" w:afterAutospacing="1"/>
      <w:jc w:val="left"/>
      <w:outlineLvl w:val="4"/>
    </w:pPr>
    <w:rPr>
      <w:rFonts w:ascii="宋体" w:hAnsi="宋体" w:eastAsia="宋体"/>
      <w:b/>
      <w:sz w:val="20"/>
      <w:szCs w:val="20"/>
    </w:rPr>
  </w:style>
  <w:style w:type="paragraph" w:styleId="7">
    <w:name w:val="heading 6"/>
    <w:basedOn w:val="1"/>
    <w:next w:val="1"/>
    <w:link w:val="35"/>
    <w:qFormat/>
    <w:uiPriority w:val="0"/>
    <w:pPr>
      <w:spacing w:beforeAutospacing="1" w:afterAutospacing="1"/>
      <w:jc w:val="left"/>
      <w:outlineLvl w:val="5"/>
    </w:pPr>
    <w:rPr>
      <w:rFonts w:ascii="宋体" w:hAnsi="宋体" w:eastAsia="宋体"/>
      <w:b/>
      <w:sz w:val="15"/>
      <w:szCs w:val="15"/>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widowControl w:val="0"/>
      <w:spacing w:line="240" w:lineRule="auto"/>
      <w:ind w:firstLine="420"/>
    </w:pPr>
    <w:rPr>
      <w:rFonts w:hint="default" w:ascii="Calibri" w:hAnsi="Calibri" w:eastAsia="宋体" w:cs="Times New Roman"/>
      <w:kern w:val="2"/>
      <w:sz w:val="21"/>
    </w:rPr>
  </w:style>
  <w:style w:type="paragraph" w:styleId="9">
    <w:name w:val="annotation text"/>
    <w:basedOn w:val="1"/>
    <w:link w:val="48"/>
    <w:unhideWhenUsed/>
    <w:qFormat/>
    <w:uiPriority w:val="99"/>
    <w:pPr>
      <w:widowControl w:val="0"/>
      <w:ind w:firstLine="640"/>
      <w:jc w:val="left"/>
    </w:pPr>
    <w:rPr>
      <w:rFonts w:hint="default" w:cs="Times New Roman"/>
      <w:kern w:val="2"/>
      <w:szCs w:val="22"/>
    </w:rPr>
  </w:style>
  <w:style w:type="paragraph" w:styleId="10">
    <w:name w:val="Body Text"/>
    <w:basedOn w:val="1"/>
    <w:link w:val="137"/>
    <w:qFormat/>
    <w:uiPriority w:val="0"/>
    <w:pPr>
      <w:jc w:val="left"/>
    </w:pPr>
    <w:rPr>
      <w:rFonts w:ascii="方正仿宋_GBK" w:hAnsi="方正仿宋_GBK" w:cs="Times New Roman"/>
      <w:szCs w:val="32"/>
    </w:rPr>
  </w:style>
  <w:style w:type="paragraph" w:styleId="11">
    <w:name w:val="Plain Text"/>
    <w:basedOn w:val="1"/>
    <w:link w:val="143"/>
    <w:qFormat/>
    <w:uiPriority w:val="99"/>
    <w:pPr>
      <w:ind w:firstLine="880"/>
    </w:pPr>
    <w:rPr>
      <w:rFonts w:ascii="宋体" w:hAnsi="Courier New" w:cs="Times New Roman"/>
      <w:sz w:val="30"/>
    </w:rPr>
  </w:style>
  <w:style w:type="paragraph" w:styleId="12">
    <w:name w:val="footer"/>
    <w:basedOn w:val="1"/>
    <w:link w:val="36"/>
    <w:unhideWhenUsed/>
    <w:qFormat/>
    <w:uiPriority w:val="99"/>
    <w:pPr>
      <w:snapToGrid w:val="0"/>
      <w:jc w:val="left"/>
    </w:pPr>
    <w:rPr>
      <w:rFonts w:ascii="宋体" w:hAnsi="宋体" w:eastAsia="宋体"/>
      <w:sz w:val="18"/>
      <w:szCs w:val="18"/>
    </w:rPr>
  </w:style>
  <w:style w:type="paragraph" w:styleId="13">
    <w:name w:val="header"/>
    <w:basedOn w:val="1"/>
    <w:link w:val="37"/>
    <w:unhideWhenUsed/>
    <w:qFormat/>
    <w:uiPriority w:val="0"/>
    <w:pPr>
      <w:pBdr>
        <w:bottom w:val="single" w:color="auto" w:sz="6" w:space="1"/>
      </w:pBdr>
      <w:snapToGrid w:val="0"/>
      <w:jc w:val="center"/>
    </w:pPr>
    <w:rPr>
      <w:rFonts w:ascii="宋体" w:hAnsi="宋体" w:eastAsia="宋体"/>
      <w:sz w:val="18"/>
      <w:szCs w:val="18"/>
    </w:rPr>
  </w:style>
  <w:style w:type="paragraph" w:styleId="14">
    <w:name w:val="toc 1"/>
    <w:basedOn w:val="1"/>
    <w:next w:val="1"/>
    <w:qFormat/>
    <w:uiPriority w:val="0"/>
    <w:rPr>
      <w:rFonts w:cs="Times New Roman"/>
    </w:rPr>
  </w:style>
  <w:style w:type="paragraph" w:styleId="15">
    <w:name w:val="toc 2"/>
    <w:basedOn w:val="1"/>
    <w:next w:val="1"/>
    <w:qFormat/>
    <w:uiPriority w:val="0"/>
    <w:pPr>
      <w:ind w:left="420" w:leftChars="200"/>
    </w:pPr>
    <w:rPr>
      <w:rFonts w:cs="Times New Roman"/>
    </w:rPr>
  </w:style>
  <w:style w:type="paragraph" w:styleId="16">
    <w:name w:val="HTML Preformatted"/>
    <w:basedOn w:val="1"/>
    <w:link w:val="3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sz w:val="20"/>
      <w:szCs w:val="20"/>
    </w:rPr>
  </w:style>
  <w:style w:type="paragraph" w:styleId="17">
    <w:name w:val="Normal (Web)"/>
    <w:basedOn w:val="1"/>
    <w:link w:val="39"/>
    <w:unhideWhenUsed/>
    <w:qFormat/>
    <w:uiPriority w:val="99"/>
    <w:pPr>
      <w:spacing w:beforeAutospacing="1" w:afterAutospacing="1"/>
      <w:jc w:val="left"/>
    </w:pPr>
    <w:rPr>
      <w:rFonts w:ascii="宋体" w:hAnsi="宋体" w:eastAsia="宋体"/>
      <w:sz w:val="24"/>
    </w:rPr>
  </w:style>
  <w:style w:type="paragraph" w:styleId="18">
    <w:name w:val="Title"/>
    <w:basedOn w:val="1"/>
    <w:next w:val="1"/>
    <w:link w:val="171"/>
    <w:qFormat/>
    <w:uiPriority w:val="0"/>
    <w:pPr>
      <w:spacing w:before="240" w:after="60" w:line="240" w:lineRule="auto"/>
      <w:ind w:firstLine="0" w:firstLineChars="0"/>
      <w:jc w:val="center"/>
      <w:outlineLvl w:val="0"/>
    </w:pPr>
    <w:rPr>
      <w:rFonts w:hint="default" w:ascii="Cambria" w:hAnsi="Cambria" w:eastAsia="宋体" w:cs="Times New Roman"/>
      <w:b/>
      <w:szCs w:val="32"/>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qFormat/>
    <w:uiPriority w:val="99"/>
    <w:rPr>
      <w:color w:val="800080"/>
      <w:u w:val="none"/>
    </w:rPr>
  </w:style>
  <w:style w:type="character" w:styleId="25">
    <w:name w:val="HTML Definition"/>
    <w:qFormat/>
    <w:uiPriority w:val="0"/>
  </w:style>
  <w:style w:type="character" w:styleId="26">
    <w:name w:val="HTML Variable"/>
    <w:qFormat/>
    <w:uiPriority w:val="0"/>
  </w:style>
  <w:style w:type="character" w:styleId="27">
    <w:name w:val="Hyperlink"/>
    <w:qFormat/>
    <w:uiPriority w:val="99"/>
    <w:rPr>
      <w:color w:val="0000FF"/>
      <w:u w:val="none"/>
    </w:rPr>
  </w:style>
  <w:style w:type="character" w:styleId="28">
    <w:name w:val="HTML Code"/>
    <w:qFormat/>
    <w:uiPriority w:val="0"/>
    <w:rPr>
      <w:rFonts w:ascii="Courier New" w:hAnsi="Courier New"/>
      <w:sz w:val="20"/>
    </w:rPr>
  </w:style>
  <w:style w:type="character" w:styleId="29">
    <w:name w:val="HTML Cite"/>
    <w:qFormat/>
    <w:uiPriority w:val="0"/>
  </w:style>
  <w:style w:type="character" w:customStyle="1" w:styleId="30">
    <w:name w:val="标题 1 Char"/>
    <w:basedOn w:val="21"/>
    <w:link w:val="2"/>
    <w:qFormat/>
    <w:locked/>
    <w:uiPriority w:val="0"/>
    <w:rPr>
      <w:rFonts w:hint="eastAsia" w:ascii="宋体" w:hAnsi="宋体" w:eastAsia="宋体" w:cs="宋体"/>
      <w:b/>
      <w:kern w:val="44"/>
      <w:sz w:val="44"/>
      <w:szCs w:val="44"/>
    </w:rPr>
  </w:style>
  <w:style w:type="character" w:customStyle="1" w:styleId="31">
    <w:name w:val="标题 2 Char"/>
    <w:basedOn w:val="21"/>
    <w:link w:val="3"/>
    <w:qFormat/>
    <w:locked/>
    <w:uiPriority w:val="0"/>
    <w:rPr>
      <w:rFonts w:ascii="Cambria" w:hAnsi="Cambria" w:eastAsia="宋体" w:cs="Times New Roman"/>
      <w:b/>
      <w:sz w:val="32"/>
      <w:szCs w:val="32"/>
    </w:rPr>
  </w:style>
  <w:style w:type="character" w:customStyle="1" w:styleId="32">
    <w:name w:val="标题 3 Char"/>
    <w:basedOn w:val="21"/>
    <w:link w:val="4"/>
    <w:qFormat/>
    <w:locked/>
    <w:uiPriority w:val="0"/>
    <w:rPr>
      <w:rFonts w:hint="eastAsia" w:ascii="宋体" w:hAnsi="宋体" w:eastAsia="宋体" w:cs="宋体"/>
      <w:b/>
      <w:sz w:val="32"/>
      <w:szCs w:val="32"/>
    </w:rPr>
  </w:style>
  <w:style w:type="character" w:customStyle="1" w:styleId="33">
    <w:name w:val="标题 4 Char"/>
    <w:basedOn w:val="21"/>
    <w:link w:val="5"/>
    <w:qFormat/>
    <w:locked/>
    <w:uiPriority w:val="0"/>
    <w:rPr>
      <w:rFonts w:hint="default" w:ascii="Cambria" w:hAnsi="Cambria" w:eastAsia="宋体" w:cs="Times New Roman"/>
      <w:b/>
      <w:sz w:val="28"/>
      <w:szCs w:val="28"/>
    </w:rPr>
  </w:style>
  <w:style w:type="character" w:customStyle="1" w:styleId="34">
    <w:name w:val="标题 5 Char"/>
    <w:basedOn w:val="21"/>
    <w:link w:val="6"/>
    <w:qFormat/>
    <w:locked/>
    <w:uiPriority w:val="0"/>
    <w:rPr>
      <w:rFonts w:hint="eastAsia" w:ascii="宋体" w:hAnsi="宋体" w:eastAsia="宋体" w:cs="宋体"/>
      <w:b/>
      <w:sz w:val="28"/>
      <w:szCs w:val="28"/>
    </w:rPr>
  </w:style>
  <w:style w:type="character" w:customStyle="1" w:styleId="35">
    <w:name w:val="标题 6 Char"/>
    <w:basedOn w:val="21"/>
    <w:link w:val="7"/>
    <w:qFormat/>
    <w:locked/>
    <w:uiPriority w:val="0"/>
    <w:rPr>
      <w:rFonts w:hint="default" w:ascii="Cambria" w:hAnsi="Cambria" w:eastAsia="宋体" w:cs="Times New Roman"/>
      <w:b/>
      <w:sz w:val="24"/>
      <w:szCs w:val="24"/>
    </w:rPr>
  </w:style>
  <w:style w:type="character" w:customStyle="1" w:styleId="36">
    <w:name w:val="页脚 Char"/>
    <w:basedOn w:val="21"/>
    <w:link w:val="12"/>
    <w:qFormat/>
    <w:locked/>
    <w:uiPriority w:val="99"/>
    <w:rPr>
      <w:rFonts w:hint="eastAsia" w:ascii="宋体" w:hAnsi="宋体" w:eastAsia="宋体" w:cs="宋体"/>
      <w:sz w:val="18"/>
      <w:szCs w:val="18"/>
    </w:rPr>
  </w:style>
  <w:style w:type="character" w:customStyle="1" w:styleId="37">
    <w:name w:val="页眉 Char"/>
    <w:basedOn w:val="21"/>
    <w:link w:val="13"/>
    <w:qFormat/>
    <w:locked/>
    <w:uiPriority w:val="0"/>
    <w:rPr>
      <w:rFonts w:hint="eastAsia" w:ascii="宋体" w:hAnsi="宋体" w:eastAsia="宋体" w:cs="宋体"/>
      <w:sz w:val="18"/>
      <w:szCs w:val="18"/>
    </w:rPr>
  </w:style>
  <w:style w:type="character" w:customStyle="1" w:styleId="38">
    <w:name w:val="HTML 预设格式 Char"/>
    <w:basedOn w:val="21"/>
    <w:link w:val="16"/>
    <w:qFormat/>
    <w:locked/>
    <w:uiPriority w:val="0"/>
    <w:rPr>
      <w:rFonts w:hint="default" w:ascii="Courier New" w:hAnsi="Courier New" w:eastAsia="宋体" w:cs="Courier New"/>
    </w:rPr>
  </w:style>
  <w:style w:type="character" w:customStyle="1" w:styleId="39">
    <w:name w:val="普通(网站) Char1"/>
    <w:link w:val="17"/>
    <w:qFormat/>
    <w:uiPriority w:val="0"/>
    <w:rPr>
      <w:rFonts w:ascii="宋体" w:hAnsi="宋体" w:cs="宋体"/>
      <w:sz w:val="24"/>
      <w:szCs w:val="24"/>
    </w:rPr>
  </w:style>
  <w:style w:type="character" w:customStyle="1" w:styleId="40">
    <w:name w:val="15"/>
    <w:basedOn w:val="21"/>
    <w:qFormat/>
    <w:uiPriority w:val="0"/>
    <w:rPr>
      <w:rFonts w:hint="default" w:ascii="Times New Roman" w:hAnsi="Times New Roman" w:cs="Times New Roman"/>
      <w:b/>
    </w:rPr>
  </w:style>
  <w:style w:type="character" w:customStyle="1" w:styleId="41">
    <w:name w:val="10"/>
    <w:basedOn w:val="21"/>
    <w:qFormat/>
    <w:uiPriority w:val="0"/>
    <w:rPr>
      <w:rFonts w:hint="default" w:ascii="Times New Roman" w:hAnsi="Times New Roman" w:cs="Times New Roman"/>
    </w:rPr>
  </w:style>
  <w:style w:type="character" w:customStyle="1" w:styleId="42">
    <w:name w:val="16"/>
    <w:basedOn w:val="21"/>
    <w:qFormat/>
    <w:uiPriority w:val="0"/>
    <w:rPr>
      <w:rFonts w:hint="eastAsia" w:ascii="宋体" w:hAnsi="宋体" w:eastAsia="宋体" w:cs="宋体"/>
      <w:sz w:val="18"/>
      <w:szCs w:val="18"/>
    </w:rPr>
  </w:style>
  <w:style w:type="character" w:customStyle="1" w:styleId="43">
    <w:name w:val="17"/>
    <w:basedOn w:val="21"/>
    <w:qFormat/>
    <w:uiPriority w:val="0"/>
    <w:rPr>
      <w:rFonts w:hint="eastAsia" w:ascii="宋体" w:hAnsi="宋体" w:eastAsia="宋体" w:cs="宋体"/>
      <w:sz w:val="18"/>
      <w:szCs w:val="18"/>
    </w:rPr>
  </w:style>
  <w:style w:type="paragraph" w:customStyle="1" w:styleId="44">
    <w:name w:val="p36"/>
    <w:basedOn w:val="1"/>
    <w:qFormat/>
    <w:uiPriority w:val="0"/>
    <w:pPr>
      <w:spacing w:before="100" w:after="100"/>
      <w:jc w:val="left"/>
    </w:pPr>
    <w:rPr>
      <w:rFonts w:ascii="宋体" w:hAnsi="宋体" w:eastAsia="宋体"/>
      <w:sz w:val="24"/>
    </w:rPr>
  </w:style>
  <w:style w:type="paragraph" w:customStyle="1" w:styleId="45">
    <w:name w:val="p33"/>
    <w:basedOn w:val="1"/>
    <w:qFormat/>
    <w:uiPriority w:val="0"/>
    <w:pPr>
      <w:spacing w:before="100" w:after="100"/>
      <w:jc w:val="left"/>
    </w:pPr>
    <w:rPr>
      <w:rFonts w:ascii="宋体" w:hAnsi="宋体" w:eastAsia="宋体"/>
      <w:sz w:val="24"/>
    </w:rPr>
  </w:style>
  <w:style w:type="paragraph" w:customStyle="1" w:styleId="46">
    <w:name w:val="p39"/>
    <w:basedOn w:val="1"/>
    <w:qFormat/>
    <w:uiPriority w:val="0"/>
    <w:pPr>
      <w:jc w:val="left"/>
    </w:pPr>
    <w:rPr>
      <w:rFonts w:ascii="宋体" w:hAnsi="宋体" w:eastAsia="宋体"/>
      <w:sz w:val="24"/>
    </w:rPr>
  </w:style>
  <w:style w:type="character" w:customStyle="1" w:styleId="47">
    <w:name w:val="19"/>
    <w:basedOn w:val="21"/>
    <w:qFormat/>
    <w:uiPriority w:val="0"/>
    <w:rPr>
      <w:rFonts w:hint="default" w:ascii="Times New Roman" w:hAnsi="Times New Roman" w:cs="Times New Roman"/>
      <w:b/>
    </w:rPr>
  </w:style>
  <w:style w:type="character" w:customStyle="1" w:styleId="48">
    <w:name w:val="批注文字 Char"/>
    <w:basedOn w:val="21"/>
    <w:link w:val="9"/>
    <w:qFormat/>
    <w:uiPriority w:val="99"/>
    <w:rPr>
      <w:rFonts w:eastAsia="方正仿宋_GBK"/>
      <w:kern w:val="2"/>
      <w:sz w:val="32"/>
      <w:szCs w:val="22"/>
    </w:rPr>
  </w:style>
  <w:style w:type="paragraph" w:customStyle="1" w:styleId="49">
    <w:name w:val="普通(网站) Char"/>
    <w:basedOn w:val="1"/>
    <w:qFormat/>
    <w:uiPriority w:val="0"/>
    <w:pPr>
      <w:spacing w:before="100" w:beforeAutospacing="1" w:after="100" w:afterAutospacing="1"/>
      <w:ind w:firstLine="640"/>
      <w:jc w:val="left"/>
    </w:pPr>
    <w:rPr>
      <w:rFonts w:ascii="宋体" w:hAnsi="宋体" w:eastAsia="宋体" w:cs="Times New Roman"/>
      <w:sz w:val="24"/>
    </w:rPr>
  </w:style>
  <w:style w:type="character" w:customStyle="1" w:styleId="50">
    <w:name w:val="24"/>
    <w:basedOn w:val="21"/>
    <w:qFormat/>
    <w:uiPriority w:val="0"/>
    <w:rPr>
      <w:rFonts w:hint="default" w:ascii="Times New Roman" w:hAnsi="Times New Roman" w:cs="Times New Roman"/>
      <w:b/>
      <w:bCs/>
    </w:rPr>
  </w:style>
  <w:style w:type="character" w:customStyle="1" w:styleId="51">
    <w:name w:val="20"/>
    <w:basedOn w:val="21"/>
    <w:qFormat/>
    <w:uiPriority w:val="0"/>
    <w:rPr>
      <w:rFonts w:hint="default" w:ascii="Times New Roman" w:hAnsi="Times New Roman" w:cs="Times New Roman"/>
      <w:b/>
    </w:rPr>
  </w:style>
  <w:style w:type="character" w:customStyle="1" w:styleId="52">
    <w:name w:val="23"/>
    <w:basedOn w:val="21"/>
    <w:qFormat/>
    <w:uiPriority w:val="0"/>
    <w:rPr>
      <w:rFonts w:hint="default" w:ascii="Times New Roman" w:hAnsi="Times New Roman" w:cs="Times New Roman"/>
      <w:b/>
    </w:rPr>
  </w:style>
  <w:style w:type="paragraph" w:customStyle="1" w:styleId="53">
    <w:name w:val="p47"/>
    <w:basedOn w:val="1"/>
    <w:qFormat/>
    <w:uiPriority w:val="0"/>
    <w:pPr>
      <w:spacing w:line="240" w:lineRule="auto"/>
      <w:ind w:firstLine="0" w:firstLineChars="0"/>
      <w:jc w:val="left"/>
    </w:pPr>
    <w:rPr>
      <w:rFonts w:hint="default" w:ascii="宋体" w:hAnsi="宋体" w:eastAsia="宋体"/>
      <w:sz w:val="24"/>
    </w:rPr>
  </w:style>
  <w:style w:type="paragraph" w:customStyle="1" w:styleId="54">
    <w:name w:val="p34"/>
    <w:basedOn w:val="1"/>
    <w:qFormat/>
    <w:uiPriority w:val="0"/>
    <w:pPr>
      <w:spacing w:before="100" w:after="100" w:line="240" w:lineRule="auto"/>
      <w:ind w:firstLine="0" w:firstLineChars="0"/>
      <w:jc w:val="left"/>
    </w:pPr>
    <w:rPr>
      <w:rFonts w:hint="default" w:ascii="宋体" w:hAnsi="宋体" w:eastAsia="宋体"/>
      <w:sz w:val="24"/>
    </w:rPr>
  </w:style>
  <w:style w:type="paragraph" w:customStyle="1" w:styleId="55">
    <w:name w:val="p40"/>
    <w:basedOn w:val="1"/>
    <w:qFormat/>
    <w:uiPriority w:val="0"/>
    <w:pPr>
      <w:spacing w:line="240" w:lineRule="auto"/>
      <w:ind w:firstLine="0" w:firstLineChars="0"/>
      <w:jc w:val="left"/>
    </w:pPr>
    <w:rPr>
      <w:rFonts w:hint="default" w:ascii="宋体" w:hAnsi="宋体" w:eastAsia="宋体"/>
      <w:sz w:val="24"/>
    </w:rPr>
  </w:style>
  <w:style w:type="paragraph" w:customStyle="1" w:styleId="56">
    <w:name w:val="p37"/>
    <w:basedOn w:val="1"/>
    <w:qFormat/>
    <w:uiPriority w:val="0"/>
    <w:pPr>
      <w:spacing w:before="100" w:after="100" w:line="240" w:lineRule="auto"/>
      <w:ind w:firstLine="0" w:firstLineChars="0"/>
      <w:jc w:val="left"/>
    </w:pPr>
    <w:rPr>
      <w:rFonts w:hint="default" w:ascii="宋体" w:hAnsi="宋体" w:eastAsia="宋体"/>
      <w:sz w:val="24"/>
    </w:rPr>
  </w:style>
  <w:style w:type="paragraph" w:customStyle="1" w:styleId="57">
    <w:name w:val="p46"/>
    <w:basedOn w:val="1"/>
    <w:qFormat/>
    <w:uiPriority w:val="0"/>
    <w:pPr>
      <w:spacing w:line="240" w:lineRule="auto"/>
      <w:ind w:firstLine="420" w:firstLineChars="0"/>
      <w:jc w:val="left"/>
    </w:pPr>
    <w:rPr>
      <w:rFonts w:hint="default" w:ascii="宋体" w:hAnsi="宋体" w:eastAsia="宋体"/>
      <w:sz w:val="24"/>
    </w:rPr>
  </w:style>
  <w:style w:type="paragraph" w:customStyle="1" w:styleId="58">
    <w:name w:val="p35"/>
    <w:basedOn w:val="1"/>
    <w:qFormat/>
    <w:uiPriority w:val="0"/>
    <w:pPr>
      <w:spacing w:line="240" w:lineRule="auto"/>
      <w:ind w:firstLine="0" w:firstLineChars="0"/>
      <w:jc w:val="left"/>
    </w:pPr>
    <w:rPr>
      <w:rFonts w:hint="default" w:ascii="宋体" w:hAnsi="宋体" w:eastAsia="宋体"/>
      <w:sz w:val="24"/>
    </w:rPr>
  </w:style>
  <w:style w:type="paragraph" w:customStyle="1" w:styleId="59">
    <w:name w:val="p44"/>
    <w:basedOn w:val="1"/>
    <w:qFormat/>
    <w:uiPriority w:val="0"/>
    <w:pPr>
      <w:spacing w:line="240" w:lineRule="auto"/>
      <w:ind w:firstLine="0" w:firstLineChars="0"/>
      <w:jc w:val="left"/>
    </w:pPr>
    <w:rPr>
      <w:rFonts w:hint="default" w:ascii="宋体" w:hAnsi="宋体" w:eastAsia="宋体"/>
      <w:sz w:val="24"/>
    </w:rPr>
  </w:style>
  <w:style w:type="paragraph" w:customStyle="1" w:styleId="60">
    <w:name w:val="HTML 预设格式 Char1"/>
    <w:basedOn w:val="1"/>
    <w:qFormat/>
    <w:uiPriority w:val="0"/>
    <w:pPr>
      <w:spacing w:line="240" w:lineRule="auto"/>
      <w:ind w:firstLine="0" w:firstLineChars="0"/>
      <w:jc w:val="left"/>
    </w:pPr>
    <w:rPr>
      <w:rFonts w:hint="default" w:ascii="宋体" w:hAnsi="宋体" w:eastAsia="宋体"/>
      <w:sz w:val="24"/>
    </w:rPr>
  </w:style>
  <w:style w:type="paragraph" w:customStyle="1" w:styleId="61">
    <w:name w:val="p42"/>
    <w:basedOn w:val="1"/>
    <w:qFormat/>
    <w:uiPriority w:val="0"/>
    <w:pPr>
      <w:spacing w:before="100" w:after="100" w:line="240" w:lineRule="auto"/>
      <w:ind w:firstLine="0" w:firstLineChars="0"/>
      <w:jc w:val="left"/>
    </w:pPr>
    <w:rPr>
      <w:rFonts w:hint="default" w:ascii="宋体" w:hAnsi="宋体" w:eastAsia="宋体"/>
      <w:sz w:val="24"/>
    </w:rPr>
  </w:style>
  <w:style w:type="paragraph" w:customStyle="1" w:styleId="62">
    <w:name w:val="p0"/>
    <w:basedOn w:val="1"/>
    <w:qFormat/>
    <w:uiPriority w:val="0"/>
    <w:pPr>
      <w:spacing w:line="240" w:lineRule="auto"/>
      <w:ind w:firstLine="0" w:firstLineChars="0"/>
      <w:jc w:val="left"/>
    </w:pPr>
    <w:rPr>
      <w:rFonts w:hint="default" w:ascii="宋体" w:hAnsi="宋体" w:eastAsia="宋体"/>
      <w:sz w:val="24"/>
    </w:rPr>
  </w:style>
  <w:style w:type="paragraph" w:customStyle="1" w:styleId="63">
    <w:name w:val="p38"/>
    <w:basedOn w:val="1"/>
    <w:qFormat/>
    <w:uiPriority w:val="0"/>
    <w:pPr>
      <w:spacing w:line="240" w:lineRule="auto"/>
      <w:ind w:firstLine="0" w:firstLineChars="0"/>
      <w:jc w:val="left"/>
    </w:pPr>
    <w:rPr>
      <w:rFonts w:hint="default" w:ascii="宋体" w:hAnsi="宋体" w:eastAsia="宋体"/>
      <w:sz w:val="24"/>
    </w:rPr>
  </w:style>
  <w:style w:type="character" w:customStyle="1" w:styleId="64">
    <w:name w:val="18"/>
    <w:basedOn w:val="21"/>
    <w:qFormat/>
    <w:uiPriority w:val="0"/>
    <w:rPr>
      <w:rFonts w:hint="default" w:ascii="Times New Roman" w:hAnsi="Times New Roman" w:cs="Times New Roman"/>
    </w:rPr>
  </w:style>
  <w:style w:type="character" w:customStyle="1" w:styleId="65">
    <w:name w:val="21"/>
    <w:basedOn w:val="21"/>
    <w:qFormat/>
    <w:uiPriority w:val="0"/>
    <w:rPr>
      <w:rFonts w:hint="default" w:ascii="Times New Roman" w:hAnsi="Times New Roman" w:cs="Times New Roman"/>
      <w:b/>
      <w:bCs/>
    </w:rPr>
  </w:style>
  <w:style w:type="character" w:customStyle="1" w:styleId="66">
    <w:name w:val="22"/>
    <w:basedOn w:val="21"/>
    <w:qFormat/>
    <w:uiPriority w:val="0"/>
    <w:rPr>
      <w:rFonts w:hint="default" w:ascii="Times New Roman" w:hAnsi="Times New Roman" w:cs="Times New Roman"/>
    </w:rPr>
  </w:style>
  <w:style w:type="character" w:customStyle="1" w:styleId="67">
    <w:name w:val="25"/>
    <w:basedOn w:val="21"/>
    <w:qFormat/>
    <w:uiPriority w:val="0"/>
    <w:rPr>
      <w:rFonts w:hint="default" w:ascii="Times New Roman" w:hAnsi="Times New Roman" w:cs="Times New Roman"/>
    </w:rPr>
  </w:style>
  <w:style w:type="character" w:customStyle="1" w:styleId="68">
    <w:name w:val="26"/>
    <w:basedOn w:val="21"/>
    <w:qFormat/>
    <w:uiPriority w:val="0"/>
    <w:rPr>
      <w:rFonts w:hint="default" w:ascii="Times New Roman" w:hAnsi="Times New Roman" w:cs="Times New Roman"/>
    </w:rPr>
  </w:style>
  <w:style w:type="character" w:customStyle="1" w:styleId="69">
    <w:name w:val="27"/>
    <w:basedOn w:val="21"/>
    <w:qFormat/>
    <w:uiPriority w:val="0"/>
    <w:rPr>
      <w:rFonts w:hint="default" w:ascii="Times New Roman" w:hAnsi="Times New Roman" w:cs="Times New Roman"/>
    </w:rPr>
  </w:style>
  <w:style w:type="character" w:customStyle="1" w:styleId="70">
    <w:name w:val="28"/>
    <w:basedOn w:val="21"/>
    <w:qFormat/>
    <w:uiPriority w:val="0"/>
    <w:rPr>
      <w:rFonts w:hint="default" w:ascii="Times New Roman" w:hAnsi="Times New Roman" w:cs="Times New Roman"/>
    </w:rPr>
  </w:style>
  <w:style w:type="character" w:customStyle="1" w:styleId="71">
    <w:name w:val="29"/>
    <w:basedOn w:val="21"/>
    <w:qFormat/>
    <w:uiPriority w:val="0"/>
    <w:rPr>
      <w:rFonts w:hint="default" w:ascii="Times New Roman" w:hAnsi="Times New Roman" w:cs="Times New Roman"/>
    </w:rPr>
  </w:style>
  <w:style w:type="character" w:customStyle="1" w:styleId="72">
    <w:name w:val="30"/>
    <w:basedOn w:val="21"/>
    <w:qFormat/>
    <w:uiPriority w:val="0"/>
    <w:rPr>
      <w:rFonts w:hint="default" w:ascii="Times New Roman" w:hAnsi="Times New Roman" w:cs="Times New Roman"/>
    </w:rPr>
  </w:style>
  <w:style w:type="character" w:customStyle="1" w:styleId="73">
    <w:name w:val="31"/>
    <w:basedOn w:val="21"/>
    <w:qFormat/>
    <w:uiPriority w:val="0"/>
    <w:rPr>
      <w:rFonts w:hint="default" w:ascii="Times New Roman" w:hAnsi="Times New Roman" w:cs="Times New Roman"/>
    </w:rPr>
  </w:style>
  <w:style w:type="character" w:customStyle="1" w:styleId="74">
    <w:name w:val="32"/>
    <w:basedOn w:val="21"/>
    <w:qFormat/>
    <w:uiPriority w:val="0"/>
    <w:rPr>
      <w:rFonts w:hint="default" w:ascii="Times New Roman" w:hAnsi="Times New Roman" w:cs="Times New Roman"/>
    </w:rPr>
  </w:style>
  <w:style w:type="character" w:customStyle="1" w:styleId="75">
    <w:name w:val="33"/>
    <w:basedOn w:val="21"/>
    <w:qFormat/>
    <w:uiPriority w:val="0"/>
    <w:rPr>
      <w:rFonts w:hint="default" w:ascii="Times New Roman" w:hAnsi="Times New Roman" w:cs="Times New Roman"/>
    </w:rPr>
  </w:style>
  <w:style w:type="character" w:customStyle="1" w:styleId="76">
    <w:name w:val="34"/>
    <w:basedOn w:val="21"/>
    <w:qFormat/>
    <w:uiPriority w:val="0"/>
    <w:rPr>
      <w:rFonts w:hint="default" w:ascii="Times New Roman" w:hAnsi="Times New Roman" w:cs="Times New Roman"/>
    </w:rPr>
  </w:style>
  <w:style w:type="character" w:customStyle="1" w:styleId="77">
    <w:name w:val="font21"/>
    <w:basedOn w:val="21"/>
    <w:qFormat/>
    <w:uiPriority w:val="0"/>
    <w:rPr>
      <w:rFonts w:hint="eastAsia" w:ascii="仿宋" w:hAnsi="仿宋" w:eastAsia="仿宋" w:cs="仿宋"/>
      <w:color w:val="000000"/>
      <w:sz w:val="22"/>
      <w:szCs w:val="22"/>
      <w:u w:val="none"/>
    </w:rPr>
  </w:style>
  <w:style w:type="character" w:customStyle="1" w:styleId="78">
    <w:name w:val="font01"/>
    <w:basedOn w:val="21"/>
    <w:qFormat/>
    <w:uiPriority w:val="0"/>
    <w:rPr>
      <w:rFonts w:hint="eastAsia" w:ascii="仿宋" w:hAnsi="仿宋" w:eastAsia="仿宋" w:cs="仿宋"/>
      <w:b/>
      <w:color w:val="000000"/>
      <w:sz w:val="22"/>
      <w:szCs w:val="22"/>
      <w:u w:val="none"/>
    </w:rPr>
  </w:style>
  <w:style w:type="paragraph" w:customStyle="1" w:styleId="79">
    <w:name w:val="p32"/>
    <w:basedOn w:val="1"/>
    <w:qFormat/>
    <w:uiPriority w:val="0"/>
    <w:pPr>
      <w:ind w:firstLine="880"/>
      <w:jc w:val="left"/>
    </w:pPr>
    <w:rPr>
      <w:rFonts w:ascii="宋体" w:hAnsi="宋体" w:eastAsia="宋体"/>
      <w:sz w:val="24"/>
    </w:rPr>
  </w:style>
  <w:style w:type="paragraph" w:customStyle="1" w:styleId="80">
    <w:name w:val="p30"/>
    <w:basedOn w:val="1"/>
    <w:qFormat/>
    <w:uiPriority w:val="0"/>
    <w:pPr>
      <w:ind w:firstLine="880"/>
      <w:jc w:val="left"/>
    </w:pPr>
    <w:rPr>
      <w:rFonts w:ascii="宋体" w:hAnsi="宋体" w:eastAsia="宋体"/>
      <w:sz w:val="24"/>
    </w:rPr>
  </w:style>
  <w:style w:type="paragraph" w:customStyle="1" w:styleId="81">
    <w:name w:val="p27"/>
    <w:basedOn w:val="1"/>
    <w:qFormat/>
    <w:uiPriority w:val="0"/>
    <w:pPr>
      <w:ind w:firstLine="880"/>
      <w:jc w:val="left"/>
    </w:pPr>
    <w:rPr>
      <w:rFonts w:ascii="宋体" w:hAnsi="宋体" w:eastAsia="宋体"/>
      <w:sz w:val="24"/>
    </w:rPr>
  </w:style>
  <w:style w:type="paragraph" w:customStyle="1" w:styleId="82">
    <w:name w:val="p29"/>
    <w:basedOn w:val="1"/>
    <w:qFormat/>
    <w:uiPriority w:val="0"/>
    <w:pPr>
      <w:spacing w:before="100" w:after="100"/>
      <w:ind w:firstLine="880"/>
      <w:jc w:val="left"/>
    </w:pPr>
    <w:rPr>
      <w:rFonts w:ascii="宋体" w:hAnsi="宋体" w:eastAsia="宋体"/>
      <w:sz w:val="24"/>
    </w:rPr>
  </w:style>
  <w:style w:type="paragraph" w:customStyle="1" w:styleId="83">
    <w:name w:val="p31"/>
    <w:basedOn w:val="1"/>
    <w:qFormat/>
    <w:uiPriority w:val="0"/>
    <w:pPr>
      <w:ind w:firstLine="880"/>
      <w:jc w:val="left"/>
    </w:pPr>
    <w:rPr>
      <w:rFonts w:ascii="宋体" w:hAnsi="宋体" w:eastAsia="宋体"/>
      <w:sz w:val="18"/>
      <w:szCs w:val="18"/>
    </w:rPr>
  </w:style>
  <w:style w:type="paragraph" w:customStyle="1" w:styleId="84">
    <w:name w:val="p28"/>
    <w:basedOn w:val="1"/>
    <w:qFormat/>
    <w:uiPriority w:val="0"/>
    <w:pPr>
      <w:spacing w:before="100" w:after="100"/>
      <w:ind w:firstLine="880"/>
      <w:jc w:val="left"/>
    </w:pPr>
    <w:rPr>
      <w:rFonts w:ascii="宋体" w:hAnsi="宋体" w:eastAsia="宋体"/>
      <w:sz w:val="24"/>
    </w:rPr>
  </w:style>
  <w:style w:type="paragraph" w:customStyle="1" w:styleId="85">
    <w:name w:val="p26"/>
    <w:basedOn w:val="1"/>
    <w:qFormat/>
    <w:uiPriority w:val="0"/>
    <w:pPr>
      <w:jc w:val="left"/>
    </w:pPr>
    <w:rPr>
      <w:rFonts w:hint="default" w:ascii="宋体" w:hAnsi="宋体" w:eastAsia="宋体"/>
      <w:sz w:val="24"/>
    </w:rPr>
  </w:style>
  <w:style w:type="paragraph" w:customStyle="1" w:styleId="86">
    <w:name w:val="HTML 预设格式 Char Char"/>
    <w:basedOn w:val="1"/>
    <w:qFormat/>
    <w:uiPriority w:val="0"/>
    <w:pPr>
      <w:spacing w:line="240" w:lineRule="auto"/>
      <w:ind w:firstLine="0" w:firstLineChars="0"/>
      <w:jc w:val="left"/>
    </w:pPr>
    <w:rPr>
      <w:rFonts w:hint="default" w:ascii="宋体" w:hAnsi="宋体" w:eastAsia="宋体"/>
      <w:sz w:val="24"/>
    </w:rPr>
  </w:style>
  <w:style w:type="paragraph" w:customStyle="1" w:styleId="87">
    <w:name w:val="p25"/>
    <w:basedOn w:val="1"/>
    <w:qFormat/>
    <w:uiPriority w:val="0"/>
    <w:pPr>
      <w:jc w:val="left"/>
    </w:pPr>
    <w:rPr>
      <w:rFonts w:hint="default" w:ascii="宋体" w:hAnsi="宋体" w:eastAsia="宋体"/>
      <w:sz w:val="24"/>
    </w:rPr>
  </w:style>
  <w:style w:type="paragraph" w:customStyle="1" w:styleId="88">
    <w:name w:val="普通(网站) Char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89">
    <w:name w:val="msonormal1"/>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90">
    <w:name w:val="普通(网站)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91">
    <w:name w:val="p Char"/>
    <w:basedOn w:val="1"/>
    <w:qFormat/>
    <w:uiPriority w:val="0"/>
    <w:pPr>
      <w:spacing w:before="100" w:beforeAutospacing="1" w:after="100" w:afterAutospacing="1"/>
      <w:ind w:firstLine="880"/>
      <w:jc w:val="left"/>
    </w:pPr>
    <w:rPr>
      <w:rFonts w:hint="default" w:ascii="宋体" w:hAnsi="宋体" w:eastAsia="宋体"/>
      <w:sz w:val="24"/>
    </w:rPr>
  </w:style>
  <w:style w:type="character" w:customStyle="1" w:styleId="92">
    <w:name w:val="35"/>
    <w:basedOn w:val="21"/>
    <w:qFormat/>
    <w:uiPriority w:val="0"/>
    <w:rPr>
      <w:rFonts w:hint="default" w:ascii="Times New Roman" w:hAnsi="Times New Roman" w:cs="Times New Roman"/>
    </w:rPr>
  </w:style>
  <w:style w:type="character" w:customStyle="1" w:styleId="93">
    <w:name w:val="36"/>
    <w:basedOn w:val="21"/>
    <w:qFormat/>
    <w:uiPriority w:val="0"/>
    <w:rPr>
      <w:rFonts w:hint="default" w:ascii="Times New Roman" w:hAnsi="Times New Roman" w:cs="Times New Roman"/>
    </w:rPr>
  </w:style>
  <w:style w:type="character" w:customStyle="1" w:styleId="94">
    <w:name w:val="37"/>
    <w:basedOn w:val="21"/>
    <w:qFormat/>
    <w:uiPriority w:val="0"/>
    <w:rPr>
      <w:rFonts w:hint="eastAsia" w:ascii="仿宋" w:hAnsi="仿宋" w:eastAsia="仿宋"/>
      <w:color w:val="000000"/>
      <w:sz w:val="22"/>
      <w:szCs w:val="22"/>
    </w:rPr>
  </w:style>
  <w:style w:type="character" w:customStyle="1" w:styleId="95">
    <w:name w:val="38"/>
    <w:basedOn w:val="21"/>
    <w:qFormat/>
    <w:uiPriority w:val="0"/>
    <w:rPr>
      <w:rFonts w:hint="default" w:ascii="Times New Roman" w:hAnsi="Times New Roman" w:cs="Times New Roman"/>
      <w:b/>
      <w:bCs/>
    </w:rPr>
  </w:style>
  <w:style w:type="paragraph" w:customStyle="1" w:styleId="96">
    <w:name w:val="p18"/>
    <w:basedOn w:val="1"/>
    <w:qFormat/>
    <w:uiPriority w:val="0"/>
    <w:pPr>
      <w:spacing w:before="100" w:after="100" w:line="240" w:lineRule="auto"/>
      <w:ind w:firstLine="0" w:firstLineChars="0"/>
      <w:jc w:val="left"/>
    </w:pPr>
    <w:rPr>
      <w:rFonts w:ascii="宋体" w:hAnsi="宋体" w:eastAsia="宋体"/>
      <w:sz w:val="24"/>
    </w:rPr>
  </w:style>
  <w:style w:type="paragraph" w:customStyle="1" w:styleId="97">
    <w:name w:val="p17"/>
    <w:basedOn w:val="1"/>
    <w:link w:val="173"/>
    <w:qFormat/>
    <w:uiPriority w:val="0"/>
    <w:pPr>
      <w:spacing w:before="100" w:after="100" w:line="240" w:lineRule="auto"/>
      <w:ind w:firstLine="0" w:firstLineChars="0"/>
      <w:jc w:val="left"/>
    </w:pPr>
    <w:rPr>
      <w:rFonts w:ascii="宋体" w:hAnsi="宋体" w:eastAsia="宋体"/>
      <w:sz w:val="24"/>
    </w:rPr>
  </w:style>
  <w:style w:type="paragraph" w:customStyle="1" w:styleId="98">
    <w:name w:val="p23"/>
    <w:basedOn w:val="1"/>
    <w:qFormat/>
    <w:uiPriority w:val="0"/>
    <w:pPr>
      <w:spacing w:line="240" w:lineRule="auto"/>
      <w:ind w:firstLine="0" w:firstLineChars="0"/>
      <w:jc w:val="left"/>
    </w:pPr>
    <w:rPr>
      <w:rFonts w:ascii="宋体" w:hAnsi="宋体" w:eastAsia="宋体"/>
      <w:sz w:val="24"/>
    </w:rPr>
  </w:style>
  <w:style w:type="paragraph" w:customStyle="1" w:styleId="99">
    <w:name w:val="p24"/>
    <w:basedOn w:val="1"/>
    <w:qFormat/>
    <w:uiPriority w:val="0"/>
    <w:pPr>
      <w:spacing w:line="240" w:lineRule="auto"/>
      <w:ind w:firstLine="0" w:firstLineChars="0"/>
      <w:jc w:val="left"/>
    </w:pPr>
    <w:rPr>
      <w:rFonts w:ascii="宋体" w:hAnsi="宋体" w:eastAsia="宋体"/>
      <w:sz w:val="24"/>
    </w:rPr>
  </w:style>
  <w:style w:type="paragraph" w:customStyle="1" w:styleId="100">
    <w:name w:val="p19"/>
    <w:basedOn w:val="1"/>
    <w:qFormat/>
    <w:uiPriority w:val="0"/>
    <w:pPr>
      <w:spacing w:line="240" w:lineRule="auto"/>
      <w:ind w:firstLine="0" w:firstLineChars="0"/>
      <w:jc w:val="left"/>
    </w:pPr>
    <w:rPr>
      <w:rFonts w:ascii="宋体" w:hAnsi="宋体" w:eastAsia="宋体"/>
      <w:sz w:val="24"/>
    </w:rPr>
  </w:style>
  <w:style w:type="paragraph" w:customStyle="1" w:styleId="101">
    <w:name w:val="pre Char"/>
    <w:basedOn w:val="1"/>
    <w:qFormat/>
    <w:uiPriority w:val="0"/>
    <w:pPr>
      <w:spacing w:line="240" w:lineRule="auto"/>
      <w:ind w:firstLine="0" w:firstLineChars="0"/>
      <w:jc w:val="left"/>
    </w:pPr>
    <w:rPr>
      <w:rFonts w:ascii="宋体" w:hAnsi="宋体" w:eastAsia="宋体"/>
      <w:sz w:val="24"/>
    </w:rPr>
  </w:style>
  <w:style w:type="paragraph" w:customStyle="1" w:styleId="102">
    <w:name w:val="列出段落1"/>
    <w:basedOn w:val="1"/>
    <w:qFormat/>
    <w:uiPriority w:val="0"/>
    <w:pPr>
      <w:spacing w:line="240" w:lineRule="auto"/>
      <w:ind w:firstLine="420"/>
      <w:jc w:val="left"/>
    </w:pPr>
    <w:rPr>
      <w:rFonts w:ascii="宋体" w:hAnsi="宋体" w:eastAsia="宋体" w:cs="Times New Roman"/>
      <w:sz w:val="24"/>
    </w:rPr>
  </w:style>
  <w:style w:type="paragraph" w:styleId="103">
    <w:name w:val="List Paragraph"/>
    <w:basedOn w:val="1"/>
    <w:link w:val="211"/>
    <w:qFormat/>
    <w:uiPriority w:val="34"/>
    <w:pPr>
      <w:widowControl w:val="0"/>
      <w:spacing w:line="240" w:lineRule="auto"/>
      <w:ind w:firstLine="420"/>
    </w:pPr>
    <w:rPr>
      <w:rFonts w:hint="default" w:eastAsia="宋体" w:cs="Times New Roman"/>
      <w:kern w:val="2"/>
      <w:sz w:val="21"/>
      <w:szCs w:val="22"/>
    </w:rPr>
  </w:style>
  <w:style w:type="paragraph" w:customStyle="1" w:styleId="104">
    <w:name w:val="_Style 3"/>
    <w:basedOn w:val="1"/>
    <w:qFormat/>
    <w:uiPriority w:val="0"/>
    <w:pPr>
      <w:spacing w:line="240" w:lineRule="auto"/>
      <w:ind w:firstLine="200"/>
      <w:jc w:val="left"/>
    </w:pPr>
    <w:rPr>
      <w:rFonts w:ascii="宋体" w:hAnsi="宋体" w:eastAsia="宋体" w:cs="Times New Roman"/>
      <w:sz w:val="24"/>
    </w:rPr>
  </w:style>
  <w:style w:type="paragraph" w:customStyle="1" w:styleId="105">
    <w:name w:val="_Style 4"/>
    <w:basedOn w:val="1"/>
    <w:qFormat/>
    <w:uiPriority w:val="34"/>
    <w:pPr>
      <w:spacing w:line="240" w:lineRule="auto"/>
      <w:ind w:firstLine="420"/>
      <w:jc w:val="left"/>
    </w:pPr>
    <w:rPr>
      <w:rFonts w:hint="default" w:cs="Times New Roman" w:asciiTheme="minorEastAsia" w:hAnsiTheme="minorEastAsia" w:eastAsiaTheme="minorEastAsia"/>
      <w:sz w:val="24"/>
    </w:rPr>
  </w:style>
  <w:style w:type="paragraph" w:customStyle="1" w:styleId="106">
    <w:name w:val="无间隔1"/>
    <w:basedOn w:val="1"/>
    <w:qFormat/>
    <w:uiPriority w:val="99"/>
    <w:pPr>
      <w:widowControl w:val="0"/>
      <w:spacing w:line="240" w:lineRule="auto"/>
      <w:ind w:firstLine="0" w:firstLineChars="0"/>
    </w:pPr>
    <w:rPr>
      <w:rFonts w:hint="default" w:eastAsia="宋体" w:cs="Times New Roman"/>
      <w:kern w:val="2"/>
      <w:sz w:val="21"/>
      <w:szCs w:val="21"/>
    </w:rPr>
  </w:style>
  <w:style w:type="paragraph" w:customStyle="1" w:styleId="107">
    <w:name w:val="HTML 预设格式 Char Char Char"/>
    <w:basedOn w:val="1"/>
    <w:qFormat/>
    <w:uiPriority w:val="0"/>
    <w:pPr>
      <w:ind w:firstLine="881"/>
      <w:jc w:val="left"/>
    </w:pPr>
    <w:rPr>
      <w:rFonts w:hint="default" w:ascii="宋体" w:hAnsi="宋体" w:eastAsia="宋体"/>
      <w:sz w:val="24"/>
    </w:rPr>
  </w:style>
  <w:style w:type="character" w:customStyle="1" w:styleId="108">
    <w:name w:val="font91"/>
    <w:qFormat/>
    <w:uiPriority w:val="0"/>
    <w:rPr>
      <w:rFonts w:ascii="仿宋" w:eastAsia="仿宋" w:cs="仿宋"/>
      <w:color w:val="000000"/>
      <w:sz w:val="22"/>
      <w:szCs w:val="22"/>
      <w:u w:val="none"/>
      <w:lang w:bidi="ar-SA"/>
    </w:rPr>
  </w:style>
  <w:style w:type="character" w:customStyle="1" w:styleId="109">
    <w:name w:val="font31"/>
    <w:qFormat/>
    <w:uiPriority w:val="0"/>
    <w:rPr>
      <w:rFonts w:hint="eastAsia" w:ascii="宋体" w:hAnsi="宋体" w:eastAsia="宋体" w:cs="宋体"/>
      <w:color w:val="000000"/>
      <w:sz w:val="20"/>
      <w:szCs w:val="20"/>
      <w:u w:val="none"/>
    </w:rPr>
  </w:style>
  <w:style w:type="character" w:customStyle="1" w:styleId="110">
    <w:name w:val="font51"/>
    <w:qFormat/>
    <w:uiPriority w:val="0"/>
    <w:rPr>
      <w:rFonts w:hint="eastAsia" w:ascii="仿宋" w:hAnsi="仿宋" w:eastAsia="仿宋" w:cs="仿宋"/>
      <w:color w:val="000000"/>
      <w:sz w:val="22"/>
      <w:szCs w:val="22"/>
      <w:u w:val="none"/>
    </w:rPr>
  </w:style>
  <w:style w:type="character" w:customStyle="1" w:styleId="111">
    <w:name w:val="font121"/>
    <w:qFormat/>
    <w:uiPriority w:val="0"/>
    <w:rPr>
      <w:rFonts w:hint="eastAsia" w:ascii="仿宋" w:hAnsi="仿宋" w:eastAsia="仿宋" w:cs="仿宋"/>
      <w:color w:val="000000"/>
      <w:sz w:val="22"/>
      <w:szCs w:val="22"/>
      <w:u w:val="none"/>
    </w:rPr>
  </w:style>
  <w:style w:type="character" w:customStyle="1" w:styleId="112">
    <w:name w:val="clicked2"/>
    <w:qFormat/>
    <w:uiPriority w:val="0"/>
    <w:rPr>
      <w:color w:val="000000"/>
    </w:rPr>
  </w:style>
  <w:style w:type="character" w:customStyle="1" w:styleId="113">
    <w:name w:val="clicked1"/>
    <w:basedOn w:val="21"/>
    <w:qFormat/>
    <w:uiPriority w:val="0"/>
  </w:style>
  <w:style w:type="character" w:customStyle="1" w:styleId="114">
    <w:name w:val="font61"/>
    <w:qFormat/>
    <w:uiPriority w:val="0"/>
    <w:rPr>
      <w:rFonts w:ascii="宋体" w:hAnsi="宋体" w:eastAsia="宋体" w:cs="宋体"/>
      <w:color w:val="000000"/>
      <w:sz w:val="20"/>
      <w:szCs w:val="20"/>
      <w:u w:val="none"/>
    </w:rPr>
  </w:style>
  <w:style w:type="character" w:customStyle="1" w:styleId="115">
    <w:name w:val="newstitle"/>
    <w:qFormat/>
    <w:uiPriority w:val="0"/>
    <w:rPr>
      <w:b/>
      <w:color w:val="000000"/>
      <w:sz w:val="24"/>
      <w:szCs w:val="24"/>
    </w:rPr>
  </w:style>
  <w:style w:type="character" w:customStyle="1" w:styleId="116">
    <w:name w:val="font41"/>
    <w:qFormat/>
    <w:uiPriority w:val="0"/>
    <w:rPr>
      <w:rFonts w:hint="eastAsia" w:ascii="仿宋" w:hAnsi="仿宋" w:eastAsia="仿宋" w:cs="仿宋"/>
      <w:b/>
      <w:color w:val="000000"/>
      <w:sz w:val="22"/>
      <w:szCs w:val="22"/>
      <w:u w:val="none"/>
    </w:rPr>
  </w:style>
  <w:style w:type="character" w:customStyle="1" w:styleId="117">
    <w:name w:val="image"/>
    <w:basedOn w:val="21"/>
    <w:qFormat/>
    <w:uiPriority w:val="0"/>
  </w:style>
  <w:style w:type="character" w:customStyle="1" w:styleId="118">
    <w:name w:val="font161"/>
    <w:qFormat/>
    <w:uiPriority w:val="0"/>
    <w:rPr>
      <w:rFonts w:hint="default" w:ascii="仿宋" w:hAnsi="仿宋" w:eastAsia="仿宋" w:cs="仿宋"/>
      <w:b/>
      <w:color w:val="000000"/>
      <w:sz w:val="22"/>
      <w:szCs w:val="22"/>
      <w:u w:val="none"/>
    </w:rPr>
  </w:style>
  <w:style w:type="character" w:customStyle="1" w:styleId="119">
    <w:name w:val="font151"/>
    <w:qFormat/>
    <w:uiPriority w:val="0"/>
    <w:rPr>
      <w:rFonts w:hint="default" w:ascii="仿宋" w:hAnsi="仿宋" w:eastAsia="仿宋" w:cs="仿宋"/>
      <w:b/>
      <w:color w:val="000000"/>
      <w:sz w:val="22"/>
      <w:szCs w:val="22"/>
      <w:u w:val="none"/>
    </w:rPr>
  </w:style>
  <w:style w:type="character" w:customStyle="1" w:styleId="120">
    <w:name w:val="group"/>
    <w:basedOn w:val="21"/>
    <w:qFormat/>
    <w:uiPriority w:val="0"/>
  </w:style>
  <w:style w:type="character" w:customStyle="1" w:styleId="121">
    <w:name w:val="image2"/>
    <w:basedOn w:val="21"/>
    <w:qFormat/>
    <w:uiPriority w:val="0"/>
  </w:style>
  <w:style w:type="character" w:customStyle="1" w:styleId="122">
    <w:name w:val="clicked"/>
    <w:basedOn w:val="21"/>
    <w:qFormat/>
    <w:uiPriority w:val="0"/>
  </w:style>
  <w:style w:type="character" w:customStyle="1" w:styleId="123">
    <w:name w:val="font71"/>
    <w:qFormat/>
    <w:uiPriority w:val="0"/>
    <w:rPr>
      <w:rFonts w:hint="eastAsia" w:ascii="仿宋" w:hAnsi="仿宋" w:eastAsia="仿宋" w:cs="仿宋"/>
      <w:b/>
      <w:color w:val="000000"/>
      <w:sz w:val="22"/>
      <w:szCs w:val="22"/>
      <w:u w:val="none"/>
    </w:rPr>
  </w:style>
  <w:style w:type="character" w:customStyle="1" w:styleId="124">
    <w:name w:val="ui-state-default13"/>
    <w:basedOn w:val="21"/>
    <w:qFormat/>
    <w:uiPriority w:val="0"/>
  </w:style>
  <w:style w:type="character" w:customStyle="1" w:styleId="125">
    <w:name w:val="directchildrenspan"/>
    <w:basedOn w:val="21"/>
    <w:qFormat/>
    <w:uiPriority w:val="0"/>
  </w:style>
  <w:style w:type="character" w:customStyle="1" w:styleId="126">
    <w:name w:val="button-hover"/>
    <w:basedOn w:val="21"/>
    <w:qFormat/>
    <w:uiPriority w:val="0"/>
  </w:style>
  <w:style w:type="character" w:customStyle="1" w:styleId="127">
    <w:name w:val="font12"/>
    <w:qFormat/>
    <w:uiPriority w:val="0"/>
    <w:rPr>
      <w:rFonts w:hint="eastAsia" w:ascii="仿宋" w:hAnsi="仿宋" w:eastAsia="仿宋" w:cs="仿宋"/>
      <w:b/>
      <w:color w:val="000000"/>
      <w:sz w:val="22"/>
      <w:szCs w:val="22"/>
      <w:u w:val="none"/>
    </w:rPr>
  </w:style>
  <w:style w:type="character" w:customStyle="1" w:styleId="128">
    <w:name w:val="ui-state-hover21"/>
    <w:basedOn w:val="21"/>
    <w:qFormat/>
    <w:uiPriority w:val="0"/>
  </w:style>
  <w:style w:type="character" w:customStyle="1" w:styleId="129">
    <w:name w:val="button-hover1"/>
    <w:basedOn w:val="21"/>
    <w:qFormat/>
    <w:uiPriority w:val="0"/>
  </w:style>
  <w:style w:type="character" w:customStyle="1" w:styleId="130">
    <w:name w:val="image3"/>
    <w:basedOn w:val="21"/>
    <w:qFormat/>
    <w:uiPriority w:val="0"/>
  </w:style>
  <w:style w:type="character" w:customStyle="1" w:styleId="131">
    <w:name w:val="ui-state-default12"/>
    <w:basedOn w:val="21"/>
    <w:qFormat/>
    <w:uiPriority w:val="0"/>
  </w:style>
  <w:style w:type="character" w:customStyle="1" w:styleId="132">
    <w:name w:val="item-middle"/>
    <w:basedOn w:val="21"/>
    <w:qFormat/>
    <w:uiPriority w:val="0"/>
  </w:style>
  <w:style w:type="character" w:customStyle="1" w:styleId="133">
    <w:name w:val="ui-state-active6"/>
    <w:basedOn w:val="21"/>
    <w:qFormat/>
    <w:uiPriority w:val="0"/>
  </w:style>
  <w:style w:type="character" w:customStyle="1" w:styleId="134">
    <w:name w:val="ui-icon33"/>
    <w:basedOn w:val="21"/>
    <w:qFormat/>
    <w:uiPriority w:val="0"/>
  </w:style>
  <w:style w:type="character" w:customStyle="1" w:styleId="135">
    <w:name w:val="imgspan"/>
    <w:basedOn w:val="21"/>
    <w:qFormat/>
    <w:uiPriority w:val="0"/>
  </w:style>
  <w:style w:type="paragraph" w:customStyle="1" w:styleId="136">
    <w:name w:val="msolistparagraph"/>
    <w:basedOn w:val="1"/>
    <w:qFormat/>
    <w:uiPriority w:val="0"/>
    <w:pPr>
      <w:widowControl w:val="0"/>
      <w:ind w:firstLine="420"/>
    </w:pPr>
    <w:rPr>
      <w:rFonts w:hint="default" w:ascii="Calibri" w:hAnsi="Calibri" w:eastAsia="宋体" w:cs="Times New Roman"/>
      <w:kern w:val="2"/>
      <w:sz w:val="21"/>
      <w:szCs w:val="21"/>
    </w:rPr>
  </w:style>
  <w:style w:type="character" w:customStyle="1" w:styleId="137">
    <w:name w:val="正文文本 Char"/>
    <w:basedOn w:val="21"/>
    <w:link w:val="10"/>
    <w:qFormat/>
    <w:uiPriority w:val="1"/>
    <w:rPr>
      <w:rFonts w:ascii="方正仿宋_GBK" w:hAnsi="方正仿宋_GBK" w:eastAsia="方正仿宋_GBK"/>
      <w:sz w:val="32"/>
      <w:szCs w:val="32"/>
    </w:rPr>
  </w:style>
  <w:style w:type="paragraph" w:customStyle="1" w:styleId="138">
    <w:name w:val="p21"/>
    <w:basedOn w:val="1"/>
    <w:qFormat/>
    <w:uiPriority w:val="0"/>
    <w:pPr>
      <w:spacing w:before="100" w:after="100"/>
      <w:jc w:val="left"/>
    </w:pPr>
    <w:rPr>
      <w:rFonts w:ascii="宋体" w:hAnsi="宋体" w:eastAsia="宋体"/>
      <w:sz w:val="24"/>
    </w:rPr>
  </w:style>
  <w:style w:type="paragraph" w:customStyle="1" w:styleId="139">
    <w:name w:val="_Style 5"/>
    <w:basedOn w:val="1"/>
    <w:qFormat/>
    <w:uiPriority w:val="34"/>
    <w:pPr>
      <w:ind w:firstLine="420"/>
    </w:pPr>
    <w:rPr>
      <w:rFonts w:cs="Times New Roman"/>
    </w:rPr>
  </w:style>
  <w:style w:type="paragraph" w:customStyle="1" w:styleId="140">
    <w:name w:val="msonormal"/>
    <w:basedOn w:val="1"/>
    <w:qFormat/>
    <w:uiPriority w:val="0"/>
    <w:pPr>
      <w:spacing w:before="100" w:beforeAutospacing="1" w:after="100" w:afterAutospacing="1"/>
      <w:jc w:val="left"/>
    </w:pPr>
    <w:rPr>
      <w:rFonts w:ascii="宋体" w:hAnsi="宋体" w:eastAsia="宋体" w:cs="Times New Roman"/>
      <w:sz w:val="24"/>
    </w:rPr>
  </w:style>
  <w:style w:type="paragraph" w:customStyle="1" w:styleId="141">
    <w:name w:val="_Style 2"/>
    <w:basedOn w:val="1"/>
    <w:qFormat/>
    <w:uiPriority w:val="34"/>
    <w:pPr>
      <w:ind w:firstLine="420"/>
    </w:pPr>
    <w:rPr>
      <w:rFonts w:cs="Times New Roman"/>
    </w:rPr>
  </w:style>
  <w:style w:type="paragraph" w:customStyle="1" w:styleId="142">
    <w:name w:val="p16"/>
    <w:basedOn w:val="1"/>
    <w:qFormat/>
    <w:uiPriority w:val="0"/>
    <w:pPr>
      <w:spacing w:before="100" w:after="100"/>
      <w:jc w:val="left"/>
    </w:pPr>
    <w:rPr>
      <w:rFonts w:ascii="宋体" w:hAnsi="宋体" w:eastAsia="宋体"/>
      <w:sz w:val="24"/>
    </w:rPr>
  </w:style>
  <w:style w:type="character" w:customStyle="1" w:styleId="143">
    <w:name w:val="纯文本 Char"/>
    <w:basedOn w:val="21"/>
    <w:link w:val="11"/>
    <w:qFormat/>
    <w:uiPriority w:val="0"/>
    <w:rPr>
      <w:rFonts w:ascii="宋体" w:hAnsi="Courier New" w:eastAsia="方正仿宋_GBK"/>
      <w:sz w:val="30"/>
      <w:szCs w:val="24"/>
    </w:rPr>
  </w:style>
  <w:style w:type="paragraph" w:customStyle="1" w:styleId="144">
    <w:name w:val="普通(网站) Char Char Char Char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145">
    <w:name w:val="普通(网站) Char Char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146">
    <w:name w:val="p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147">
    <w:name w:val="普通(网站) Char Char Char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148">
    <w:name w:val="HTML 预设格式 Char Char Char Char"/>
    <w:basedOn w:val="1"/>
    <w:qFormat/>
    <w:uiPriority w:val="0"/>
    <w:pPr>
      <w:ind w:firstLine="880"/>
      <w:jc w:val="left"/>
    </w:pPr>
    <w:rPr>
      <w:rFonts w:hint="default" w:ascii="宋体" w:hAnsi="宋体" w:eastAsia="宋体"/>
      <w:sz w:val="24"/>
    </w:rPr>
  </w:style>
  <w:style w:type="character" w:customStyle="1" w:styleId="149">
    <w:name w:val="39"/>
    <w:basedOn w:val="21"/>
    <w:qFormat/>
    <w:uiPriority w:val="0"/>
    <w:rPr>
      <w:rFonts w:hint="default" w:ascii="Times New Roman" w:hAnsi="Times New Roman" w:cs="Times New Roman"/>
    </w:rPr>
  </w:style>
  <w:style w:type="character" w:customStyle="1" w:styleId="150">
    <w:name w:val="40"/>
    <w:basedOn w:val="21"/>
    <w:qFormat/>
    <w:uiPriority w:val="0"/>
    <w:rPr>
      <w:rFonts w:hint="default" w:ascii="Times New Roman" w:hAnsi="Times New Roman" w:cs="Times New Roman"/>
    </w:rPr>
  </w:style>
  <w:style w:type="character" w:customStyle="1" w:styleId="151">
    <w:name w:val="41"/>
    <w:basedOn w:val="21"/>
    <w:qFormat/>
    <w:uiPriority w:val="0"/>
    <w:rPr>
      <w:rFonts w:hint="default" w:ascii="Times New Roman" w:hAnsi="Times New Roman" w:cs="Times New Roman"/>
      <w:b/>
      <w:bCs/>
    </w:rPr>
  </w:style>
  <w:style w:type="character" w:customStyle="1" w:styleId="152">
    <w:name w:val="42"/>
    <w:basedOn w:val="21"/>
    <w:qFormat/>
    <w:uiPriority w:val="0"/>
    <w:rPr>
      <w:rFonts w:hint="default" w:ascii="Times New Roman" w:hAnsi="Times New Roman" w:cs="Times New Roman"/>
    </w:rPr>
  </w:style>
  <w:style w:type="character" w:customStyle="1" w:styleId="153">
    <w:name w:val="43"/>
    <w:basedOn w:val="21"/>
    <w:qFormat/>
    <w:uiPriority w:val="0"/>
    <w:rPr>
      <w:rFonts w:hint="default" w:ascii="Times New Roman" w:hAnsi="Times New Roman" w:cs="Times New Roman"/>
    </w:rPr>
  </w:style>
  <w:style w:type="character" w:customStyle="1" w:styleId="154">
    <w:name w:val="44"/>
    <w:basedOn w:val="21"/>
    <w:qFormat/>
    <w:uiPriority w:val="0"/>
    <w:rPr>
      <w:rFonts w:hint="eastAsia" w:ascii="宋体" w:hAnsi="宋体" w:eastAsia="宋体"/>
      <w:b/>
      <w:bCs/>
      <w:sz w:val="28"/>
      <w:szCs w:val="28"/>
    </w:rPr>
  </w:style>
  <w:style w:type="character" w:customStyle="1" w:styleId="155">
    <w:name w:val="45"/>
    <w:basedOn w:val="21"/>
    <w:qFormat/>
    <w:uiPriority w:val="0"/>
    <w:rPr>
      <w:rFonts w:hint="default" w:ascii="Times New Roman" w:hAnsi="Times New Roman" w:cs="Times New Roman"/>
    </w:rPr>
  </w:style>
  <w:style w:type="character" w:customStyle="1" w:styleId="156">
    <w:name w:val="46"/>
    <w:basedOn w:val="21"/>
    <w:qFormat/>
    <w:uiPriority w:val="0"/>
    <w:rPr>
      <w:rFonts w:hint="default" w:ascii="Times New Roman" w:hAnsi="Times New Roman" w:cs="Times New Roman"/>
    </w:rPr>
  </w:style>
  <w:style w:type="character" w:customStyle="1" w:styleId="157">
    <w:name w:val="47"/>
    <w:basedOn w:val="21"/>
    <w:qFormat/>
    <w:uiPriority w:val="0"/>
    <w:rPr>
      <w:rFonts w:hint="default" w:ascii="Times New Roman" w:hAnsi="Times New Roman" w:cs="Times New Roman"/>
    </w:rPr>
  </w:style>
  <w:style w:type="character" w:customStyle="1" w:styleId="158">
    <w:name w:val="48"/>
    <w:basedOn w:val="21"/>
    <w:qFormat/>
    <w:uiPriority w:val="0"/>
    <w:rPr>
      <w:rFonts w:hint="default" w:ascii="Times New Roman" w:hAnsi="Times New Roman" w:cs="Times New Roman"/>
    </w:rPr>
  </w:style>
  <w:style w:type="character" w:customStyle="1" w:styleId="159">
    <w:name w:val="49"/>
    <w:basedOn w:val="21"/>
    <w:qFormat/>
    <w:uiPriority w:val="0"/>
    <w:rPr>
      <w:rFonts w:hint="default" w:ascii="Cambria" w:hAnsi="Cambria" w:eastAsia="宋体" w:cs="Times New Roman"/>
      <w:b/>
      <w:bCs/>
      <w:sz w:val="32"/>
      <w:szCs w:val="32"/>
    </w:rPr>
  </w:style>
  <w:style w:type="character" w:customStyle="1" w:styleId="160">
    <w:name w:val="50"/>
    <w:basedOn w:val="21"/>
    <w:qFormat/>
    <w:uiPriority w:val="0"/>
    <w:rPr>
      <w:rFonts w:hint="default" w:ascii="Times New Roman" w:hAnsi="Times New Roman" w:cs="Times New Roman"/>
    </w:rPr>
  </w:style>
  <w:style w:type="character" w:customStyle="1" w:styleId="161">
    <w:name w:val="51"/>
    <w:basedOn w:val="21"/>
    <w:qFormat/>
    <w:uiPriority w:val="0"/>
    <w:rPr>
      <w:rFonts w:hint="eastAsia" w:ascii="宋体" w:hAnsi="宋体" w:eastAsia="宋体"/>
      <w:b/>
      <w:bCs/>
      <w:kern w:val="44"/>
      <w:sz w:val="44"/>
      <w:szCs w:val="44"/>
    </w:rPr>
  </w:style>
  <w:style w:type="character" w:customStyle="1" w:styleId="162">
    <w:name w:val="52"/>
    <w:basedOn w:val="21"/>
    <w:qFormat/>
    <w:uiPriority w:val="0"/>
    <w:rPr>
      <w:rFonts w:hint="default" w:ascii="Cambria" w:hAnsi="Cambria" w:eastAsia="宋体" w:cs="Times New Roman"/>
      <w:b/>
      <w:bCs/>
      <w:sz w:val="24"/>
      <w:szCs w:val="24"/>
    </w:rPr>
  </w:style>
  <w:style w:type="character" w:customStyle="1" w:styleId="163">
    <w:name w:val="53"/>
    <w:basedOn w:val="21"/>
    <w:qFormat/>
    <w:uiPriority w:val="0"/>
    <w:rPr>
      <w:rFonts w:hint="default" w:ascii="Times New Roman" w:hAnsi="Times New Roman" w:cs="Times New Roman"/>
    </w:rPr>
  </w:style>
  <w:style w:type="character" w:customStyle="1" w:styleId="164">
    <w:name w:val="54"/>
    <w:basedOn w:val="21"/>
    <w:qFormat/>
    <w:uiPriority w:val="0"/>
    <w:rPr>
      <w:rFonts w:hint="eastAsia" w:ascii="宋体" w:hAnsi="宋体" w:eastAsia="宋体"/>
      <w:sz w:val="18"/>
      <w:szCs w:val="18"/>
    </w:rPr>
  </w:style>
  <w:style w:type="character" w:customStyle="1" w:styleId="165">
    <w:name w:val="55"/>
    <w:basedOn w:val="21"/>
    <w:qFormat/>
    <w:uiPriority w:val="0"/>
    <w:rPr>
      <w:rFonts w:hint="default" w:ascii="Times New Roman" w:hAnsi="Times New Roman" w:cs="Times New Roman"/>
      <w:b/>
      <w:bCs/>
    </w:rPr>
  </w:style>
  <w:style w:type="character" w:customStyle="1" w:styleId="166">
    <w:name w:val="56"/>
    <w:basedOn w:val="21"/>
    <w:qFormat/>
    <w:uiPriority w:val="0"/>
    <w:rPr>
      <w:rFonts w:hint="default" w:ascii="Cambria" w:hAnsi="Cambria" w:eastAsia="宋体" w:cs="Times New Roman"/>
      <w:b/>
      <w:bCs/>
      <w:sz w:val="28"/>
      <w:szCs w:val="28"/>
    </w:rPr>
  </w:style>
  <w:style w:type="paragraph" w:customStyle="1" w:styleId="167">
    <w:name w:val="BodyText1I"/>
    <w:basedOn w:val="168"/>
    <w:qFormat/>
    <w:uiPriority w:val="0"/>
    <w:pPr>
      <w:ind w:firstLine="100" w:firstLineChars="100"/>
    </w:pPr>
  </w:style>
  <w:style w:type="paragraph" w:customStyle="1" w:styleId="168">
    <w:name w:val="BodyText"/>
    <w:basedOn w:val="1"/>
    <w:qFormat/>
    <w:uiPriority w:val="0"/>
    <w:pPr>
      <w:spacing w:line="600" w:lineRule="exact"/>
      <w:ind w:firstLine="0" w:firstLineChars="0"/>
      <w:jc w:val="center"/>
      <w:textAlignment w:val="baseline"/>
    </w:pPr>
    <w:rPr>
      <w:rFonts w:ascii="黑体" w:hAnsi="Calibri" w:eastAsia="黑体" w:cs="Times New Roman"/>
      <w:color w:val="000000"/>
      <w:sz w:val="36"/>
      <w:szCs w:val="36"/>
    </w:rPr>
  </w:style>
  <w:style w:type="character" w:customStyle="1" w:styleId="169">
    <w:name w:val="font81"/>
    <w:qFormat/>
    <w:uiPriority w:val="0"/>
    <w:rPr>
      <w:rFonts w:hint="eastAsia" w:ascii="宋体" w:hAnsi="宋体" w:eastAsia="宋体" w:cs="宋体"/>
      <w:color w:val="000000"/>
      <w:sz w:val="20"/>
      <w:szCs w:val="20"/>
      <w:u w:val="none"/>
    </w:rPr>
  </w:style>
  <w:style w:type="paragraph" w:customStyle="1" w:styleId="17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1">
    <w:name w:val="标题 Char"/>
    <w:basedOn w:val="21"/>
    <w:link w:val="18"/>
    <w:qFormat/>
    <w:uiPriority w:val="10"/>
    <w:rPr>
      <w:rFonts w:ascii="Cambria" w:hAnsi="Cambria"/>
      <w:b/>
      <w:sz w:val="32"/>
      <w:szCs w:val="32"/>
    </w:rPr>
  </w:style>
  <w:style w:type="character" w:customStyle="1" w:styleId="172">
    <w:name w:val="页码1"/>
    <w:qFormat/>
    <w:uiPriority w:val="0"/>
    <w:rPr>
      <w:rFonts w:hint="default" w:ascii="Times New Roman" w:hAnsi="Times New Roman" w:cs="Times New Roman"/>
    </w:rPr>
  </w:style>
  <w:style w:type="character" w:customStyle="1" w:styleId="173">
    <w:name w:val="p17 Char"/>
    <w:link w:val="97"/>
    <w:qFormat/>
    <w:uiPriority w:val="0"/>
    <w:rPr>
      <w:rFonts w:ascii="宋体" w:hAnsi="宋体" w:cs="宋体"/>
      <w:sz w:val="24"/>
      <w:szCs w:val="24"/>
    </w:rPr>
  </w:style>
  <w:style w:type="paragraph" w:customStyle="1" w:styleId="174">
    <w:name w:val="p43"/>
    <w:basedOn w:val="1"/>
    <w:qFormat/>
    <w:uiPriority w:val="0"/>
    <w:pPr>
      <w:spacing w:line="240" w:lineRule="auto"/>
      <w:ind w:firstLine="0" w:firstLineChars="0"/>
      <w:jc w:val="left"/>
    </w:pPr>
    <w:rPr>
      <w:rFonts w:ascii="宋体" w:hAnsi="宋体" w:eastAsia="宋体" w:cs="Times New Roman"/>
      <w:sz w:val="24"/>
    </w:rPr>
  </w:style>
  <w:style w:type="paragraph" w:customStyle="1" w:styleId="175">
    <w:name w:val="列出段落11"/>
    <w:basedOn w:val="1"/>
    <w:qFormat/>
    <w:uiPriority w:val="99"/>
    <w:pPr>
      <w:spacing w:line="240" w:lineRule="auto"/>
      <w:ind w:firstLine="420"/>
      <w:jc w:val="left"/>
    </w:pPr>
    <w:rPr>
      <w:rFonts w:ascii="宋体" w:hAnsi="宋体" w:eastAsia="宋体" w:cs="Times New Roman"/>
      <w:sz w:val="24"/>
    </w:rPr>
  </w:style>
  <w:style w:type="paragraph" w:customStyle="1" w:styleId="176">
    <w:name w:val="p22"/>
    <w:basedOn w:val="1"/>
    <w:qFormat/>
    <w:uiPriority w:val="0"/>
    <w:pPr>
      <w:spacing w:line="240" w:lineRule="auto"/>
      <w:ind w:firstLine="0" w:firstLineChars="0"/>
      <w:jc w:val="left"/>
    </w:pPr>
    <w:rPr>
      <w:rFonts w:ascii="宋体" w:hAnsi="宋体" w:eastAsia="宋体" w:cs="Times New Roman"/>
      <w:sz w:val="24"/>
    </w:rPr>
  </w:style>
  <w:style w:type="paragraph" w:customStyle="1" w:styleId="177">
    <w:name w:val="样式1"/>
    <w:basedOn w:val="1"/>
    <w:qFormat/>
    <w:uiPriority w:val="0"/>
    <w:pPr>
      <w:spacing w:line="600" w:lineRule="exact"/>
      <w:ind w:firstLine="640"/>
      <w:jc w:val="left"/>
    </w:pPr>
    <w:rPr>
      <w:rFonts w:hint="default" w:cs="Times New Roman"/>
      <w:spacing w:val="-3"/>
      <w:szCs w:val="32"/>
    </w:rPr>
  </w:style>
  <w:style w:type="paragraph" w:customStyle="1" w:styleId="178">
    <w:name w:val="_Style 1"/>
    <w:basedOn w:val="1"/>
    <w:qFormat/>
    <w:uiPriority w:val="99"/>
    <w:pPr>
      <w:spacing w:line="240" w:lineRule="auto"/>
      <w:ind w:firstLine="420"/>
      <w:jc w:val="left"/>
    </w:pPr>
    <w:rPr>
      <w:rFonts w:ascii="宋体" w:hAnsi="宋体" w:eastAsia="宋体" w:cs="Times New Roman"/>
      <w:sz w:val="24"/>
    </w:rPr>
  </w:style>
  <w:style w:type="paragraph" w:customStyle="1" w:styleId="179">
    <w:name w:val="无间隔11"/>
    <w:basedOn w:val="1"/>
    <w:qFormat/>
    <w:uiPriority w:val="1"/>
    <w:pPr>
      <w:widowControl w:val="0"/>
      <w:spacing w:line="240" w:lineRule="auto"/>
      <w:ind w:firstLine="0" w:firstLineChars="0"/>
    </w:pPr>
    <w:rPr>
      <w:rFonts w:hint="default" w:ascii="Calibri" w:hAnsi="Calibri" w:eastAsia="宋体" w:cs="Times New Roman"/>
      <w:kern w:val="2"/>
      <w:sz w:val="21"/>
      <w:szCs w:val="22"/>
    </w:rPr>
  </w:style>
  <w:style w:type="paragraph" w:customStyle="1" w:styleId="180">
    <w:name w:val="WPSOffice手动目录 1"/>
    <w:qFormat/>
    <w:uiPriority w:val="0"/>
    <w:rPr>
      <w:rFonts w:ascii="Calibri" w:hAnsi="Calibri" w:eastAsia="宋体" w:cs="Times New Roman"/>
      <w:lang w:val="en-US" w:eastAsia="zh-CN" w:bidi="ar-SA"/>
    </w:rPr>
  </w:style>
  <w:style w:type="paragraph" w:customStyle="1" w:styleId="181">
    <w:name w:val="xl65"/>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2">
    <w:name w:val="xl66"/>
    <w:basedOn w:val="1"/>
    <w:qFormat/>
    <w:uiPriority w:val="0"/>
    <w:pPr>
      <w:pBdr>
        <w:bottom w:val="single" w:color="000000" w:sz="4" w:space="0"/>
        <w:right w:val="single" w:color="000000" w:sz="4"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3">
    <w:name w:val="xl67"/>
    <w:basedOn w:val="1"/>
    <w:qFormat/>
    <w:uiPriority w:val="0"/>
    <w:pPr>
      <w:pBdr>
        <w:bottom w:val="single" w:color="000000" w:sz="4" w:space="0"/>
        <w:right w:val="single" w:color="000000" w:sz="12"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4">
    <w:name w:val="xl68"/>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85">
    <w:name w:val="xl69"/>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6">
    <w:name w:val="xl70"/>
    <w:basedOn w:val="1"/>
    <w:qFormat/>
    <w:uiPriority w:val="0"/>
    <w:pPr>
      <w:pBdr>
        <w:bottom w:val="single" w:color="000000" w:sz="4" w:space="0"/>
        <w:right w:val="single" w:color="000000" w:sz="12"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7">
    <w:name w:val="xl71"/>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88">
    <w:name w:val="xl72"/>
    <w:basedOn w:val="1"/>
    <w:qFormat/>
    <w:uiPriority w:val="0"/>
    <w:pPr>
      <w:pBdr>
        <w:bottom w:val="single" w:color="000000" w:sz="4" w:space="0"/>
        <w:right w:val="single" w:color="000000" w:sz="12" w:space="0"/>
      </w:pBdr>
      <w:shd w:val="clear" w:color="000000" w:fill="FFFFFF"/>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89">
    <w:name w:val="xl73"/>
    <w:basedOn w:val="1"/>
    <w:qFormat/>
    <w:uiPriority w:val="0"/>
    <w:pPr>
      <w:pBdr>
        <w:bottom w:val="single" w:color="000000" w:sz="12" w:space="0"/>
        <w:right w:val="single" w:color="000000" w:sz="4"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90">
    <w:name w:val="xl74"/>
    <w:basedOn w:val="1"/>
    <w:qFormat/>
    <w:uiPriority w:val="0"/>
    <w:pPr>
      <w:pBdr>
        <w:bottom w:val="single" w:color="000000" w:sz="12" w:space="0"/>
        <w:right w:val="single" w:color="000000" w:sz="12"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91">
    <w:name w:val="xl75"/>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2">
    <w:name w:val="xl76"/>
    <w:basedOn w:val="1"/>
    <w:qFormat/>
    <w:uiPriority w:val="0"/>
    <w:pPr>
      <w:pBdr>
        <w:bottom w:val="single" w:color="000000" w:sz="4" w:space="0"/>
        <w:right w:val="single" w:color="000000" w:sz="12"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3">
    <w:name w:val="xl77"/>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4">
    <w:name w:val="xl78"/>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5">
    <w:name w:val="xl79"/>
    <w:basedOn w:val="1"/>
    <w:qFormat/>
    <w:uiPriority w:val="0"/>
    <w:pPr>
      <w:pBdr>
        <w:bottom w:val="single" w:color="000000" w:sz="4" w:space="0"/>
        <w:right w:val="single" w:color="000000" w:sz="12"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6">
    <w:name w:val="xl80"/>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97">
    <w:name w:val="xl81"/>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98">
    <w:name w:val="xl82"/>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199">
    <w:name w:val="xl83"/>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0">
    <w:name w:val="xl84"/>
    <w:basedOn w:val="1"/>
    <w:qFormat/>
    <w:uiPriority w:val="0"/>
    <w:pPr>
      <w:pBdr>
        <w:left w:val="single" w:color="000000" w:sz="12" w:space="0"/>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1">
    <w:name w:val="xl85"/>
    <w:basedOn w:val="1"/>
    <w:qFormat/>
    <w:uiPriority w:val="0"/>
    <w:pPr>
      <w:pBdr>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2">
    <w:name w:val="xl86"/>
    <w:basedOn w:val="1"/>
    <w:qFormat/>
    <w:uiPriority w:val="0"/>
    <w:pPr>
      <w:pBdr>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3">
    <w:name w:val="xl87"/>
    <w:basedOn w:val="1"/>
    <w:qFormat/>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4">
    <w:name w:val="xl88"/>
    <w:basedOn w:val="1"/>
    <w:qFormat/>
    <w:uiPriority w:val="0"/>
    <w:pPr>
      <w:pBdr>
        <w:bottom w:val="single" w:color="000000" w:sz="4" w:space="0"/>
        <w:right w:val="single" w:color="000000" w:sz="12"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5">
    <w:name w:val="xl89"/>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6">
    <w:name w:val="xl90"/>
    <w:basedOn w:val="1"/>
    <w:qFormat/>
    <w:uiPriority w:val="0"/>
    <w:pPr>
      <w:pBdr>
        <w:left w:val="single" w:color="000000" w:sz="12"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7">
    <w:name w:val="xl91"/>
    <w:basedOn w:val="1"/>
    <w:qFormat/>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character" w:customStyle="1" w:styleId="208">
    <w:name w:val="标题 1 字符"/>
    <w:qFormat/>
    <w:uiPriority w:val="0"/>
    <w:rPr>
      <w:rFonts w:eastAsia="方正小标宋_GBK"/>
      <w:kern w:val="44"/>
      <w:sz w:val="44"/>
    </w:rPr>
  </w:style>
  <w:style w:type="character" w:customStyle="1" w:styleId="209">
    <w:name w:val="标题 3 字符"/>
    <w:qFormat/>
    <w:uiPriority w:val="0"/>
    <w:rPr>
      <w:rFonts w:ascii="Times New Roman" w:hAnsi="Times New Roman" w:eastAsia="方正楷体_GBK"/>
      <w:sz w:val="32"/>
    </w:rPr>
  </w:style>
  <w:style w:type="character" w:customStyle="1" w:styleId="210">
    <w:name w:val="标题 2 字符"/>
    <w:qFormat/>
    <w:uiPriority w:val="0"/>
    <w:rPr>
      <w:rFonts w:ascii="Times New Roman" w:hAnsi="Times New Roman" w:eastAsia="方正黑体_GBK"/>
    </w:rPr>
  </w:style>
  <w:style w:type="character" w:customStyle="1" w:styleId="211">
    <w:name w:val="列出段落 Char1"/>
    <w:link w:val="103"/>
    <w:qFormat/>
    <w:uiPriority w:val="34"/>
    <w:rPr>
      <w:kern w:val="2"/>
      <w:sz w:val="21"/>
      <w:szCs w:val="22"/>
    </w:rPr>
  </w:style>
  <w:style w:type="character" w:customStyle="1" w:styleId="212">
    <w:name w:val="列出段落 Char"/>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7EDE9-A4D1-4208-A092-A520BEE91C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782</Words>
  <Characters>4462</Characters>
  <Lines>37</Lines>
  <Paragraphs>10</Paragraphs>
  <TotalTime>2</TotalTime>
  <ScaleCrop>false</ScaleCrop>
  <LinksUpToDate>false</LinksUpToDate>
  <CharactersWithSpaces>5234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2021-09-18T07:23:00Z</dcterms:created>
  <dc:creator>Administrator</dc:creator>
  <cp:lastModifiedBy>肖肖</cp:lastModifiedBy>
  <cp:lastPrinted>2023-08-23T06:26:00Z</cp:lastPrinted>
  <dcterms:modified xsi:type="dcterms:W3CDTF">2023-10-12T08:44:57Z</dcterms:modified>
  <dc:title>中国共产党重庆市渝中区委员会办公室2020年度部门决算情况说明</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419561F8F53E4C64AFC20DDA03CCDDB4_13</vt:lpwstr>
  </property>
</Properties>
</file>