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default" w:ascii="方正小标宋_GBK" w:eastAsia="方正小标宋_GBK" w:cs="宋体"/>
          <w:sz w:val="44"/>
          <w:szCs w:val="44"/>
        </w:rPr>
      </w:pPr>
      <w:bookmarkStart w:id="0" w:name="_Toc12176"/>
      <w:bookmarkStart w:id="1" w:name="_Toc16583"/>
      <w:bookmarkStart w:id="2" w:name="_Toc7368"/>
      <w:bookmarkStart w:id="3" w:name="_Toc5997"/>
      <w:bookmarkStart w:id="4" w:name="_Toc3675"/>
      <w:bookmarkStart w:id="5" w:name="_Toc2091"/>
      <w:bookmarkStart w:id="6" w:name="_Toc13317"/>
      <w:r>
        <w:rPr>
          <w:rFonts w:ascii="方正小标宋_GBK" w:eastAsia="方正小标宋_GBK" w:cs="宋体"/>
          <w:sz w:val="44"/>
          <w:szCs w:val="44"/>
        </w:rPr>
        <w:t xml:space="preserve"> 重庆市渝中区大石化新区建设管理委员会</w:t>
      </w:r>
      <w:bookmarkStart w:id="7" w:name="_Toc10235_WPSOffice_Level1"/>
      <w:bookmarkStart w:id="8" w:name="_Toc6529_WPSOffice_Level1"/>
      <w:r>
        <w:rPr>
          <w:rFonts w:hint="eastAsia" w:ascii="方正小标宋_GBK" w:eastAsia="方正小标宋_GBK" w:cs="宋体"/>
          <w:sz w:val="44"/>
          <w:szCs w:val="44"/>
          <w:lang w:eastAsia="zh-CN"/>
        </w:rPr>
        <w:t>（</w:t>
      </w:r>
      <w:r>
        <w:rPr>
          <w:rFonts w:hint="eastAsia" w:ascii="方正小标宋_GBK" w:eastAsia="方正小标宋_GBK" w:cs="宋体"/>
          <w:sz w:val="44"/>
          <w:szCs w:val="44"/>
          <w:lang w:val="en-US" w:eastAsia="zh-CN"/>
        </w:rPr>
        <w:t>本级）</w:t>
      </w:r>
      <w:r>
        <w:rPr>
          <w:rFonts w:ascii="方正小标宋_GBK" w:eastAsia="方正小标宋_GBK" w:cs="宋体"/>
          <w:sz w:val="44"/>
          <w:szCs w:val="44"/>
        </w:rPr>
        <w:t>202</w:t>
      </w:r>
      <w:r>
        <w:rPr>
          <w:rFonts w:hint="eastAsia" w:ascii="方正小标宋_GBK" w:eastAsia="方正小标宋_GBK" w:cs="宋体"/>
          <w:sz w:val="44"/>
          <w:szCs w:val="44"/>
          <w:lang w:val="en-US" w:eastAsia="zh-CN"/>
        </w:rPr>
        <w:t>2</w:t>
      </w:r>
      <w:r>
        <w:rPr>
          <w:rFonts w:ascii="方正小标宋_GBK" w:eastAsia="方正小标宋_GBK" w:cs="宋体"/>
          <w:sz w:val="44"/>
          <w:szCs w:val="44"/>
        </w:rPr>
        <w:t>年决算情况说明</w:t>
      </w:r>
      <w:bookmarkEnd w:id="0"/>
      <w:bookmarkEnd w:id="1"/>
      <w:bookmarkEnd w:id="2"/>
      <w:bookmarkEnd w:id="3"/>
      <w:bookmarkEnd w:id="4"/>
      <w:bookmarkEnd w:id="5"/>
      <w:bookmarkEnd w:id="6"/>
      <w:bookmarkEnd w:id="7"/>
      <w:bookmarkEnd w:id="8"/>
    </w:p>
    <w:p>
      <w:pPr>
        <w:spacing w:line="560" w:lineRule="exact"/>
        <w:ind w:firstLine="1320" w:firstLineChars="300"/>
        <w:jc w:val="both"/>
        <w:outlineLvl w:val="0"/>
        <w:rPr>
          <w:rFonts w:hint="default" w:ascii="方正小标宋_GBK" w:eastAsia="方正小标宋_GBK" w:cs="宋体"/>
          <w:sz w:val="44"/>
          <w:szCs w:val="44"/>
        </w:rPr>
      </w:pPr>
    </w:p>
    <w:p>
      <w:pPr>
        <w:spacing w:line="594" w:lineRule="exact"/>
        <w:ind w:firstLine="640" w:firstLineChars="200"/>
        <w:jc w:val="both"/>
        <w:rPr>
          <w:rFonts w:hint="default" w:ascii="方正黑体_GBK" w:eastAsia="方正黑体_GBK" w:cs="宋体"/>
          <w:bCs/>
          <w:sz w:val="32"/>
          <w:szCs w:val="32"/>
        </w:rPr>
      </w:pPr>
      <w:bookmarkStart w:id="9" w:name="_Toc31238_WPSOffice_Level1"/>
      <w:bookmarkStart w:id="10" w:name="_Toc8704_WPSOffice_Level1"/>
      <w:r>
        <w:rPr>
          <w:rFonts w:ascii="方正黑体_GBK" w:eastAsia="方正黑体_GBK" w:cs="宋体"/>
          <w:bCs/>
          <w:sz w:val="32"/>
          <w:szCs w:val="32"/>
        </w:rPr>
        <w:t>一、单位基本情况</w:t>
      </w:r>
      <w:bookmarkEnd w:id="9"/>
      <w:bookmarkEnd w:id="10"/>
    </w:p>
    <w:p>
      <w:pPr>
        <w:pStyle w:val="49"/>
        <w:tabs>
          <w:tab w:val="center" w:pos="4153"/>
          <w:tab w:val="left" w:pos="7275"/>
        </w:tabs>
        <w:spacing w:line="594" w:lineRule="exact"/>
        <w:ind w:firstLine="640"/>
        <w:rPr>
          <w:rFonts w:eastAsia="方正仿宋_GBK"/>
          <w:sz w:val="32"/>
          <w:szCs w:val="32"/>
        </w:rPr>
      </w:pPr>
      <w:r>
        <w:rPr>
          <w:rFonts w:hint="eastAsia" w:ascii="方正楷体_GBK" w:hAnsi="方正楷体_GBK" w:eastAsia="方正楷体_GBK" w:cs="方正楷体_GBK"/>
          <w:sz w:val="32"/>
          <w:szCs w:val="32"/>
        </w:rPr>
        <w:t>（一）职能职责。</w:t>
      </w:r>
      <w:r>
        <w:rPr>
          <w:rFonts w:eastAsia="方正仿宋_GBK"/>
          <w:sz w:val="32"/>
          <w:szCs w:val="32"/>
        </w:rPr>
        <w:t>管委会职能职责主要包括：一是负责区域范围内（以下简称“区域内”）承担的区委区政府关于经济发展、产业布局及重大项目建设等目标任务的完成；拟订管委会年度工作计划并组织实施。二是负责按照全区城市建设规划、土地利用规划和产业发展规划，拟定区域发展规划并组织实施。三是负责调查研究区域内产业发展中的重大问题，提出政策建议，贯彻落实产业发展优惠政策。四是负责区域内投资促进和对外合作交流工作。五是统筹推进、协调服务区域内重点建设项目。六是负责区域内企业服务、协税护税工作。七是负责渝中总部经济园区的综合协调、服务、监督和管理。八是负责本部门及所属单位国资管理工作。九是完成区政府交办的其他有关事项。</w:t>
      </w:r>
    </w:p>
    <w:p>
      <w:pPr>
        <w:pStyle w:val="49"/>
        <w:tabs>
          <w:tab w:val="center" w:pos="4153"/>
          <w:tab w:val="left" w:pos="7275"/>
        </w:tabs>
        <w:spacing w:line="594" w:lineRule="exact"/>
        <w:ind w:firstLine="640"/>
        <w:rPr>
          <w:rFonts w:eastAsia="方正仿宋_GBK"/>
          <w:color w:val="FF0000"/>
          <w:sz w:val="32"/>
          <w:szCs w:val="32"/>
        </w:rPr>
      </w:pPr>
      <w:r>
        <w:rPr>
          <w:rFonts w:ascii="方正楷体_GBK" w:hAnsi="方正楷体_GBK" w:eastAsia="方正楷体_GBK" w:cs="方正楷体_GBK"/>
          <w:sz w:val="32"/>
          <w:szCs w:val="32"/>
        </w:rPr>
        <w:t>（二）机构设置。</w:t>
      </w:r>
      <w:r>
        <w:rPr>
          <w:rFonts w:eastAsia="方正仿宋_GBK"/>
          <w:sz w:val="32"/>
        </w:rPr>
        <w:t>20</w:t>
      </w:r>
      <w:r>
        <w:rPr>
          <w:rFonts w:hint="eastAsia" w:eastAsia="方正仿宋_GBK"/>
          <w:sz w:val="32"/>
        </w:rPr>
        <w:t>2</w:t>
      </w:r>
      <w:r>
        <w:rPr>
          <w:rFonts w:hint="eastAsia" w:eastAsia="方正仿宋_GBK"/>
          <w:sz w:val="32"/>
          <w:lang w:val="en-US" w:eastAsia="zh-CN"/>
        </w:rPr>
        <w:t>2</w:t>
      </w:r>
      <w:r>
        <w:rPr>
          <w:rFonts w:eastAsia="方正仿宋_GBK"/>
          <w:sz w:val="32"/>
        </w:rPr>
        <w:t>年大石化新区管委会内设办公室、规划建设科、产业发展科</w:t>
      </w:r>
      <w:r>
        <w:rPr>
          <w:rFonts w:eastAsia="方正仿宋_GBK"/>
          <w:kern w:val="0"/>
          <w:sz w:val="32"/>
          <w:szCs w:val="32"/>
        </w:rPr>
        <w:t>（招商投资促进科）</w:t>
      </w:r>
      <w:r>
        <w:rPr>
          <w:rFonts w:eastAsia="方正仿宋_GBK"/>
          <w:sz w:val="32"/>
        </w:rPr>
        <w:t>、企业服务科（楼宇经济科）4个机构，下设1个财政全额拨款事业单位大石化新区企业服务中心。共有行政编制人员</w:t>
      </w:r>
      <w:r>
        <w:rPr>
          <w:rFonts w:hint="eastAsia" w:eastAsia="方正仿宋_GBK"/>
          <w:sz w:val="32"/>
          <w:lang w:val="en-US" w:eastAsia="zh-CN"/>
        </w:rPr>
        <w:t>8</w:t>
      </w:r>
      <w:r>
        <w:rPr>
          <w:rFonts w:eastAsia="方正仿宋_GBK"/>
          <w:sz w:val="32"/>
        </w:rPr>
        <w:t>人</w:t>
      </w:r>
      <w:r>
        <w:rPr>
          <w:rFonts w:eastAsia="方正仿宋_GBK"/>
          <w:color w:val="000000" w:themeColor="text1"/>
          <w:sz w:val="32"/>
        </w:rPr>
        <w:t>。</w:t>
      </w:r>
    </w:p>
    <w:p>
      <w:pPr>
        <w:spacing w:line="594" w:lineRule="exact"/>
        <w:ind w:firstLine="640" w:firstLineChars="200"/>
        <w:jc w:val="both"/>
        <w:rPr>
          <w:rFonts w:hint="default" w:ascii="Times New Roman" w:hAnsi="Times New Roman" w:eastAsia="方正仿宋_GBK"/>
          <w:sz w:val="32"/>
        </w:rPr>
      </w:pPr>
      <w:bookmarkStart w:id="11" w:name="_Toc5904_WPSOffice_Level1"/>
      <w:bookmarkStart w:id="12" w:name="_Toc6952_WPSOffice_Level1"/>
      <w:r>
        <w:rPr>
          <w:rFonts w:hint="default" w:ascii="方正楷体_GBK" w:hAnsi="方正楷体_GBK" w:eastAsia="方正楷体_GBK" w:cs="方正楷体_GBK"/>
          <w:kern w:val="2"/>
          <w:sz w:val="32"/>
          <w:szCs w:val="32"/>
        </w:rPr>
        <w:t>（三）</w:t>
      </w:r>
      <w:r>
        <w:rPr>
          <w:rFonts w:ascii="方正楷体_GBK" w:hAnsi="方正楷体_GBK" w:eastAsia="方正楷体_GBK" w:cs="方正楷体_GBK"/>
          <w:kern w:val="2"/>
          <w:sz w:val="32"/>
          <w:szCs w:val="32"/>
        </w:rPr>
        <w:t>单位构成</w:t>
      </w:r>
      <w:r>
        <w:rPr>
          <w:rFonts w:hint="default" w:ascii="方正楷体_GBK" w:hAnsi="方正楷体_GBK" w:eastAsia="方正楷体_GBK" w:cs="方正楷体_GBK"/>
          <w:kern w:val="2"/>
          <w:sz w:val="32"/>
          <w:szCs w:val="32"/>
        </w:rPr>
        <w:t>。</w:t>
      </w:r>
      <w:r>
        <w:rPr>
          <w:rFonts w:hint="default" w:ascii="Times New Roman" w:hAnsi="Times New Roman" w:eastAsia="方正仿宋_GBK"/>
          <w:color w:val="000000" w:themeColor="text1"/>
          <w:spacing w:val="-3"/>
          <w:sz w:val="32"/>
          <w:szCs w:val="32"/>
        </w:rPr>
        <w:t>本</w:t>
      </w:r>
      <w:r>
        <w:rPr>
          <w:rFonts w:hint="eastAsia" w:ascii="Times New Roman" w:hAnsi="Times New Roman" w:eastAsia="方正仿宋_GBK"/>
          <w:color w:val="000000" w:themeColor="text1"/>
          <w:spacing w:val="-3"/>
          <w:sz w:val="32"/>
          <w:szCs w:val="32"/>
          <w:lang w:val="en-US" w:eastAsia="zh-CN"/>
        </w:rPr>
        <w:t>部门</w:t>
      </w:r>
      <w:r>
        <w:rPr>
          <w:rFonts w:hint="default" w:ascii="Times New Roman" w:hAnsi="Times New Roman" w:eastAsia="方正仿宋_GBK"/>
          <w:color w:val="000000" w:themeColor="text1"/>
          <w:spacing w:val="-3"/>
          <w:sz w:val="32"/>
          <w:szCs w:val="32"/>
        </w:rPr>
        <w:t>决算公开数据</w:t>
      </w:r>
      <w:r>
        <w:rPr>
          <w:rFonts w:hint="eastAsia" w:ascii="Times New Roman" w:hAnsi="Times New Roman" w:eastAsia="方正仿宋_GBK"/>
          <w:color w:val="000000" w:themeColor="text1"/>
          <w:spacing w:val="-3"/>
          <w:sz w:val="32"/>
          <w:szCs w:val="32"/>
          <w:lang w:val="en-US" w:eastAsia="zh-CN"/>
        </w:rPr>
        <w:t>不</w:t>
      </w:r>
      <w:r>
        <w:rPr>
          <w:rFonts w:hint="default" w:ascii="Times New Roman" w:hAnsi="Times New Roman" w:eastAsia="方正仿宋_GBK"/>
          <w:color w:val="000000" w:themeColor="text1"/>
          <w:spacing w:val="-3"/>
          <w:sz w:val="32"/>
          <w:szCs w:val="32"/>
        </w:rPr>
        <w:t>含下属事业单位大石化新区企业服务中心</w:t>
      </w:r>
      <w:r>
        <w:rPr>
          <w:rFonts w:ascii="Times New Roman" w:hAnsi="Times New Roman" w:eastAsia="方正仿宋_GBK"/>
          <w:color w:val="000000" w:themeColor="text1"/>
          <w:spacing w:val="-3"/>
          <w:sz w:val="32"/>
          <w:szCs w:val="32"/>
        </w:rPr>
        <w:t>。</w:t>
      </w:r>
    </w:p>
    <w:p>
      <w:pPr>
        <w:spacing w:line="594" w:lineRule="exact"/>
        <w:ind w:firstLine="640" w:firstLineChars="200"/>
        <w:jc w:val="both"/>
        <w:rPr>
          <w:rFonts w:hint="default" w:ascii="Times New Roman" w:hAnsi="Times New Roman" w:eastAsia="方正仿宋_GBK"/>
          <w:sz w:val="32"/>
        </w:rPr>
      </w:pPr>
      <w:r>
        <w:rPr>
          <w:rFonts w:hint="default" w:ascii="方正楷体_GBK" w:hAnsi="方正楷体_GBK" w:eastAsia="方正楷体_GBK" w:cs="方正楷体_GBK"/>
          <w:kern w:val="2"/>
          <w:sz w:val="32"/>
          <w:szCs w:val="32"/>
        </w:rPr>
        <w:t>（四）机构改革情况。</w:t>
      </w:r>
      <w:r>
        <w:rPr>
          <w:rFonts w:hint="default" w:ascii="Times New Roman" w:hAnsi="Times New Roman" w:eastAsia="方正仿宋_GBK"/>
          <w:sz w:val="32"/>
        </w:rPr>
        <w:t>20</w:t>
      </w:r>
      <w:r>
        <w:rPr>
          <w:rFonts w:ascii="Times New Roman" w:hAnsi="Times New Roman" w:eastAsia="方正仿宋_GBK"/>
          <w:sz w:val="32"/>
        </w:rPr>
        <w:t>2</w:t>
      </w:r>
      <w:r>
        <w:rPr>
          <w:rFonts w:hint="eastAsia" w:ascii="Times New Roman" w:hAnsi="Times New Roman" w:eastAsia="方正仿宋_GBK"/>
          <w:sz w:val="32"/>
          <w:lang w:val="en-US" w:eastAsia="zh-CN"/>
        </w:rPr>
        <w:t>2</w:t>
      </w:r>
      <w:r>
        <w:rPr>
          <w:rFonts w:hint="default" w:ascii="Times New Roman" w:hAnsi="Times New Roman" w:eastAsia="方正仿宋_GBK"/>
          <w:sz w:val="32"/>
        </w:rPr>
        <w:t>年度</w:t>
      </w:r>
      <w:r>
        <w:rPr>
          <w:rFonts w:ascii="Times New Roman" w:hAnsi="Times New Roman" w:eastAsia="方正仿宋_GBK"/>
          <w:sz w:val="32"/>
        </w:rPr>
        <w:t>本部门</w:t>
      </w:r>
      <w:r>
        <w:rPr>
          <w:rFonts w:hint="default" w:ascii="Times New Roman" w:hAnsi="Times New Roman" w:eastAsia="方正仿宋_GBK"/>
          <w:sz w:val="32"/>
        </w:rPr>
        <w:t>不涉及机构改革。</w:t>
      </w:r>
    </w:p>
    <w:p>
      <w:pPr>
        <w:spacing w:line="594" w:lineRule="exact"/>
        <w:ind w:firstLine="640" w:firstLineChars="200"/>
        <w:jc w:val="both"/>
        <w:rPr>
          <w:rFonts w:hint="default"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二、部门决算情况说明</w:t>
      </w:r>
      <w:bookmarkEnd w:id="11"/>
      <w:bookmarkEnd w:id="12"/>
    </w:p>
    <w:p>
      <w:pPr>
        <w:spacing w:line="594" w:lineRule="exact"/>
        <w:ind w:firstLine="640" w:firstLineChars="200"/>
        <w:jc w:val="both"/>
        <w:rPr>
          <w:rFonts w:hint="default" w:ascii="方正楷体_GBK" w:hAnsi="方正楷体_GBK" w:eastAsia="方正楷体_GBK" w:cs="方正楷体_GBK"/>
          <w:kern w:val="2"/>
          <w:sz w:val="32"/>
          <w:szCs w:val="32"/>
        </w:rPr>
      </w:pPr>
      <w:r>
        <w:rPr>
          <w:rFonts w:ascii="方正楷体_GBK" w:hAnsi="方正楷体_GBK" w:eastAsia="方正楷体_GBK" w:cs="方正楷体_GBK"/>
          <w:kern w:val="2"/>
          <w:sz w:val="32"/>
          <w:szCs w:val="32"/>
        </w:rPr>
        <w:t>（一）收入支出决算总体情况说明</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1.总体情况。</w:t>
      </w:r>
      <w:r>
        <w:rPr>
          <w:rFonts w:hint="default" w:ascii="Times New Roman" w:hAnsi="Times New Roman" w:eastAsia="方正仿宋_GBK"/>
          <w:color w:val="000000" w:themeColor="text1"/>
          <w:sz w:val="32"/>
          <w:szCs w:val="32"/>
        </w:rPr>
        <w:t>20</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年度收入总计</w:t>
      </w:r>
      <w:r>
        <w:rPr>
          <w:rFonts w:hint="eastAsia" w:ascii="Times New Roman" w:hAnsi="Times New Roman" w:eastAsia="方正仿宋_GBK"/>
          <w:color w:val="000000" w:themeColor="text1"/>
          <w:sz w:val="32"/>
          <w:szCs w:val="32"/>
          <w:lang w:val="en-US" w:eastAsia="zh-CN"/>
        </w:rPr>
        <w:t>5059.54</w:t>
      </w:r>
      <w:r>
        <w:rPr>
          <w:rFonts w:hint="default" w:ascii="Times New Roman" w:hAnsi="Times New Roman" w:eastAsia="方正仿宋_GBK"/>
          <w:color w:val="000000" w:themeColor="text1"/>
          <w:sz w:val="32"/>
          <w:szCs w:val="32"/>
        </w:rPr>
        <w:t>万元，支</w:t>
      </w:r>
      <w:r>
        <w:rPr>
          <w:rFonts w:hint="eastAsia" w:ascii="Times New Roman" w:hAnsi="Times New Roman" w:eastAsia="方正仿宋_GBK"/>
          <w:color w:val="000000" w:themeColor="text1"/>
          <w:sz w:val="32"/>
          <w:szCs w:val="32"/>
          <w:lang w:val="en-US" w:eastAsia="zh-CN"/>
        </w:rPr>
        <w:t>出</w:t>
      </w:r>
      <w:r>
        <w:rPr>
          <w:rFonts w:hint="default" w:ascii="Times New Roman" w:hAnsi="Times New Roman" w:eastAsia="方正仿宋_GBK"/>
          <w:color w:val="000000" w:themeColor="text1"/>
          <w:sz w:val="32"/>
          <w:szCs w:val="32"/>
        </w:rPr>
        <w:t>总计</w:t>
      </w:r>
      <w:r>
        <w:rPr>
          <w:rFonts w:hint="eastAsia" w:ascii="Times New Roman" w:hAnsi="Times New Roman" w:eastAsia="方正仿宋_GBK"/>
          <w:color w:val="000000" w:themeColor="text1"/>
          <w:sz w:val="32"/>
          <w:szCs w:val="32"/>
          <w:lang w:val="en-US" w:eastAsia="zh-CN"/>
        </w:rPr>
        <w:t>5059.54</w:t>
      </w:r>
      <w:r>
        <w:rPr>
          <w:rFonts w:hint="default" w:ascii="Times New Roman" w:hAnsi="Times New Roman" w:eastAsia="方正仿宋_GBK"/>
          <w:color w:val="000000" w:themeColor="text1"/>
          <w:sz w:val="32"/>
          <w:szCs w:val="32"/>
        </w:rPr>
        <w:t>万元。收支较上年决算数相比</w:t>
      </w:r>
      <w:r>
        <w:rPr>
          <w:rFonts w:hint="eastAsia" w:ascii="Times New Roman" w:hAnsi="Times New Roman" w:eastAsia="方正仿宋_GBK"/>
          <w:color w:val="000000" w:themeColor="text1"/>
          <w:sz w:val="32"/>
          <w:szCs w:val="32"/>
          <w:lang w:val="en-US" w:eastAsia="zh-CN"/>
        </w:rPr>
        <w:t>增加440.22</w:t>
      </w:r>
      <w:r>
        <w:rPr>
          <w:rFonts w:hint="default" w:ascii="Times New Roman" w:hAnsi="Times New Roman" w:eastAsia="方正仿宋_GBK"/>
          <w:color w:val="000000" w:themeColor="text1"/>
          <w:sz w:val="32"/>
          <w:szCs w:val="32"/>
        </w:rPr>
        <w:t>万元，</w:t>
      </w:r>
      <w:r>
        <w:rPr>
          <w:rFonts w:hint="eastAsia" w:ascii="Times New Roman" w:hAnsi="Times New Roman" w:eastAsia="方正仿宋_GBK"/>
          <w:color w:val="000000" w:themeColor="text1"/>
          <w:sz w:val="32"/>
          <w:szCs w:val="32"/>
          <w:lang w:val="en-US" w:eastAsia="zh-CN"/>
        </w:rPr>
        <w:t>增长18.6</w:t>
      </w:r>
      <w:r>
        <w:rPr>
          <w:rFonts w:hint="default" w:ascii="Times New Roman" w:hAnsi="Times New Roman" w:eastAsia="方正仿宋_GBK"/>
          <w:color w:val="000000" w:themeColor="text1"/>
          <w:sz w:val="32"/>
          <w:szCs w:val="32"/>
        </w:rPr>
        <w:t>%，主要原因是202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年增加</w:t>
      </w:r>
      <w:r>
        <w:rPr>
          <w:rFonts w:hint="eastAsia" w:ascii="Times New Roman" w:hAnsi="Times New Roman" w:eastAsia="方正仿宋_GBK"/>
          <w:color w:val="000000" w:themeColor="text1"/>
          <w:sz w:val="32"/>
          <w:szCs w:val="32"/>
          <w:lang w:val="en-US" w:eastAsia="zh-CN"/>
        </w:rPr>
        <w:t>了信创服务平台专项债项目</w:t>
      </w:r>
      <w:r>
        <w:rPr>
          <w:color w:val="000000" w:themeColor="text1"/>
          <w:szCs w:val="32"/>
        </w:rPr>
        <w:t>。</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2.收入情况。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年度收入合计</w:t>
      </w:r>
      <w:r>
        <w:rPr>
          <w:rFonts w:hint="eastAsia" w:ascii="Times New Roman" w:hAnsi="Times New Roman" w:eastAsia="方正仿宋_GBK"/>
          <w:color w:val="000000" w:themeColor="text1"/>
          <w:sz w:val="32"/>
          <w:szCs w:val="32"/>
          <w:lang w:val="en-US" w:eastAsia="zh-CN"/>
        </w:rPr>
        <w:t>5059.11</w:t>
      </w:r>
      <w:r>
        <w:rPr>
          <w:rFonts w:hint="default" w:ascii="Times New Roman" w:hAnsi="Times New Roman" w:eastAsia="方正仿宋_GBK"/>
          <w:color w:val="000000" w:themeColor="text1"/>
          <w:sz w:val="32"/>
          <w:szCs w:val="32"/>
        </w:rPr>
        <w:t>万元</w:t>
      </w:r>
      <w:r>
        <w:rPr>
          <w:rFonts w:hint="default" w:ascii="Times New Roman" w:hAnsi="Times New Roman" w:eastAsia="方正仿宋_GBK"/>
          <w:color w:val="000000" w:themeColor="text1"/>
          <w:spacing w:val="-3"/>
          <w:sz w:val="32"/>
          <w:szCs w:val="32"/>
        </w:rPr>
        <w:t>，较上年决算</w:t>
      </w:r>
      <w:r>
        <w:rPr>
          <w:rFonts w:hint="eastAsia" w:ascii="Times New Roman" w:hAnsi="Times New Roman" w:eastAsia="方正仿宋_GBK"/>
          <w:color w:val="000000" w:themeColor="text1"/>
          <w:spacing w:val="-3"/>
          <w:sz w:val="32"/>
          <w:szCs w:val="32"/>
          <w:lang w:val="en-US" w:eastAsia="zh-CN"/>
        </w:rPr>
        <w:t>数增加791.99</w:t>
      </w:r>
      <w:r>
        <w:rPr>
          <w:rFonts w:hint="default" w:ascii="Times New Roman" w:hAnsi="Times New Roman" w:eastAsia="方正仿宋_GBK"/>
          <w:color w:val="000000" w:themeColor="text1"/>
          <w:spacing w:val="-3"/>
          <w:sz w:val="32"/>
          <w:szCs w:val="32"/>
        </w:rPr>
        <w:t>万元，</w:t>
      </w:r>
      <w:r>
        <w:rPr>
          <w:rFonts w:hint="eastAsia" w:ascii="Times New Roman" w:hAnsi="Times New Roman" w:eastAsia="方正仿宋_GBK"/>
          <w:color w:val="000000" w:themeColor="text1"/>
          <w:spacing w:val="-3"/>
          <w:sz w:val="32"/>
          <w:szCs w:val="32"/>
          <w:lang w:val="en-US" w:eastAsia="zh-CN"/>
        </w:rPr>
        <w:t>增长18.6</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年增加</w:t>
      </w:r>
      <w:r>
        <w:rPr>
          <w:rFonts w:hint="eastAsia" w:ascii="Times New Roman" w:hAnsi="Times New Roman" w:eastAsia="方正仿宋_GBK"/>
          <w:color w:val="000000" w:themeColor="text1"/>
          <w:sz w:val="32"/>
          <w:szCs w:val="32"/>
          <w:lang w:val="en-US" w:eastAsia="zh-CN"/>
        </w:rPr>
        <w:t>了信创服务平台专项债项目</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其中：财政拨款收入</w:t>
      </w:r>
      <w:r>
        <w:rPr>
          <w:rFonts w:hint="eastAsia" w:ascii="Times New Roman" w:hAnsi="Times New Roman" w:eastAsia="方正仿宋_GBK"/>
          <w:color w:val="000000" w:themeColor="text1"/>
          <w:sz w:val="32"/>
          <w:szCs w:val="32"/>
          <w:lang w:val="en-US" w:eastAsia="zh-CN"/>
        </w:rPr>
        <w:t>5059.11</w:t>
      </w:r>
      <w:r>
        <w:rPr>
          <w:rFonts w:hint="default" w:ascii="Times New Roman" w:hAnsi="Times New Roman" w:eastAsia="方正仿宋_GBK"/>
          <w:color w:val="000000" w:themeColor="text1"/>
          <w:sz w:val="32"/>
          <w:szCs w:val="32"/>
        </w:rPr>
        <w:t>万元，占100.0%。此外，年初结转和结余0.43万元。</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3.支出情况。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年度支出合计</w:t>
      </w:r>
      <w:r>
        <w:rPr>
          <w:rFonts w:hint="eastAsia" w:ascii="Times New Roman" w:hAnsi="Times New Roman" w:eastAsia="方正仿宋_GBK"/>
          <w:color w:val="000000" w:themeColor="text1"/>
          <w:sz w:val="32"/>
          <w:szCs w:val="32"/>
          <w:lang w:val="en-US" w:eastAsia="zh-CN"/>
        </w:rPr>
        <w:t>5059.11</w:t>
      </w:r>
      <w:r>
        <w:rPr>
          <w:rFonts w:hint="default" w:ascii="Times New Roman" w:hAnsi="Times New Roman" w:eastAsia="方正仿宋_GBK"/>
          <w:color w:val="000000" w:themeColor="text1"/>
          <w:sz w:val="32"/>
          <w:szCs w:val="32"/>
        </w:rPr>
        <w:t>万元</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较上年决算数相比</w:t>
      </w:r>
      <w:r>
        <w:rPr>
          <w:rFonts w:hint="eastAsia" w:ascii="Times New Roman" w:hAnsi="Times New Roman" w:eastAsia="方正仿宋_GBK"/>
          <w:color w:val="000000" w:themeColor="text1"/>
          <w:spacing w:val="-3"/>
          <w:sz w:val="32"/>
          <w:szCs w:val="32"/>
          <w:lang w:val="en-US" w:eastAsia="zh-CN"/>
        </w:rPr>
        <w:t>增加791.99</w:t>
      </w:r>
      <w:r>
        <w:rPr>
          <w:rFonts w:hint="default" w:ascii="Times New Roman" w:hAnsi="Times New Roman" w:eastAsia="方正仿宋_GBK"/>
          <w:color w:val="000000" w:themeColor="text1"/>
          <w:spacing w:val="-3"/>
          <w:sz w:val="32"/>
          <w:szCs w:val="32"/>
        </w:rPr>
        <w:t>万元，</w:t>
      </w:r>
      <w:r>
        <w:rPr>
          <w:rFonts w:hint="eastAsia" w:ascii="Times New Roman" w:hAnsi="Times New Roman" w:eastAsia="方正仿宋_GBK"/>
          <w:color w:val="000000" w:themeColor="text1"/>
          <w:spacing w:val="-3"/>
          <w:sz w:val="32"/>
          <w:szCs w:val="32"/>
          <w:lang w:val="en-US" w:eastAsia="zh-CN"/>
        </w:rPr>
        <w:t>增长18.6</w:t>
      </w:r>
      <w:r>
        <w:rPr>
          <w:rFonts w:hint="default" w:ascii="Times New Roman" w:hAnsi="Times New Roman" w:eastAsia="方正仿宋_GBK"/>
          <w:color w:val="000000" w:themeColor="text1"/>
          <w:spacing w:val="-3"/>
          <w:sz w:val="32"/>
          <w:szCs w:val="32"/>
        </w:rPr>
        <w:t>%，</w:t>
      </w:r>
      <w:r>
        <w:rPr>
          <w:rFonts w:hint="default" w:ascii="Times New Roman" w:hAnsi="Times New Roman" w:eastAsia="方正仿宋_GBK"/>
          <w:color w:val="000000" w:themeColor="text1"/>
          <w:sz w:val="32"/>
          <w:szCs w:val="32"/>
        </w:rPr>
        <w:t>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年增加</w:t>
      </w:r>
      <w:r>
        <w:rPr>
          <w:rFonts w:hint="eastAsia" w:ascii="Times New Roman" w:hAnsi="Times New Roman" w:eastAsia="方正仿宋_GBK"/>
          <w:color w:val="000000" w:themeColor="text1"/>
          <w:sz w:val="32"/>
          <w:szCs w:val="32"/>
          <w:lang w:val="en-US" w:eastAsia="zh-CN"/>
        </w:rPr>
        <w:t>了信创服务平台专项债项目</w:t>
      </w:r>
      <w:r>
        <w:rPr>
          <w:rFonts w:hint="default" w:ascii="Times New Roman" w:hAnsi="Times New Roman" w:eastAsia="方正仿宋_GBK"/>
          <w:color w:val="000000" w:themeColor="text1"/>
          <w:sz w:val="32"/>
          <w:szCs w:val="32"/>
        </w:rPr>
        <w:t>。其中：基本支出</w:t>
      </w:r>
      <w:r>
        <w:rPr>
          <w:rFonts w:hint="eastAsia" w:ascii="Times New Roman" w:hAnsi="Times New Roman" w:eastAsia="方正仿宋_GBK"/>
          <w:color w:val="000000" w:themeColor="text1"/>
          <w:sz w:val="32"/>
          <w:szCs w:val="32"/>
          <w:lang w:val="en-US" w:eastAsia="zh-CN"/>
        </w:rPr>
        <w:t>216</w:t>
      </w:r>
      <w:r>
        <w:rPr>
          <w:rFonts w:hint="default" w:ascii="Times New Roman" w:hAnsi="Times New Roman" w:eastAsia="方正仿宋_GBK"/>
          <w:color w:val="000000" w:themeColor="text1"/>
          <w:sz w:val="32"/>
          <w:szCs w:val="32"/>
        </w:rPr>
        <w:t>万元，占</w:t>
      </w:r>
      <w:r>
        <w:rPr>
          <w:rFonts w:hint="eastAsia" w:ascii="Times New Roman" w:hAnsi="Times New Roman" w:eastAsia="方正仿宋_GBK"/>
          <w:color w:val="000000" w:themeColor="text1"/>
          <w:sz w:val="32"/>
          <w:szCs w:val="32"/>
          <w:lang w:val="en-US" w:eastAsia="zh-CN"/>
        </w:rPr>
        <w:t>4.3</w:t>
      </w:r>
      <w:r>
        <w:rPr>
          <w:rFonts w:hint="default" w:ascii="Times New Roman" w:hAnsi="Times New Roman" w:eastAsia="方正仿宋_GBK"/>
          <w:color w:val="000000" w:themeColor="text1"/>
          <w:sz w:val="32"/>
          <w:szCs w:val="32"/>
        </w:rPr>
        <w:t>%；项目支出</w:t>
      </w:r>
      <w:r>
        <w:rPr>
          <w:rFonts w:hint="eastAsia" w:ascii="Times New Roman" w:hAnsi="Times New Roman" w:eastAsia="方正仿宋_GBK"/>
          <w:color w:val="000000" w:themeColor="text1"/>
          <w:sz w:val="32"/>
          <w:szCs w:val="32"/>
          <w:lang w:val="en-US" w:eastAsia="zh-CN"/>
        </w:rPr>
        <w:t>4843.11</w:t>
      </w:r>
      <w:r>
        <w:rPr>
          <w:rFonts w:hint="default" w:ascii="Times New Roman" w:hAnsi="Times New Roman" w:eastAsia="方正仿宋_GBK"/>
          <w:color w:val="000000" w:themeColor="text1"/>
          <w:sz w:val="32"/>
          <w:szCs w:val="32"/>
        </w:rPr>
        <w:t>万元，占9</w:t>
      </w:r>
      <w:r>
        <w:rPr>
          <w:rFonts w:hint="eastAsia" w:ascii="Times New Roman" w:hAnsi="Times New Roman" w:eastAsia="方正仿宋_GBK"/>
          <w:color w:val="000000" w:themeColor="text1"/>
          <w:sz w:val="32"/>
          <w:szCs w:val="32"/>
          <w:lang w:val="en-US" w:eastAsia="zh-CN"/>
        </w:rPr>
        <w:t>5.7</w:t>
      </w:r>
      <w:r>
        <w:rPr>
          <w:rFonts w:hint="default" w:ascii="Times New Roman" w:hAnsi="Times New Roman" w:eastAsia="方正仿宋_GBK"/>
          <w:color w:val="000000" w:themeColor="text1"/>
          <w:sz w:val="32"/>
          <w:szCs w:val="32"/>
        </w:rPr>
        <w:t>%。</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4.结转结余情况。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度年末结转和结余0.4</w:t>
      </w:r>
      <w:r>
        <w:rPr>
          <w:rFonts w:hint="eastAsia" w:ascii="Times New Roman" w:hAnsi="Times New Roman" w:eastAsia="方正仿宋_GBK"/>
          <w:color w:val="000000" w:themeColor="text1"/>
          <w:sz w:val="32"/>
          <w:szCs w:val="32"/>
          <w:lang w:val="en-US" w:eastAsia="zh-CN"/>
        </w:rPr>
        <w:t>3</w:t>
      </w:r>
      <w:r>
        <w:rPr>
          <w:rFonts w:hint="default" w:ascii="Times New Roman" w:hAnsi="Times New Roman" w:eastAsia="方正仿宋_GBK"/>
          <w:color w:val="000000" w:themeColor="text1"/>
          <w:sz w:val="32"/>
          <w:szCs w:val="32"/>
        </w:rPr>
        <w:t>万元，</w:t>
      </w:r>
      <w:r>
        <w:rPr>
          <w:rFonts w:hint="eastAsia" w:ascii="Times New Roman" w:hAnsi="Times New Roman" w:eastAsia="方正仿宋_GBK"/>
          <w:color w:val="000000" w:themeColor="text1"/>
          <w:sz w:val="32"/>
          <w:szCs w:val="32"/>
          <w:lang w:val="en-US" w:eastAsia="zh-CN"/>
        </w:rPr>
        <w:t>与上年持平</w:t>
      </w:r>
      <w:r>
        <w:rPr>
          <w:rFonts w:hint="default" w:ascii="Times New Roman" w:hAnsi="Times New Roman" w:eastAsia="方正仿宋_GBK"/>
          <w:color w:val="000000" w:themeColor="text1"/>
          <w:sz w:val="32"/>
          <w:szCs w:val="32"/>
        </w:rPr>
        <w:t>。</w:t>
      </w:r>
    </w:p>
    <w:p>
      <w:pPr>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（二）财政拨款收入支出决算总体情况说明</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eastAsia" w:ascii="Times New Roman" w:hAnsi="Times New Roman" w:eastAsia="方正仿宋_GBK"/>
          <w:color w:val="000000" w:themeColor="text1"/>
          <w:sz w:val="32"/>
          <w:szCs w:val="32"/>
          <w:lang w:val="en-US" w:eastAsia="zh-CN"/>
        </w:rPr>
        <w:t>2022年度财政拨款收、支总计5,059.54万元。与2021年相比，财政拨款收、支总计各增加791.99万元，增长18.6%。</w:t>
      </w:r>
      <w:r>
        <w:rPr>
          <w:rFonts w:hint="default" w:ascii="Times New Roman" w:hAnsi="Times New Roman" w:eastAsia="方正仿宋_GBK"/>
          <w:color w:val="000000" w:themeColor="text1"/>
          <w:sz w:val="32"/>
          <w:szCs w:val="32"/>
          <w:lang w:val="en-US" w:eastAsia="zh-CN"/>
        </w:rPr>
        <w:t>。主要原因是202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lang w:val="en-US" w:eastAsia="zh-CN"/>
        </w:rPr>
        <w:t>年增加</w:t>
      </w:r>
      <w:r>
        <w:rPr>
          <w:rFonts w:hint="eastAsia" w:ascii="Times New Roman" w:hAnsi="Times New Roman" w:eastAsia="方正仿宋_GBK"/>
          <w:color w:val="000000" w:themeColor="text1"/>
          <w:sz w:val="32"/>
          <w:szCs w:val="32"/>
          <w:lang w:val="en-US" w:eastAsia="zh-CN"/>
        </w:rPr>
        <w:t>了信创服务平台专项债项目</w:t>
      </w:r>
      <w:r>
        <w:rPr>
          <w:rFonts w:hint="default" w:ascii="Times New Roman" w:hAnsi="Times New Roman" w:eastAsia="方正仿宋_GBK"/>
          <w:color w:val="000000" w:themeColor="text1"/>
          <w:sz w:val="32"/>
          <w:szCs w:val="32"/>
          <w:lang w:val="en-US" w:eastAsia="zh-CN"/>
        </w:rPr>
        <w:t>。</w:t>
      </w:r>
    </w:p>
    <w:p>
      <w:pPr>
        <w:spacing w:line="594" w:lineRule="exact"/>
        <w:ind w:firstLine="640" w:firstLineChars="200"/>
        <w:jc w:val="both"/>
        <w:rPr>
          <w:rFonts w:hint="default" w:ascii="Times New Roman" w:hAnsi="Times New Roman" w:eastAsia="方正仿宋_GBK"/>
          <w:color w:val="000000" w:themeColor="text1"/>
          <w:sz w:val="32"/>
          <w:szCs w:val="32"/>
          <w:lang w:val="en-US" w:eastAsia="zh-CN"/>
        </w:rPr>
      </w:pPr>
      <w:r>
        <w:rPr>
          <w:rFonts w:hint="default" w:ascii="Times New Roman" w:hAnsi="Times New Roman" w:eastAsia="方正仿宋_GBK"/>
          <w:color w:val="000000" w:themeColor="text1"/>
          <w:sz w:val="32"/>
          <w:szCs w:val="32"/>
          <w:lang w:val="en-US" w:eastAsia="zh-CN"/>
        </w:rPr>
        <w:t>（三）一般公共预算财政拨款支出决算情况说明</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1.收入情况。</w:t>
      </w:r>
      <w:r>
        <w:rPr>
          <w:rFonts w:hint="default" w:ascii="Times New Roman" w:hAnsi="Times New Roman" w:eastAsia="方正仿宋_GBK"/>
          <w:color w:val="000000" w:themeColor="text1"/>
          <w:sz w:val="32"/>
          <w:szCs w:val="32"/>
        </w:rPr>
        <w:t>2022年度一般公共预算财政拨款收入1,759.11万元，较上年决算数减少2,508.01万元，下降58.8%。</w:t>
      </w:r>
      <w:r>
        <w:rPr>
          <w:rFonts w:hint="eastAsia" w:ascii="Times New Roman" w:hAnsi="Times New Roman" w:eastAsia="方正仿宋_GBK"/>
          <w:color w:val="000000" w:themeColor="text1"/>
          <w:sz w:val="32"/>
          <w:szCs w:val="32"/>
          <w:lang w:val="en-US" w:eastAsia="zh-CN"/>
        </w:rPr>
        <w:t>主要原因是2022年对企业的补贴减少</w:t>
      </w:r>
      <w:r>
        <w:rPr>
          <w:rFonts w:hint="default" w:ascii="Times New Roman" w:hAnsi="Times New Roman" w:eastAsia="方正仿宋_GBK"/>
          <w:color w:val="000000" w:themeColor="text1"/>
          <w:sz w:val="32"/>
          <w:szCs w:val="32"/>
        </w:rPr>
        <w:t>。较年初预算数增加226.39万元，增长14.8%。主要原因是主要原因是202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w:t>
      </w:r>
      <w:r>
        <w:rPr>
          <w:rFonts w:hint="eastAsia" w:ascii="Times New Roman" w:hAnsi="Times New Roman" w:eastAsia="方正仿宋_GBK"/>
          <w:color w:val="000000" w:themeColor="text1"/>
          <w:sz w:val="32"/>
          <w:szCs w:val="32"/>
          <w:lang w:val="en-US" w:eastAsia="zh-CN"/>
        </w:rPr>
        <w:t>国家级区块链发展先行示范区等项目是跨年项目，部分资金将于次年支出</w:t>
      </w:r>
      <w:r>
        <w:rPr>
          <w:rFonts w:hint="default" w:ascii="Times New Roman" w:hAnsi="Times New Roman" w:eastAsia="方正仿宋_GBK"/>
          <w:color w:val="000000" w:themeColor="text1"/>
          <w:sz w:val="32"/>
          <w:szCs w:val="32"/>
        </w:rPr>
        <w:t>。此外，年初财政拨款结转和结余0.</w:t>
      </w:r>
      <w:r>
        <w:rPr>
          <w:rFonts w:hint="eastAsia" w:ascii="Times New Roman" w:hAnsi="Times New Roman" w:eastAsia="方正仿宋_GBK"/>
          <w:color w:val="000000" w:themeColor="text1"/>
          <w:sz w:val="32"/>
          <w:szCs w:val="32"/>
          <w:lang w:val="en-US" w:eastAsia="zh-CN"/>
        </w:rPr>
        <w:t>43</w:t>
      </w:r>
      <w:r>
        <w:rPr>
          <w:rFonts w:hint="default" w:ascii="Times New Roman" w:hAnsi="Times New Roman" w:eastAsia="方正仿宋_GBK"/>
          <w:color w:val="000000" w:themeColor="text1"/>
          <w:sz w:val="32"/>
          <w:szCs w:val="32"/>
        </w:rPr>
        <w:t>万元。</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2.支出情况。</w:t>
      </w:r>
      <w:r>
        <w:rPr>
          <w:rFonts w:hint="default" w:ascii="Times New Roman" w:hAnsi="Times New Roman" w:eastAsia="方正仿宋_GBK"/>
          <w:color w:val="000000" w:themeColor="text1"/>
          <w:sz w:val="32"/>
          <w:szCs w:val="32"/>
          <w:lang w:val="en-US" w:eastAsia="zh-CN"/>
        </w:rPr>
        <w:t>2022年度一般公共预算财政拨款支出1,759.11万元，较上年决算数减少2,508.01万元，下降58.8%。</w:t>
      </w:r>
      <w:r>
        <w:rPr>
          <w:rFonts w:hint="eastAsia" w:ascii="Times New Roman" w:hAnsi="Times New Roman" w:eastAsia="方正仿宋_GBK"/>
          <w:color w:val="000000" w:themeColor="text1"/>
          <w:sz w:val="32"/>
          <w:szCs w:val="32"/>
          <w:lang w:val="en-US" w:eastAsia="zh-CN"/>
        </w:rPr>
        <w:t>主要原因是2022年对企业的补贴减少。</w:t>
      </w:r>
      <w:r>
        <w:rPr>
          <w:rFonts w:hint="default" w:ascii="Times New Roman" w:hAnsi="Times New Roman" w:eastAsia="方正仿宋_GBK"/>
          <w:color w:val="000000" w:themeColor="text1"/>
          <w:sz w:val="32"/>
          <w:szCs w:val="32"/>
          <w:lang w:val="en-US" w:eastAsia="zh-CN"/>
        </w:rPr>
        <w:t>较年初预算数减少175.64万元，下降9.1%。主要原因是202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lang w:val="en-US" w:eastAsia="zh-CN"/>
        </w:rPr>
        <w:t>年</w:t>
      </w:r>
      <w:r>
        <w:rPr>
          <w:rFonts w:hint="eastAsia" w:ascii="Times New Roman" w:hAnsi="Times New Roman" w:eastAsia="方正仿宋_GBK"/>
          <w:color w:val="000000" w:themeColor="text1"/>
          <w:sz w:val="32"/>
          <w:szCs w:val="32"/>
          <w:lang w:val="en-US" w:eastAsia="zh-CN"/>
        </w:rPr>
        <w:t>国家级区块链发展先行示范区等项目是跨年项目，部分资金将于次年支出</w:t>
      </w:r>
      <w:r>
        <w:rPr>
          <w:rFonts w:hint="default" w:ascii="Times New Roman" w:hAnsi="Times New Roman" w:eastAsia="方正仿宋_GBK"/>
          <w:color w:val="000000" w:themeColor="text1"/>
          <w:sz w:val="32"/>
          <w:szCs w:val="32"/>
        </w:rPr>
        <w:t>。</w:t>
      </w:r>
    </w:p>
    <w:p>
      <w:pPr>
        <w:spacing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rPr>
        <w:t>3.结转结余情况。</w:t>
      </w:r>
      <w:r>
        <w:rPr>
          <w:rFonts w:hint="default" w:ascii="Times New Roman" w:hAnsi="Times New Roman" w:eastAsia="方正仿宋_GBK"/>
          <w:color w:val="000000" w:themeColor="text1"/>
          <w:sz w:val="32"/>
          <w:szCs w:val="32"/>
        </w:rPr>
        <w:t>2022年度年末一般公共预算财政拨款结转和结余0.43万元。</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color w:val="000000" w:themeColor="text1"/>
          <w:sz w:val="32"/>
          <w:szCs w:val="32"/>
        </w:rPr>
        <w:t>4.</w:t>
      </w:r>
      <w:r>
        <w:rPr>
          <w:rFonts w:hint="default" w:ascii="Times New Roman" w:hAnsi="Times New Roman" w:eastAsia="方正仿宋_GBK"/>
          <w:b/>
          <w:bCs/>
          <w:color w:val="000000" w:themeColor="text1"/>
          <w:sz w:val="32"/>
          <w:szCs w:val="32"/>
        </w:rPr>
        <w:t>比较情况</w:t>
      </w:r>
      <w:r>
        <w:rPr>
          <w:rFonts w:hint="default"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rPr>
        <w:t>年度一般公共预算财政拨款支出主要用于以下</w:t>
      </w:r>
      <w:r>
        <w:rPr>
          <w:rFonts w:hint="default" w:ascii="Times New Roman" w:hAnsi="Times New Roman" w:eastAsia="方正仿宋_GBK"/>
          <w:bCs/>
          <w:color w:val="000000" w:themeColor="text1"/>
          <w:sz w:val="32"/>
          <w:szCs w:val="32"/>
        </w:rPr>
        <w:t>几个方面：</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Cs/>
          <w:color w:val="000000" w:themeColor="text1"/>
          <w:sz w:val="32"/>
          <w:szCs w:val="32"/>
        </w:rPr>
        <w:t>⑴一般公共服务支出</w:t>
      </w:r>
      <w:r>
        <w:rPr>
          <w:rFonts w:hint="default" w:ascii="Times New Roman" w:hAnsi="Times New Roman" w:eastAsia="方正仿宋_GBK"/>
          <w:color w:val="000000" w:themeColor="text1"/>
          <w:sz w:val="32"/>
          <w:szCs w:val="32"/>
        </w:rPr>
        <w:t>744.03万元，占42.3%，较年初预算数减少297.86万元，下降28.6%，主要原因是</w:t>
      </w:r>
      <w:r>
        <w:rPr>
          <w:rFonts w:hint="default" w:ascii="Times New Roman" w:hAnsi="Times New Roman" w:eastAsia="方正仿宋_GBK"/>
          <w:color w:val="000000" w:themeColor="text1"/>
          <w:sz w:val="32"/>
          <w:szCs w:val="32"/>
          <w:lang w:val="en-US" w:eastAsia="zh-CN"/>
        </w:rPr>
        <w:t>202</w:t>
      </w:r>
      <w:r>
        <w:rPr>
          <w:rFonts w:hint="eastAsia" w:ascii="Times New Roman" w:hAnsi="Times New Roman" w:eastAsia="方正仿宋_GBK"/>
          <w:color w:val="000000" w:themeColor="text1"/>
          <w:sz w:val="32"/>
          <w:szCs w:val="32"/>
          <w:lang w:val="en-US" w:eastAsia="zh-CN"/>
        </w:rPr>
        <w:t>2</w:t>
      </w:r>
      <w:r>
        <w:rPr>
          <w:rFonts w:hint="default" w:ascii="Times New Roman" w:hAnsi="Times New Roman" w:eastAsia="方正仿宋_GBK"/>
          <w:color w:val="000000" w:themeColor="text1"/>
          <w:sz w:val="32"/>
          <w:szCs w:val="32"/>
          <w:lang w:val="en-US" w:eastAsia="zh-CN"/>
        </w:rPr>
        <w:t>年</w:t>
      </w:r>
      <w:r>
        <w:rPr>
          <w:rFonts w:hint="eastAsia" w:ascii="Times New Roman" w:hAnsi="Times New Roman" w:eastAsia="方正仿宋_GBK"/>
          <w:color w:val="000000" w:themeColor="text1"/>
          <w:sz w:val="32"/>
          <w:szCs w:val="32"/>
          <w:lang w:val="en-US" w:eastAsia="zh-CN"/>
        </w:rPr>
        <w:t>国家级区块链发展先行示范区等项目是跨年项目，部分资金将于次年支出</w:t>
      </w:r>
      <w:r>
        <w:rPr>
          <w:rFonts w:hint="default" w:ascii="Times New Roman" w:hAnsi="Times New Roman" w:eastAsia="方正仿宋_GBK"/>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⑵科学技术支出科学技术支出779.11万元，占44.3%，较年初预算数增加328.11万元，增长72.8%，主要原因是</w:t>
      </w:r>
      <w:r>
        <w:rPr>
          <w:rFonts w:hint="eastAsia" w:ascii="Times New Roman" w:hAnsi="Times New Roman" w:eastAsia="方正仿宋_GBK"/>
          <w:bCs/>
          <w:color w:val="000000" w:themeColor="text1"/>
          <w:sz w:val="32"/>
          <w:szCs w:val="32"/>
          <w:lang w:val="en-US" w:eastAsia="zh-CN"/>
        </w:rPr>
        <w:t>2022年将数字产业园项目纳入科学技术支出中</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⑶社会保障与就业支出</w:t>
      </w:r>
      <w:r>
        <w:rPr>
          <w:rFonts w:ascii="Times New Roman" w:hAnsi="Times New Roman" w:eastAsia="方正仿宋_GBK"/>
          <w:bCs/>
          <w:color w:val="000000" w:themeColor="text1"/>
          <w:sz w:val="32"/>
          <w:szCs w:val="32"/>
        </w:rPr>
        <w:t>社会保障与就业支出18.33万元，占1%，较年初预算数减少0.41万元，下降2.2%</w:t>
      </w:r>
      <w:r>
        <w:rPr>
          <w:rFonts w:hint="eastAsia" w:ascii="Times New Roman" w:hAnsi="Times New Roman" w:eastAsia="方正仿宋_GBK"/>
          <w:bCs/>
          <w:color w:val="000000" w:themeColor="text1"/>
          <w:sz w:val="32"/>
          <w:szCs w:val="32"/>
          <w:lang w:eastAsia="zh-CN"/>
        </w:rPr>
        <w:t>，</w:t>
      </w:r>
      <w:r>
        <w:rPr>
          <w:rFonts w:hint="eastAsia" w:ascii="Times New Roman" w:hAnsi="Times New Roman" w:eastAsia="方正仿宋_GBK"/>
          <w:bCs/>
          <w:color w:val="000000" w:themeColor="text1"/>
          <w:sz w:val="32"/>
          <w:szCs w:val="32"/>
          <w:lang w:val="en-US" w:eastAsia="zh-CN"/>
        </w:rPr>
        <w:t>主要原因是行编人员年末时减少1人</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⑷卫生健康支出</w:t>
      </w:r>
      <w:r>
        <w:rPr>
          <w:rFonts w:ascii="Times New Roman" w:hAnsi="Times New Roman" w:eastAsia="方正仿宋_GBK"/>
          <w:bCs/>
          <w:color w:val="000000" w:themeColor="text1"/>
          <w:sz w:val="32"/>
          <w:szCs w:val="32"/>
        </w:rPr>
        <w:t>卫生健康支出8.63万元，占0.5%，较年初预算数减少0.85万元，下降9%，</w:t>
      </w:r>
      <w:r>
        <w:rPr>
          <w:rFonts w:hint="eastAsia" w:ascii="Times New Roman" w:hAnsi="Times New Roman" w:eastAsia="方正仿宋_GBK"/>
          <w:bCs/>
          <w:color w:val="000000" w:themeColor="text1"/>
          <w:sz w:val="32"/>
          <w:szCs w:val="32"/>
          <w:lang w:val="en-US" w:eastAsia="zh-CN"/>
        </w:rPr>
        <w:t>主要原因是行编人员年末时减少1人</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⑸城乡社区支出</w:t>
      </w:r>
      <w:r>
        <w:rPr>
          <w:rFonts w:ascii="Times New Roman" w:hAnsi="Times New Roman" w:eastAsia="方正仿宋_GBK"/>
          <w:bCs/>
          <w:color w:val="000000" w:themeColor="text1"/>
          <w:sz w:val="32"/>
          <w:szCs w:val="32"/>
        </w:rPr>
        <w:t>城乡社区支出14.00万元，占0.8%，</w:t>
      </w:r>
      <w:r>
        <w:rPr>
          <w:rFonts w:hint="eastAsia" w:ascii="Times New Roman" w:hAnsi="Times New Roman" w:eastAsia="方正仿宋_GBK"/>
          <w:bCs/>
          <w:color w:val="000000" w:themeColor="text1"/>
          <w:sz w:val="32"/>
          <w:szCs w:val="32"/>
          <w:lang w:val="en-US" w:eastAsia="zh-CN"/>
        </w:rPr>
        <w:t>和</w:t>
      </w:r>
      <w:r>
        <w:rPr>
          <w:rFonts w:ascii="Times New Roman" w:hAnsi="Times New Roman" w:eastAsia="方正仿宋_GBK"/>
          <w:bCs/>
          <w:color w:val="000000" w:themeColor="text1"/>
          <w:sz w:val="32"/>
          <w:szCs w:val="32"/>
        </w:rPr>
        <w:t>年初预算数</w:t>
      </w:r>
      <w:r>
        <w:rPr>
          <w:rFonts w:hint="eastAsia" w:ascii="Times New Roman" w:hAnsi="Times New Roman" w:eastAsia="方正仿宋_GBK"/>
          <w:bCs/>
          <w:color w:val="000000" w:themeColor="text1"/>
          <w:sz w:val="32"/>
          <w:szCs w:val="32"/>
          <w:lang w:val="en-US" w:eastAsia="zh-CN"/>
        </w:rPr>
        <w:t>持平</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⑹商业服务业等支出</w:t>
      </w:r>
      <w:r>
        <w:rPr>
          <w:rFonts w:ascii="Times New Roman" w:hAnsi="Times New Roman" w:eastAsia="方正仿宋_GBK"/>
          <w:bCs/>
          <w:color w:val="000000" w:themeColor="text1"/>
          <w:sz w:val="32"/>
          <w:szCs w:val="32"/>
        </w:rPr>
        <w:t>商业服务业等支出4.75万元，占0.3%，较年初预算数减少383.29万元，下降98.8%</w:t>
      </w:r>
      <w:r>
        <w:rPr>
          <w:rFonts w:hint="default"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主要原因是202</w:t>
      </w:r>
      <w:r>
        <w:rPr>
          <w:rFonts w:hint="eastAsia" w:ascii="Times New Roman" w:hAnsi="Times New Roman" w:eastAsia="方正仿宋_GBK"/>
          <w:bCs/>
          <w:color w:val="000000" w:themeColor="text1"/>
          <w:sz w:val="32"/>
          <w:szCs w:val="32"/>
          <w:lang w:val="en-US" w:eastAsia="zh-CN"/>
        </w:rPr>
        <w:t>2</w:t>
      </w:r>
      <w:r>
        <w:rPr>
          <w:rFonts w:ascii="Times New Roman" w:hAnsi="Times New Roman" w:eastAsia="方正仿宋_GBK"/>
          <w:bCs/>
          <w:color w:val="000000" w:themeColor="text1"/>
          <w:sz w:val="32"/>
          <w:szCs w:val="32"/>
        </w:rPr>
        <w:t>年</w:t>
      </w:r>
      <w:r>
        <w:rPr>
          <w:rFonts w:hint="eastAsia" w:ascii="Times New Roman" w:hAnsi="Times New Roman" w:eastAsia="方正仿宋_GBK"/>
          <w:bCs/>
          <w:color w:val="000000" w:themeColor="text1"/>
          <w:sz w:val="32"/>
          <w:szCs w:val="32"/>
          <w:lang w:val="en-US" w:eastAsia="zh-CN"/>
        </w:rPr>
        <w:t>国家级区块链发展先行示范区等项目是跨年项目，部分资金将于次年支出</w:t>
      </w:r>
      <w:r>
        <w:rPr>
          <w:rFonts w:hint="default" w:ascii="Times New Roman" w:hAnsi="Times New Roman" w:eastAsia="方正仿宋_GBK"/>
          <w:bCs/>
          <w:color w:val="000000" w:themeColor="text1"/>
          <w:sz w:val="32"/>
          <w:szCs w:val="32"/>
        </w:rPr>
        <w:t>。</w:t>
      </w:r>
    </w:p>
    <w:p>
      <w:pPr>
        <w:spacing w:line="594" w:lineRule="exact"/>
        <w:ind w:firstLine="640" w:firstLineChars="200"/>
        <w:jc w:val="both"/>
        <w:rPr>
          <w:rFonts w:ascii="Times New Roman" w:hAnsi="Times New Roman" w:eastAsia="方正仿宋_GBK"/>
          <w:bCs/>
          <w:color w:val="000000" w:themeColor="text1"/>
          <w:sz w:val="32"/>
          <w:szCs w:val="32"/>
        </w:rPr>
      </w:pPr>
      <w:r>
        <w:rPr>
          <w:rFonts w:hint="default" w:ascii="Times New Roman" w:hAnsi="Times New Roman" w:eastAsia="方正仿宋_GBK"/>
          <w:bCs/>
          <w:color w:val="000000" w:themeColor="text1"/>
          <w:sz w:val="32"/>
          <w:szCs w:val="32"/>
        </w:rPr>
        <w:t>⑺住房保障支出</w:t>
      </w:r>
      <w:r>
        <w:rPr>
          <w:rFonts w:ascii="Times New Roman" w:hAnsi="Times New Roman" w:eastAsia="方正仿宋_GBK"/>
          <w:bCs/>
          <w:color w:val="000000" w:themeColor="text1"/>
          <w:sz w:val="32"/>
          <w:szCs w:val="32"/>
        </w:rPr>
        <w:t>住房保障支出11.54万元，占0.7%，较年初预算数减少0.07万元，下降0.6%，</w:t>
      </w:r>
      <w:r>
        <w:rPr>
          <w:rFonts w:hint="eastAsia" w:ascii="Times New Roman" w:hAnsi="Times New Roman" w:eastAsia="方正仿宋_GBK"/>
          <w:bCs/>
          <w:color w:val="000000" w:themeColor="text1"/>
          <w:sz w:val="32"/>
          <w:szCs w:val="32"/>
          <w:lang w:val="en-US" w:eastAsia="zh-CN"/>
        </w:rPr>
        <w:t>主要原因是行编人员年末时减少1人</w:t>
      </w:r>
      <w:r>
        <w:rPr>
          <w:rFonts w:ascii="Times New Roman" w:hAnsi="Times New Roman" w:eastAsia="方正仿宋_GBK"/>
          <w:bCs/>
          <w:color w:val="000000" w:themeColor="text1"/>
          <w:sz w:val="32"/>
          <w:szCs w:val="32"/>
        </w:rPr>
        <w:t>。</w:t>
      </w:r>
    </w:p>
    <w:p>
      <w:pPr>
        <w:spacing w:line="594" w:lineRule="exact"/>
        <w:ind w:firstLine="640" w:firstLineChars="200"/>
        <w:jc w:val="both"/>
        <w:rPr>
          <w:rFonts w:hint="eastAsia" w:ascii="Times New Roman" w:hAnsi="Times New Roman" w:eastAsia="方正仿宋_GBK"/>
          <w:bCs/>
          <w:color w:val="000000" w:themeColor="text1"/>
          <w:sz w:val="32"/>
          <w:szCs w:val="32"/>
          <w:lang w:val="en-US" w:eastAsia="zh-CN"/>
        </w:rPr>
      </w:pPr>
      <w:r>
        <w:rPr>
          <w:rFonts w:hint="default" w:ascii="Times New Roman" w:hAnsi="Times New Roman" w:eastAsia="方正仿宋_GBK"/>
          <w:bCs/>
          <w:color w:val="000000" w:themeColor="text1"/>
          <w:sz w:val="32"/>
          <w:szCs w:val="32"/>
          <w:lang w:val="en-US"/>
        </w:rPr>
        <w:t>(8)</w:t>
      </w:r>
      <w:r>
        <w:rPr>
          <w:rFonts w:ascii="Times New Roman" w:hAnsi="Times New Roman" w:eastAsia="方正仿宋_GBK"/>
          <w:bCs/>
          <w:color w:val="000000" w:themeColor="text1"/>
          <w:sz w:val="32"/>
          <w:szCs w:val="32"/>
        </w:rPr>
        <w:t>资源勘探信息等支出178.73万元，占10.2%，较年初预算数增加178.73万元，增长</w:t>
      </w:r>
      <w:r>
        <w:rPr>
          <w:rFonts w:hint="eastAsia" w:ascii="Times New Roman" w:hAnsi="Times New Roman" w:eastAsia="方正仿宋_GBK"/>
          <w:bCs/>
          <w:color w:val="000000" w:themeColor="text1"/>
          <w:sz w:val="32"/>
          <w:szCs w:val="32"/>
          <w:lang w:val="en-US" w:eastAsia="zh-CN"/>
        </w:rPr>
        <w:t>100.0</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lang w:eastAsia="zh-CN"/>
        </w:rPr>
        <w:t>，</w:t>
      </w:r>
      <w:r>
        <w:rPr>
          <w:rFonts w:hint="eastAsia" w:ascii="Times New Roman" w:hAnsi="Times New Roman" w:eastAsia="方正仿宋_GBK"/>
          <w:bCs/>
          <w:color w:val="000000" w:themeColor="text1"/>
          <w:sz w:val="32"/>
          <w:szCs w:val="32"/>
          <w:lang w:val="en-US" w:eastAsia="zh-CN"/>
        </w:rPr>
        <w:t>主要原因是年中追加了工软大会策划及服务费。</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（四）一般公共预算财政拨款基本支出决算情况说明</w:t>
      </w:r>
    </w:p>
    <w:p>
      <w:pPr>
        <w:spacing w:line="594" w:lineRule="exact"/>
        <w:ind w:firstLine="640" w:firstLineChars="200"/>
        <w:jc w:val="both"/>
        <w:rPr>
          <w:rFonts w:hint="default"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lang w:val="en-US" w:eastAsia="zh-CN"/>
        </w:rPr>
        <w:t>2022年度一般公共预算财政拨款基本支出216.00万元。其中：人员经费164.48万元，较上年决算数减少13.23万元，下降7.4%</w:t>
      </w:r>
      <w:r>
        <w:rPr>
          <w:rFonts w:hint="default" w:ascii="Times New Roman" w:hAnsi="Times New Roman" w:eastAsia="方正仿宋_GBK"/>
          <w:bCs/>
          <w:color w:val="000000" w:themeColor="text1"/>
          <w:sz w:val="32"/>
          <w:szCs w:val="32"/>
          <w:lang w:val="en-US" w:eastAsia="zh-CN"/>
        </w:rPr>
        <w:t>，</w:t>
      </w:r>
      <w:r>
        <w:rPr>
          <w:rFonts w:hint="eastAsia" w:ascii="Times New Roman" w:hAnsi="Times New Roman" w:eastAsia="方正仿宋_GBK"/>
          <w:bCs/>
          <w:color w:val="000000" w:themeColor="text1"/>
          <w:sz w:val="32"/>
          <w:szCs w:val="32"/>
          <w:lang w:val="en-US" w:eastAsia="zh-CN"/>
        </w:rPr>
        <w:t>主要原因是2022年末行编人员减少1人</w:t>
      </w:r>
      <w:r>
        <w:rPr>
          <w:rFonts w:hint="default" w:ascii="Times New Roman" w:hAnsi="Times New Roman" w:eastAsia="方正仿宋_GBK"/>
          <w:bCs/>
          <w:color w:val="000000" w:themeColor="text1"/>
          <w:sz w:val="32"/>
          <w:szCs w:val="32"/>
          <w:lang w:val="en-US" w:eastAsia="zh-CN"/>
        </w:rPr>
        <w:t>。</w:t>
      </w:r>
      <w:r>
        <w:rPr>
          <w:rFonts w:hint="default" w:ascii="Times New Roman" w:hAnsi="Times New Roman" w:eastAsia="方正仿宋_GBK"/>
          <w:bCs/>
          <w:color w:val="000000" w:themeColor="text1"/>
          <w:sz w:val="32"/>
          <w:szCs w:val="32"/>
        </w:rPr>
        <w:t>人员经费用途主要包括基本工资、津贴补贴、奖金、社会保障缴费等。公用经费51.53万元，较上年决算数增加1.77万元，增长3.6%，主要原因是主要原因是</w:t>
      </w:r>
      <w:r>
        <w:rPr>
          <w:rFonts w:hint="eastAsia" w:ascii="Times New Roman" w:hAnsi="Times New Roman" w:eastAsia="方正仿宋_GBK"/>
          <w:bCs/>
          <w:color w:val="000000" w:themeColor="text1"/>
          <w:sz w:val="32"/>
          <w:szCs w:val="32"/>
          <w:lang w:val="en-US" w:eastAsia="zh-CN"/>
        </w:rPr>
        <w:t>招商力度加大，办公经费相对增加</w:t>
      </w:r>
      <w:r>
        <w:rPr>
          <w:rFonts w:hint="default" w:ascii="Times New Roman" w:hAnsi="Times New Roman" w:eastAsia="方正仿宋_GBK"/>
          <w:bCs/>
          <w:color w:val="000000" w:themeColor="text1"/>
          <w:sz w:val="32"/>
          <w:szCs w:val="32"/>
        </w:rPr>
        <w:t>。公用经费用途主要包括办公费、印刷费、手续费、差旅费、会务接待培训费、水电费、物业费等日常运行开销费用。</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（五）政府性基金预算收入支出决算情况说明</w:t>
      </w:r>
    </w:p>
    <w:p>
      <w:pPr>
        <w:numPr>
          <w:ilvl w:val="0"/>
          <w:numId w:val="0"/>
        </w:numPr>
        <w:spacing w:line="594" w:lineRule="exact"/>
        <w:ind w:firstLine="960" w:firstLineChars="300"/>
        <w:jc w:val="both"/>
        <w:rPr>
          <w:rFonts w:hint="default" w:ascii="Times New Roman" w:hAnsi="Times New Roman" w:eastAsia="方正仿宋_GBK"/>
          <w:b w:val="0"/>
          <w:bCs/>
          <w:color w:val="000000" w:themeColor="text1"/>
          <w:sz w:val="32"/>
          <w:szCs w:val="32"/>
          <w:lang w:val="en-US" w:eastAsia="zh-CN"/>
        </w:rPr>
      </w:pPr>
      <w:bookmarkStart w:id="13" w:name="_Toc25721_WPSOffice_Level1"/>
      <w:bookmarkStart w:id="14" w:name="_Toc18323_WPSOffice_Level1"/>
      <w:bookmarkStart w:id="15" w:name="RANGE_A1_G18"/>
      <w:r>
        <w:rPr>
          <w:rFonts w:hint="eastAsia" w:ascii="Times New Roman" w:hAnsi="Times New Roman" w:eastAsia="方正仿宋_GBK"/>
          <w:b w:val="0"/>
          <w:bCs/>
          <w:color w:val="000000" w:themeColor="text1"/>
          <w:sz w:val="32"/>
          <w:szCs w:val="32"/>
          <w:lang w:val="en-US" w:eastAsia="zh-CN"/>
        </w:rPr>
        <w:t>2022年度政府性基金预算财政拨款年初结转结余0.00万元，年末结转结余0.00万元。本年收入3,300.00万元，较上年决算数增加3,300.00万元，增长100.0%，主要原因是本年度增加了信创服务平台项目。本年支出3,300.00万元，较上年决算数增加3,300.00万元，增长100.0%，主要原因是本年度增加了信创服务平台项目</w:t>
      </w:r>
      <w:r>
        <w:rPr>
          <w:rFonts w:hint="default" w:ascii="Times New Roman" w:hAnsi="Times New Roman" w:eastAsia="方正仿宋_GBK"/>
          <w:b w:val="0"/>
          <w:bCs/>
          <w:color w:val="000000" w:themeColor="text1"/>
          <w:sz w:val="32"/>
          <w:szCs w:val="32"/>
          <w:lang w:val="en-US" w:eastAsia="zh-CN"/>
        </w:rPr>
        <w:t>。</w:t>
      </w:r>
    </w:p>
    <w:p>
      <w:pPr>
        <w:numPr>
          <w:ilvl w:val="0"/>
          <w:numId w:val="1"/>
        </w:numPr>
        <w:spacing w:line="594" w:lineRule="exact"/>
        <w:ind w:firstLine="643" w:firstLineChars="200"/>
        <w:jc w:val="both"/>
        <w:rPr>
          <w:rFonts w:hint="eastAsia" w:ascii="Times New Roman" w:hAnsi="Times New Roman" w:eastAsia="方正仿宋_GBK"/>
          <w:b/>
          <w:bCs w:val="0"/>
          <w:color w:val="000000" w:themeColor="text1"/>
          <w:sz w:val="32"/>
          <w:szCs w:val="32"/>
          <w:lang w:val="en-US" w:eastAsia="zh-CN"/>
        </w:rPr>
      </w:pPr>
      <w:r>
        <w:rPr>
          <w:rFonts w:hint="eastAsia" w:ascii="Times New Roman" w:hAnsi="Times New Roman" w:eastAsia="方正仿宋_GBK"/>
          <w:b/>
          <w:bCs w:val="0"/>
          <w:color w:val="000000" w:themeColor="text1"/>
          <w:sz w:val="32"/>
          <w:szCs w:val="32"/>
          <w:lang w:val="en-US" w:eastAsia="zh-CN"/>
        </w:rPr>
        <w:t>国有资本经营预算财政拨款支出决算情况说明</w:t>
      </w:r>
    </w:p>
    <w:p>
      <w:pPr>
        <w:numPr>
          <w:ilvl w:val="0"/>
          <w:numId w:val="0"/>
        </w:numPr>
        <w:spacing w:line="594" w:lineRule="exact"/>
        <w:jc w:val="both"/>
        <w:rPr>
          <w:rFonts w:hint="default" w:ascii="Times New Roman" w:hAnsi="Times New Roman" w:eastAsia="方正仿宋_GBK"/>
          <w:b/>
          <w:bCs w:val="0"/>
          <w:color w:val="000000" w:themeColor="text1"/>
          <w:sz w:val="32"/>
          <w:szCs w:val="32"/>
          <w:lang w:val="en-US" w:eastAsia="zh-CN"/>
        </w:rPr>
      </w:pPr>
      <w:r>
        <w:rPr>
          <w:rFonts w:hint="eastAsia" w:ascii="Times New Roman" w:hAnsi="Times New Roman" w:eastAsia="方正仿宋_GBK"/>
          <w:b/>
          <w:bCs w:val="0"/>
          <w:color w:val="000000" w:themeColor="text1"/>
          <w:sz w:val="32"/>
          <w:szCs w:val="32"/>
          <w:lang w:val="en-US" w:eastAsia="zh-CN"/>
        </w:rPr>
        <w:t xml:space="preserve">    </w:t>
      </w:r>
      <w:r>
        <w:rPr>
          <w:rFonts w:hint="eastAsia" w:ascii="Times New Roman" w:hAnsi="Times New Roman" w:eastAsia="方正仿宋_GBK"/>
          <w:b w:val="0"/>
          <w:bCs/>
          <w:color w:val="000000" w:themeColor="text1"/>
          <w:sz w:val="32"/>
          <w:szCs w:val="32"/>
          <w:lang w:val="en-US" w:eastAsia="zh-CN"/>
        </w:rPr>
        <w:t>本部门2022年度无国有资本经营预算财政拨款支出，较上年决算数和年初预算数持平。</w:t>
      </w:r>
    </w:p>
    <w:p>
      <w:pPr>
        <w:spacing w:line="594" w:lineRule="exact"/>
        <w:ind w:firstLine="640" w:firstLineChars="200"/>
        <w:jc w:val="both"/>
        <w:rPr>
          <w:rFonts w:hint="default" w:ascii="Times New Roman" w:hAnsi="Times New Roman" w:eastAsia="方正黑体_GBK"/>
          <w:bCs/>
          <w:color w:val="000000" w:themeColor="text1"/>
          <w:sz w:val="32"/>
          <w:szCs w:val="32"/>
        </w:rPr>
      </w:pPr>
      <w:r>
        <w:rPr>
          <w:rFonts w:hint="default" w:ascii="Times New Roman" w:hAnsi="Times New Roman" w:eastAsia="方正黑体_GBK"/>
          <w:bCs/>
          <w:color w:val="000000" w:themeColor="text1"/>
          <w:sz w:val="32"/>
          <w:szCs w:val="32"/>
        </w:rPr>
        <w:t>三、“三公”经费情况说明</w:t>
      </w:r>
      <w:bookmarkEnd w:id="13"/>
      <w:bookmarkEnd w:id="14"/>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（一）“三公”经费支出总体情况</w:t>
      </w:r>
    </w:p>
    <w:p>
      <w:pPr>
        <w:widowControl w:val="0"/>
        <w:ind w:firstLine="640"/>
        <w:rPr>
          <w:rFonts w:hint="default"/>
          <w:bCs/>
          <w:color w:val="000000" w:themeColor="text1"/>
          <w:szCs w:val="32"/>
        </w:rPr>
      </w:pPr>
      <w:r>
        <w:rPr>
          <w:rFonts w:hint="eastAsia" w:ascii="Times New Roman" w:hAnsi="Times New Roman" w:eastAsia="方正仿宋_GBK"/>
          <w:b w:val="0"/>
          <w:bCs/>
          <w:color w:val="000000" w:themeColor="text1"/>
          <w:sz w:val="32"/>
          <w:szCs w:val="32"/>
          <w:lang w:val="en-US" w:eastAsia="zh-CN"/>
        </w:rPr>
        <w:t>2022年度“三公”经费支出共计7.34万元，较年初预算数增加4.34万元，增长144.7%，主要原因是按照管委会工作安排，年度中增加招商考察等接待工作，导致接待费用增加。较上年支出数增加4.35万元，增长145.5%，主要原因是按照管委会工作安排，年度中增加招商考察等接待工作，导致接待费用增加。</w:t>
      </w:r>
    </w:p>
    <w:p>
      <w:pPr>
        <w:spacing w:line="594" w:lineRule="exact"/>
        <w:ind w:firstLine="643"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b/>
          <w:color w:val="000000" w:themeColor="text1"/>
          <w:sz w:val="32"/>
          <w:szCs w:val="32"/>
        </w:rPr>
        <w:t>（二）“三公”经费分项支出情况</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default" w:ascii="Times New Roman" w:hAnsi="Times New Roman" w:eastAsia="方正仿宋_GBK"/>
          <w:b w:val="0"/>
          <w:bCs/>
          <w:color w:val="000000" w:themeColor="text1"/>
          <w:sz w:val="32"/>
          <w:szCs w:val="32"/>
          <w:lang w:val="en-US" w:eastAsia="zh-CN"/>
        </w:rPr>
        <w:t>202</w:t>
      </w:r>
      <w:r>
        <w:rPr>
          <w:rFonts w:hint="eastAsia" w:ascii="Times New Roman" w:hAnsi="Times New Roman" w:eastAsia="方正仿宋_GBK"/>
          <w:b w:val="0"/>
          <w:bCs/>
          <w:color w:val="000000" w:themeColor="text1"/>
          <w:sz w:val="32"/>
          <w:szCs w:val="32"/>
          <w:lang w:val="en-US" w:eastAsia="zh-CN"/>
        </w:rPr>
        <w:t>2</w:t>
      </w:r>
      <w:r>
        <w:rPr>
          <w:rFonts w:hint="default" w:ascii="Times New Roman" w:hAnsi="Times New Roman" w:eastAsia="方正仿宋_GBK"/>
          <w:b w:val="0"/>
          <w:bCs/>
          <w:color w:val="000000" w:themeColor="text1"/>
          <w:sz w:val="32"/>
          <w:szCs w:val="32"/>
          <w:lang w:val="en-US" w:eastAsia="zh-CN"/>
        </w:rPr>
        <w:t>年度因公出国（境）费用0.00万元，主要是用于因公出国（境）事由。费用支出与年初预算数持平，较上年支出数</w:t>
      </w:r>
      <w:r>
        <w:rPr>
          <w:rFonts w:hint="eastAsia" w:ascii="Times New Roman" w:hAnsi="Times New Roman" w:eastAsia="方正仿宋_GBK"/>
          <w:b w:val="0"/>
          <w:bCs/>
          <w:color w:val="000000" w:themeColor="text1"/>
          <w:sz w:val="32"/>
          <w:szCs w:val="32"/>
          <w:lang w:val="en-US" w:eastAsia="zh-CN"/>
        </w:rPr>
        <w:t>持</w:t>
      </w:r>
      <w:r>
        <w:rPr>
          <w:rFonts w:hint="default" w:ascii="Times New Roman" w:hAnsi="Times New Roman" w:eastAsia="方正仿宋_GBK"/>
          <w:b w:val="0"/>
          <w:bCs/>
          <w:color w:val="000000" w:themeColor="text1"/>
          <w:sz w:val="32"/>
          <w:szCs w:val="32"/>
          <w:lang w:val="en-US" w:eastAsia="zh-CN"/>
        </w:rPr>
        <w:t>平，主要原因202</w:t>
      </w:r>
      <w:r>
        <w:rPr>
          <w:rFonts w:hint="eastAsia" w:ascii="Times New Roman" w:hAnsi="Times New Roman" w:eastAsia="方正仿宋_GBK"/>
          <w:b w:val="0"/>
          <w:bCs/>
          <w:color w:val="000000" w:themeColor="text1"/>
          <w:sz w:val="32"/>
          <w:szCs w:val="32"/>
          <w:lang w:val="en-US" w:eastAsia="zh-CN"/>
        </w:rPr>
        <w:t>2</w:t>
      </w:r>
      <w:r>
        <w:rPr>
          <w:rFonts w:hint="default" w:ascii="Times New Roman" w:hAnsi="Times New Roman" w:eastAsia="方正仿宋_GBK"/>
          <w:b w:val="0"/>
          <w:bCs/>
          <w:color w:val="000000" w:themeColor="text1"/>
          <w:sz w:val="32"/>
          <w:szCs w:val="32"/>
          <w:lang w:val="en-US" w:eastAsia="zh-CN"/>
        </w:rPr>
        <w:t>年度未涉及因公出国（境）事项。</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default" w:ascii="Times New Roman" w:hAnsi="Times New Roman" w:eastAsia="方正仿宋_GBK"/>
          <w:b w:val="0"/>
          <w:bCs/>
          <w:color w:val="000000" w:themeColor="text1"/>
          <w:sz w:val="32"/>
          <w:szCs w:val="32"/>
          <w:lang w:val="en-US" w:eastAsia="zh-CN"/>
        </w:rPr>
        <w:t>公务车购置费0万元</w:t>
      </w:r>
      <w:r>
        <w:rPr>
          <w:rFonts w:hint="eastAsia" w:ascii="Times New Roman" w:hAnsi="Times New Roman" w:eastAsia="方正仿宋_GBK"/>
          <w:b w:val="0"/>
          <w:bCs/>
          <w:color w:val="000000" w:themeColor="text1"/>
          <w:sz w:val="32"/>
          <w:szCs w:val="32"/>
          <w:lang w:val="en-US" w:eastAsia="zh-CN"/>
        </w:rPr>
        <w:t>，2022年</w:t>
      </w:r>
      <w:r>
        <w:rPr>
          <w:rFonts w:hint="default" w:ascii="Times New Roman" w:hAnsi="Times New Roman" w:eastAsia="方正仿宋_GBK"/>
          <w:b w:val="0"/>
          <w:bCs/>
          <w:color w:val="000000" w:themeColor="text1"/>
          <w:sz w:val="32"/>
          <w:szCs w:val="32"/>
          <w:lang w:val="en-US" w:eastAsia="zh-CN"/>
        </w:rPr>
        <w:t>度未涉及公务车购置。</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公务车运行维护费2.87万元，主要用于市内因公出行等工作所需车辆的燃料费、维修费保险费等，费用支出较年初预算数减少0.13万元，下降4.3%。较上年支出数减少0.12，下降4.0%。主要原因是严格落实公车使用规定，公车运行维护成本下降</w:t>
      </w:r>
      <w:r>
        <w:rPr>
          <w:rFonts w:hint="default" w:ascii="Times New Roman" w:hAnsi="Times New Roman" w:eastAsia="方正仿宋_GBK"/>
          <w:b w:val="0"/>
          <w:bCs/>
          <w:color w:val="000000" w:themeColor="text1"/>
          <w:sz w:val="32"/>
          <w:szCs w:val="32"/>
          <w:lang w:val="en-US" w:eastAsia="zh-CN"/>
        </w:rPr>
        <w:t>。</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公务接待费4.47万元，主要用于招商接待企业，较年初预算增加4.47万元，增长100.0%。较上年支出数增加4.47万元，增长100.0%。主要原因是主要原因是按照管委会工作安排，年度中增加招商考察等接待工作，导致接待费用增加</w:t>
      </w:r>
      <w:r>
        <w:rPr>
          <w:rFonts w:hint="default" w:ascii="Times New Roman" w:hAnsi="Times New Roman" w:eastAsia="方正仿宋_GBK"/>
          <w:b w:val="0"/>
          <w:bCs/>
          <w:color w:val="000000" w:themeColor="text1"/>
          <w:sz w:val="32"/>
          <w:szCs w:val="32"/>
          <w:lang w:val="en-US" w:eastAsia="zh-CN"/>
        </w:rPr>
        <w:t>。</w:t>
      </w:r>
    </w:p>
    <w:p>
      <w:pPr>
        <w:tabs>
          <w:tab w:val="left" w:pos="709"/>
          <w:tab w:val="left" w:pos="851"/>
        </w:tabs>
        <w:spacing w:line="594" w:lineRule="exact"/>
        <w:ind w:firstLine="643" w:firstLineChars="200"/>
        <w:jc w:val="both"/>
        <w:rPr>
          <w:rFonts w:hint="default" w:ascii="方正仿宋_GBK" w:eastAsia="方正仿宋_GBK" w:cs="宋体"/>
          <w:b/>
          <w:color w:val="000000" w:themeColor="text1"/>
          <w:sz w:val="32"/>
          <w:szCs w:val="32"/>
        </w:rPr>
      </w:pPr>
      <w:r>
        <w:rPr>
          <w:rFonts w:ascii="方正仿宋_GBK" w:eastAsia="方正仿宋_GBK" w:cs="宋体"/>
          <w:b/>
          <w:color w:val="000000" w:themeColor="text1"/>
          <w:sz w:val="32"/>
          <w:szCs w:val="32"/>
        </w:rPr>
        <w:t>（三）“三公”经费实物量情况</w:t>
      </w:r>
    </w:p>
    <w:p>
      <w:pPr>
        <w:widowControl w:val="0"/>
        <w:ind w:firstLine="640"/>
        <w:rPr>
          <w:rFonts w:hint="default" w:ascii="Times New Roman" w:hAnsi="Times New Roman" w:eastAsia="方正仿宋_GBK"/>
          <w:b w:val="0"/>
          <w:bCs/>
          <w:color w:val="000000" w:themeColor="text1"/>
          <w:sz w:val="32"/>
          <w:szCs w:val="32"/>
          <w:lang w:val="en-US" w:eastAsia="zh-CN"/>
        </w:rPr>
      </w:pPr>
      <w:bookmarkStart w:id="16" w:name="_Toc27357_WPSOffice_Level1"/>
      <w:bookmarkStart w:id="17" w:name="_Toc5333_WPSOffice_Level1"/>
      <w:r>
        <w:rPr>
          <w:rFonts w:hint="eastAsia" w:ascii="Times New Roman" w:hAnsi="Times New Roman" w:eastAsia="方正仿宋_GBK"/>
          <w:b w:val="0"/>
          <w:bCs/>
          <w:color w:val="000000" w:themeColor="text1"/>
          <w:sz w:val="32"/>
          <w:szCs w:val="32"/>
          <w:lang w:val="en-US" w:eastAsia="zh-CN"/>
        </w:rPr>
        <w:t>2022年度因公出国（境）共计0个团组，0人；公务用车购置0辆，公务车保有量为1辆；国内公务接待25批次358人，其中：国内外事接待0批次，0人；国（境）外公务接待0批次，0人。2022年本部门人均接待费124.82元，车均购置费0.00万元，车均维护费2.87万元。</w:t>
      </w:r>
    </w:p>
    <w:p>
      <w:pPr>
        <w:numPr>
          <w:ilvl w:val="0"/>
          <w:numId w:val="2"/>
        </w:numPr>
        <w:spacing w:line="594" w:lineRule="exact"/>
        <w:ind w:firstLine="640" w:firstLineChars="200"/>
        <w:jc w:val="both"/>
        <w:rPr>
          <w:rFonts w:ascii="方正黑体_GBK" w:eastAsia="方正黑体_GBK" w:cs="宋体"/>
          <w:bCs/>
          <w:color w:val="000000" w:themeColor="text1"/>
          <w:sz w:val="32"/>
          <w:szCs w:val="32"/>
        </w:rPr>
      </w:pPr>
      <w:r>
        <w:rPr>
          <w:rFonts w:ascii="方正黑体_GBK" w:eastAsia="方正黑体_GBK" w:cs="宋体"/>
          <w:bCs/>
          <w:color w:val="000000" w:themeColor="text1"/>
          <w:sz w:val="32"/>
          <w:szCs w:val="32"/>
        </w:rPr>
        <w:t>其他</w:t>
      </w:r>
      <w:bookmarkEnd w:id="16"/>
      <w:bookmarkEnd w:id="17"/>
      <w:r>
        <w:rPr>
          <w:rFonts w:ascii="方正黑体_GBK" w:eastAsia="方正黑体_GBK" w:cs="宋体"/>
          <w:bCs/>
          <w:color w:val="000000" w:themeColor="text1"/>
          <w:sz w:val="32"/>
          <w:szCs w:val="32"/>
        </w:rPr>
        <w:t>需要说明的事项</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一）机关运行经费情况说明。2022年度机关运行经费支出51.53万元，机关运行经费主要用于办公费、印刷费、邮电费、差旅费、会务接待培训费、水电费、物业管理及其他商品和服务支出等日常运行开销的费用。机关运行经费较上年决算数增加1.77万元，增长3.6%，主要原因是招商工作频繁，运行经费相应增加。</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二）本年度一般公共预算财政拨款会议费支出12.16万元，较上年决算数减少23.39万元，下降65.8%，主要原因是响应国家号召节约开支，严格控制会议费用。本年度一般公共预算财政拨款培训费支出本年度培训费支出1.15万元，较上年决算数增加0.06万元，增长5.5%，主要原因是2022年培训人次增加。</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三）国有资产占用情况说明。截至2022年12月31日，本部门共有车辆1辆，其中，副部（省）级及以上领导干部用车0辆、主要领导干部用车0辆、机要通信用车0辆、应急保障用车1辆、执法执勤用车0辆、特种专业技术用车0辆、离退休干部用车0辆、其他用车0辆，单价50万元以上通用设备0台（套），单价100万元以上专用设备0台（套）。</w:t>
      </w:r>
    </w:p>
    <w:p>
      <w:pPr>
        <w:widowControl w:val="0"/>
        <w:ind w:firstLine="640"/>
        <w:rPr>
          <w:rFonts w:hint="default" w:ascii="Times New Roman" w:hAnsi="Times New Roman" w:eastAsia="方正仿宋_GBK"/>
          <w:b w:val="0"/>
          <w:bCs/>
          <w:color w:val="000000" w:themeColor="text1"/>
          <w:sz w:val="32"/>
          <w:szCs w:val="32"/>
          <w:lang w:val="en-US" w:eastAsia="zh-CN"/>
        </w:rPr>
      </w:pPr>
      <w:r>
        <w:rPr>
          <w:rFonts w:hint="eastAsia" w:ascii="Times New Roman" w:hAnsi="Times New Roman" w:eastAsia="方正仿宋_GBK"/>
          <w:b w:val="0"/>
          <w:bCs/>
          <w:color w:val="000000" w:themeColor="text1"/>
          <w:sz w:val="32"/>
          <w:szCs w:val="32"/>
          <w:lang w:val="en-US" w:eastAsia="zh-CN"/>
        </w:rPr>
        <w:t>（四）政府采购支出情况说明。2022年度政府采购支出总额197.5万元，其中：政府采购货物支出0万元、政府采购工程支出0万元、政府采购服务支出197.5万元。授予中小企业合同金额197.5万元，占政府采购支出总额的100.0%，其中授予小微企业合同金额0万元，占政府采购支出总额的0。主要用于2022全国工业软件大会执行服务费。</w:t>
      </w:r>
    </w:p>
    <w:p>
      <w:pPr>
        <w:widowControl w:val="0"/>
        <w:ind w:firstLine="640"/>
        <w:rPr>
          <w:rFonts w:hint="default" w:ascii="Times New Roman" w:hAnsi="Times New Roman" w:eastAsia="方正仿宋_GBK"/>
          <w:b w:val="0"/>
          <w:bCs/>
          <w:color w:val="000000" w:themeColor="text1"/>
          <w:sz w:val="32"/>
          <w:szCs w:val="32"/>
          <w:lang w:val="en-US" w:eastAsia="zh-CN"/>
        </w:rPr>
      </w:pPr>
    </w:p>
    <w:p>
      <w:pPr>
        <w:spacing w:line="594" w:lineRule="exact"/>
        <w:ind w:firstLine="643" w:firstLineChars="200"/>
        <w:jc w:val="both"/>
        <w:rPr>
          <w:rFonts w:hint="default" w:ascii="Times New Roman" w:hAnsi="Times New Roman" w:eastAsia="方正仿宋_GBK"/>
          <w:b/>
          <w:sz w:val="32"/>
          <w:szCs w:val="32"/>
        </w:rPr>
      </w:pPr>
      <w:r>
        <w:rPr>
          <w:rFonts w:hint="default" w:ascii="Times New Roman" w:hAnsi="Times New Roman" w:eastAsia="方正仿宋_GBK"/>
          <w:b/>
          <w:sz w:val="32"/>
          <w:szCs w:val="32"/>
        </w:rPr>
        <w:t>（四）预算绩效管理情况说明。</w:t>
      </w:r>
    </w:p>
    <w:p>
      <w:pPr>
        <w:spacing w:line="594" w:lineRule="exact"/>
        <w:ind w:firstLine="640" w:firstLineChars="200"/>
        <w:jc w:val="both"/>
        <w:rPr>
          <w:rFonts w:hint="default" w:ascii="Times New Roman" w:hAnsi="Times New Roman" w:eastAsia="方正仿宋_GBK"/>
          <w:b w:val="0"/>
          <w:bCs/>
          <w:color w:val="000000" w:themeColor="text1"/>
          <w:sz w:val="32"/>
          <w:szCs w:val="32"/>
          <w:lang w:val="en-US" w:eastAsia="zh-CN"/>
        </w:rPr>
      </w:pPr>
      <w:r>
        <w:rPr>
          <w:rFonts w:hint="default" w:ascii="Times New Roman" w:hAnsi="Times New Roman" w:eastAsia="方正仿宋_GBK"/>
          <w:bCs/>
          <w:sz w:val="32"/>
          <w:szCs w:val="32"/>
        </w:rPr>
        <w:t>（1）</w:t>
      </w:r>
      <w:r>
        <w:rPr>
          <w:rFonts w:hint="default" w:ascii="Times New Roman" w:hAnsi="Times New Roman" w:eastAsia="方正仿宋_GBK"/>
          <w:b/>
          <w:sz w:val="32"/>
          <w:szCs w:val="32"/>
        </w:rPr>
        <w:t>预算绩效管理工作开展情况。</w:t>
      </w:r>
      <w:r>
        <w:rPr>
          <w:rFonts w:hint="eastAsia" w:ascii="Times New Roman" w:hAnsi="Times New Roman" w:eastAsia="方正仿宋_GBK"/>
          <w:b w:val="0"/>
          <w:bCs/>
          <w:color w:val="000000" w:themeColor="text1"/>
          <w:sz w:val="32"/>
          <w:szCs w:val="32"/>
          <w:lang w:val="en-US" w:eastAsia="zh-CN"/>
        </w:rPr>
        <w:t>根据预算绩效管理要求，我委对部门整体和15个项目开展了绩效自评，涉及资金5059.11万元，其中，以填报目标自评表形式开展自评15项，涉及资金4843.11万元。</w:t>
      </w:r>
    </w:p>
    <w:p>
      <w:pPr>
        <w:spacing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bCs/>
          <w:sz w:val="32"/>
          <w:szCs w:val="32"/>
        </w:rPr>
        <w:t>（2）</w:t>
      </w:r>
      <w:r>
        <w:rPr>
          <w:rFonts w:hint="default" w:ascii="Times New Roman" w:hAnsi="Times New Roman" w:eastAsia="方正仿宋_GBK"/>
          <w:b/>
          <w:sz w:val="32"/>
          <w:szCs w:val="32"/>
        </w:rPr>
        <w:t>绩效目标自评结果。</w:t>
      </w:r>
      <w:r>
        <w:rPr>
          <w:rFonts w:hint="eastAsia" w:ascii="Times New Roman" w:hAnsi="Times New Roman" w:eastAsia="方正仿宋_GBK"/>
          <w:b w:val="0"/>
          <w:bCs/>
          <w:color w:val="000000" w:themeColor="text1"/>
          <w:sz w:val="32"/>
          <w:szCs w:val="32"/>
          <w:lang w:val="en-US" w:eastAsia="zh-CN"/>
        </w:rPr>
        <w:t>从评价情况来看，我委项目资金绩效管理工作扎实，项目实施达到了预期效益</w:t>
      </w:r>
      <w:r>
        <w:rPr>
          <w:rFonts w:hint="default" w:ascii="Times New Roman" w:hAnsi="Times New Roman" w:eastAsia="方正仿宋_GBK"/>
          <w:bCs/>
          <w:sz w:val="32"/>
          <w:szCs w:val="32"/>
        </w:rPr>
        <w:t>。</w:t>
      </w:r>
      <w:bookmarkStart w:id="22" w:name="_GoBack"/>
      <w:bookmarkEnd w:id="22"/>
    </w:p>
    <w:p>
      <w:pPr>
        <w:spacing w:line="594" w:lineRule="exact"/>
        <w:jc w:val="both"/>
        <w:rPr>
          <w:rFonts w:hint="default" w:ascii="Times New Roman" w:hAnsi="Times New Roman" w:eastAsia="方正仿宋_GBK"/>
          <w:bCs/>
          <w:sz w:val="32"/>
          <w:szCs w:val="32"/>
        </w:rPr>
      </w:pPr>
    </w:p>
    <w:p>
      <w:pPr>
        <w:spacing w:line="594" w:lineRule="exact"/>
        <w:ind w:firstLine="640" w:firstLineChars="200"/>
        <w:jc w:val="both"/>
        <w:rPr>
          <w:rFonts w:hint="default" w:ascii="方正黑体_GBK" w:eastAsia="方正黑体_GBK" w:cs="宋体"/>
          <w:bCs/>
          <w:sz w:val="32"/>
          <w:szCs w:val="32"/>
        </w:rPr>
      </w:pPr>
      <w:bookmarkStart w:id="18" w:name="_Toc28573_WPSOffice_Level1"/>
      <w:bookmarkStart w:id="19" w:name="_Toc28316_WPSOffice_Level1"/>
      <w:r>
        <w:rPr>
          <w:rFonts w:ascii="方正黑体_GBK" w:eastAsia="方正黑体_GBK" w:cs="宋体"/>
          <w:bCs/>
          <w:sz w:val="32"/>
          <w:szCs w:val="32"/>
        </w:rPr>
        <w:t>五、专业名词解释</w:t>
      </w:r>
      <w:bookmarkEnd w:id="18"/>
      <w:bookmarkEnd w:id="19"/>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（一）财政拨款收入：</w:t>
      </w:r>
      <w:r>
        <w:rPr>
          <w:rFonts w:ascii="方正仿宋_GBK" w:eastAsia="方正仿宋_GBK" w:cs="宋体"/>
          <w:bCs/>
          <w:sz w:val="32"/>
          <w:szCs w:val="32"/>
        </w:rPr>
        <w:t>指本年度从本级财政部门取得的财政拨款，包括一般公共预算财政拨款和政府性基金预算财政拨款。</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（二）事业收入：</w:t>
      </w:r>
      <w:r>
        <w:rPr>
          <w:rFonts w:ascii="方正仿宋_GBK" w:eastAsia="方正仿宋_GBK" w:cs="宋体"/>
          <w:bCs/>
          <w:sz w:val="32"/>
          <w:szCs w:val="32"/>
        </w:rPr>
        <w:t>指事业单位开展专业业务活动及其辅助活动取得的收入；事业单位收到的财政专户实际核拨的教育收费等资金在此反映。</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（三）经营收入：</w:t>
      </w:r>
      <w:r>
        <w:rPr>
          <w:rFonts w:ascii="方正仿宋_GBK" w:eastAsia="方正仿宋_GBK" w:cs="宋体"/>
          <w:bCs/>
          <w:sz w:val="32"/>
          <w:szCs w:val="32"/>
        </w:rPr>
        <w:t>指事业单位在专业业务活动及其辅助活动之外开展非独立核算经营活动取得的收入。</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（四）其他收入：</w:t>
      </w:r>
      <w:r>
        <w:rPr>
          <w:rFonts w:ascii="方正仿宋_GBK" w:eastAsia="方正仿宋_GBK" w:cs="宋体"/>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（五）用事业基金弥补收支差额：</w:t>
      </w:r>
      <w:r>
        <w:rPr>
          <w:rFonts w:ascii="方正仿宋_GBK" w:eastAsia="方正仿宋_GBK" w:cs="宋体"/>
          <w:bCs/>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（六）年初结转和结余：</w:t>
      </w:r>
      <w:r>
        <w:rPr>
          <w:rFonts w:ascii="方正仿宋_GBK" w:eastAsia="方正仿宋_GBK" w:cs="宋体"/>
          <w:bCs/>
          <w:sz w:val="32"/>
          <w:szCs w:val="32"/>
        </w:rPr>
        <w:t>指单位上年结转本年使用的基本支出结转、项目支出结转和结余、经营结余。不包括事业单位净资产项下的事业基金和专用基金。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（七）结余分配：</w:t>
      </w:r>
      <w:r>
        <w:rPr>
          <w:rFonts w:ascii="方正仿宋_GBK" w:eastAsia="方正仿宋_GBK" w:cs="宋体"/>
          <w:bCs/>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（八）年末结转和结余：</w:t>
      </w:r>
      <w:r>
        <w:rPr>
          <w:rFonts w:ascii="方正仿宋_GBK" w:eastAsia="方正仿宋_GBK" w:cs="宋体"/>
          <w:bCs/>
          <w:sz w:val="32"/>
          <w:szCs w:val="32"/>
        </w:rPr>
        <w:t>指单位结转下年的基本支出结转、项目支出结转和结余、经营结余。不包括事业单位净资产项下的事业基金和专用基金。</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（九）基本支出：</w:t>
      </w:r>
      <w:r>
        <w:rPr>
          <w:rFonts w:ascii="方正仿宋_GBK" w:eastAsia="方正仿宋_GBK" w:cs="宋体"/>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（十）项目支出：</w:t>
      </w:r>
      <w:r>
        <w:rPr>
          <w:rFonts w:ascii="方正仿宋_GBK" w:eastAsia="方正仿宋_GBK" w:cs="宋体"/>
          <w:bCs/>
          <w:sz w:val="32"/>
          <w:szCs w:val="32"/>
        </w:rPr>
        <w:t>指在基本支出之外为完成特定行政任务和事业发展目标所发生的支出。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（十一）经营支出：</w:t>
      </w:r>
      <w:r>
        <w:rPr>
          <w:rFonts w:ascii="方正仿宋_GBK" w:eastAsia="方正仿宋_GBK" w:cs="宋体"/>
          <w:bCs/>
          <w:sz w:val="32"/>
          <w:szCs w:val="32"/>
        </w:rPr>
        <w:t>指事业单位在专业业务活动及其辅助活动之外开展非独立核算经营活动发生的支出。</w:t>
      </w:r>
    </w:p>
    <w:p>
      <w:pPr>
        <w:spacing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（十二）“三公”经费：</w:t>
      </w:r>
      <w:r>
        <w:rPr>
          <w:rFonts w:ascii="方正仿宋_GBK" w:eastAsia="方正仿宋_GBK" w:cs="宋体"/>
          <w:bCs/>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（十三）机关运行经费：</w:t>
      </w:r>
      <w:r>
        <w:rPr>
          <w:rFonts w:ascii="方正仿宋_GBK" w:eastAsia="方正仿宋_GBK" w:cs="宋体"/>
          <w:bCs/>
          <w:sz w:val="32"/>
          <w:szCs w:val="32"/>
        </w:rPr>
        <w:t>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（十四）工资福利支出（支出经济分类科目类级）：</w:t>
      </w:r>
      <w:r>
        <w:rPr>
          <w:rFonts w:ascii="方正仿宋_GBK" w:eastAsia="方正仿宋_GBK" w:cs="宋体"/>
          <w:bCs/>
          <w:sz w:val="32"/>
          <w:szCs w:val="32"/>
        </w:rPr>
        <w:t>反映单位开支的在职职工和编制外长期聘用人员的各类劳动报酬，以及为上述人员缴纳的各项社会保险费等。</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（十五）商品和服务支出（支出经济分类科目类级）：</w:t>
      </w:r>
      <w:r>
        <w:rPr>
          <w:rFonts w:ascii="方正仿宋_GBK" w:eastAsia="方正仿宋_GBK" w:cs="宋体"/>
          <w:bCs/>
          <w:sz w:val="32"/>
          <w:szCs w:val="32"/>
        </w:rPr>
        <w:t>反映单位购买商品和服务的支出（不包括用于购置固定资产的支出、战略性和应急储备支出）。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（十六）对个人和家庭的补助（支出经济分类科目类级）：</w:t>
      </w:r>
      <w:r>
        <w:rPr>
          <w:rFonts w:ascii="方正仿宋_GBK" w:eastAsia="方正仿宋_GBK" w:cs="宋体"/>
          <w:bCs/>
          <w:sz w:val="32"/>
          <w:szCs w:val="32"/>
        </w:rPr>
        <w:t>反映用于对个人和家庭的补助支出。</w:t>
      </w:r>
    </w:p>
    <w:p>
      <w:pPr>
        <w:pStyle w:val="43"/>
        <w:spacing w:before="0" w:beforeAutospacing="0" w:after="0" w:afterAutospacing="0" w:line="594" w:lineRule="exact"/>
        <w:ind w:firstLine="643" w:firstLineChars="200"/>
        <w:jc w:val="both"/>
        <w:rPr>
          <w:rFonts w:hint="default" w:ascii="方正仿宋_GBK" w:eastAsia="方正仿宋_GBK" w:cs="宋体"/>
          <w:bCs/>
          <w:sz w:val="32"/>
          <w:szCs w:val="32"/>
        </w:rPr>
      </w:pPr>
      <w:r>
        <w:rPr>
          <w:rFonts w:ascii="方正仿宋_GBK" w:eastAsia="方正仿宋_GBK" w:cs="宋体"/>
          <w:b/>
          <w:sz w:val="32"/>
          <w:szCs w:val="32"/>
        </w:rPr>
        <w:t>（十七）其他资本性支出（支出经济分类科目类级）：</w:t>
      </w:r>
      <w:r>
        <w:rPr>
          <w:rFonts w:ascii="方正仿宋_GBK" w:eastAsia="方正仿宋_GBK" w:cs="宋体"/>
          <w:bCs/>
          <w:sz w:val="32"/>
          <w:szCs w:val="32"/>
        </w:rPr>
        <w:t>反映非各级发展与改革部门集中安排的用于购置固定资产、战略性和应急性储备、土地和无形资产，以及构建基础设施、大型修缮和财政支持企业更新改造所发生的支出。</w:t>
      </w:r>
    </w:p>
    <w:p>
      <w:pPr>
        <w:spacing w:line="594" w:lineRule="exact"/>
        <w:ind w:firstLine="640" w:firstLineChars="200"/>
        <w:jc w:val="both"/>
        <w:rPr>
          <w:rFonts w:hint="default" w:ascii="方正黑体_GBK" w:eastAsia="方正黑体_GBK" w:cs="宋体"/>
          <w:bCs/>
          <w:sz w:val="32"/>
          <w:szCs w:val="32"/>
        </w:rPr>
      </w:pPr>
      <w:bookmarkStart w:id="20" w:name="_Toc15048_WPSOffice_Level1"/>
      <w:bookmarkStart w:id="21" w:name="_Toc9420_WPSOffice_Level1"/>
      <w:r>
        <w:rPr>
          <w:rFonts w:ascii="方正黑体_GBK" w:eastAsia="方正黑体_GBK" w:cs="宋体"/>
          <w:bCs/>
          <w:sz w:val="32"/>
          <w:szCs w:val="32"/>
        </w:rPr>
        <w:t>六、决算公开联系方式</w:t>
      </w:r>
      <w:bookmarkEnd w:id="20"/>
      <w:bookmarkEnd w:id="21"/>
    </w:p>
    <w:p>
      <w:pPr>
        <w:spacing w:line="594" w:lineRule="exact"/>
        <w:ind w:firstLine="640" w:firstLineChars="200"/>
        <w:jc w:val="both"/>
        <w:rPr>
          <w:rFonts w:hint="default"/>
        </w:rPr>
      </w:pPr>
      <w:r>
        <w:rPr>
          <w:rFonts w:ascii="方正仿宋_GBK" w:eastAsia="方正仿宋_GBK" w:cs="宋体"/>
          <w:bCs/>
          <w:sz w:val="32"/>
          <w:szCs w:val="32"/>
        </w:rPr>
        <w:t>本单位决算公开信息反馈和联系方式：023-</w:t>
      </w:r>
      <w:bookmarkEnd w:id="15"/>
      <w:r>
        <w:rPr>
          <w:rFonts w:ascii="方正仿宋_GBK" w:eastAsia="方正仿宋_GBK" w:cs="宋体"/>
          <w:bCs/>
          <w:sz w:val="32"/>
          <w:szCs w:val="32"/>
        </w:rPr>
        <w:t>63256355</w:t>
      </w:r>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51F0584E-D4C9-4730-957D-D24F07958623}"/>
  </w:font>
  <w:font w:name="方正小标宋_GBK">
    <w:panose1 w:val="02000000000000000000"/>
    <w:charset w:val="86"/>
    <w:family w:val="script"/>
    <w:pitch w:val="default"/>
    <w:sig w:usb0="A00002BF" w:usb1="38CF7CFA" w:usb2="00082016" w:usb3="00000000" w:csb0="00040001" w:csb1="00000000"/>
    <w:embedRegular r:id="rId2" w:fontKey="{6D5E76C9-0012-4C17-97D5-D79FDF85C60B}"/>
  </w:font>
  <w:font w:name="方正黑体_GBK">
    <w:panose1 w:val="03000509000000000000"/>
    <w:charset w:val="86"/>
    <w:family w:val="script"/>
    <w:pitch w:val="default"/>
    <w:sig w:usb0="00000001" w:usb1="080E0000" w:usb2="00000000" w:usb3="00000000" w:csb0="00040000" w:csb1="00000000"/>
    <w:embedRegular r:id="rId3" w:fontKey="{41276F3C-AC2B-4814-8CB8-58B0E15E2829}"/>
  </w:font>
  <w:font w:name="方正楷体_GBK">
    <w:panose1 w:val="02000000000000000000"/>
    <w:charset w:val="86"/>
    <w:family w:val="script"/>
    <w:pitch w:val="default"/>
    <w:sig w:usb0="800002BF" w:usb1="38CF7CFA" w:usb2="00000016" w:usb3="00000000" w:csb0="00040000" w:csb1="00000000"/>
    <w:embedRegular r:id="rId4" w:fontKey="{F67BC0FD-5EC7-45CD-B546-2AC830130D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482E5"/>
    <w:multiLevelType w:val="singleLevel"/>
    <w:tmpl w:val="D87482E5"/>
    <w:lvl w:ilvl="0" w:tentative="0">
      <w:start w:val="6"/>
      <w:numFmt w:val="chineseCounting"/>
      <w:suff w:val="nothing"/>
      <w:lvlText w:val="（%1）"/>
      <w:lvlJc w:val="left"/>
      <w:rPr>
        <w:rFonts w:hint="eastAsia"/>
      </w:rPr>
    </w:lvl>
  </w:abstractNum>
  <w:abstractNum w:abstractNumId="1">
    <w:nsid w:val="2F9ACA90"/>
    <w:multiLevelType w:val="singleLevel"/>
    <w:tmpl w:val="2F9ACA9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4ODY5MmZkNmNiOGIzYTI5ZTE5MzQ2YWFiMWI2OTIifQ=="/>
  </w:docVars>
  <w:rsids>
    <w:rsidRoot w:val="00E63878"/>
    <w:rsid w:val="00003CE5"/>
    <w:rsid w:val="0003673B"/>
    <w:rsid w:val="00061267"/>
    <w:rsid w:val="000741ED"/>
    <w:rsid w:val="000C0D69"/>
    <w:rsid w:val="000C1E95"/>
    <w:rsid w:val="000D381B"/>
    <w:rsid w:val="000E6AA3"/>
    <w:rsid w:val="000F2F8D"/>
    <w:rsid w:val="00143C7B"/>
    <w:rsid w:val="001528C5"/>
    <w:rsid w:val="00154D7E"/>
    <w:rsid w:val="001560F7"/>
    <w:rsid w:val="0016243F"/>
    <w:rsid w:val="001634AD"/>
    <w:rsid w:val="00191D66"/>
    <w:rsid w:val="00195758"/>
    <w:rsid w:val="001C36D3"/>
    <w:rsid w:val="001E1A7E"/>
    <w:rsid w:val="00200D3A"/>
    <w:rsid w:val="002159A3"/>
    <w:rsid w:val="00244E6C"/>
    <w:rsid w:val="00253F14"/>
    <w:rsid w:val="0026265D"/>
    <w:rsid w:val="00277A93"/>
    <w:rsid w:val="00297D53"/>
    <w:rsid w:val="002A4E6C"/>
    <w:rsid w:val="002A67AD"/>
    <w:rsid w:val="00354F52"/>
    <w:rsid w:val="0036792F"/>
    <w:rsid w:val="00381CBF"/>
    <w:rsid w:val="00384AE9"/>
    <w:rsid w:val="003A2147"/>
    <w:rsid w:val="003A34D3"/>
    <w:rsid w:val="003B3997"/>
    <w:rsid w:val="003D627E"/>
    <w:rsid w:val="00461D58"/>
    <w:rsid w:val="00467E7B"/>
    <w:rsid w:val="004A6002"/>
    <w:rsid w:val="004C5517"/>
    <w:rsid w:val="004C6C47"/>
    <w:rsid w:val="004D41C6"/>
    <w:rsid w:val="004D6C65"/>
    <w:rsid w:val="0050017B"/>
    <w:rsid w:val="00547412"/>
    <w:rsid w:val="00583736"/>
    <w:rsid w:val="005853DE"/>
    <w:rsid w:val="005B3555"/>
    <w:rsid w:val="005C5F4A"/>
    <w:rsid w:val="005D1F52"/>
    <w:rsid w:val="005F59BB"/>
    <w:rsid w:val="006006CD"/>
    <w:rsid w:val="006044FA"/>
    <w:rsid w:val="00613716"/>
    <w:rsid w:val="00661646"/>
    <w:rsid w:val="00680E12"/>
    <w:rsid w:val="00691047"/>
    <w:rsid w:val="006C2C84"/>
    <w:rsid w:val="00702B0D"/>
    <w:rsid w:val="00776411"/>
    <w:rsid w:val="007B50B9"/>
    <w:rsid w:val="007C68E2"/>
    <w:rsid w:val="007C7210"/>
    <w:rsid w:val="007D28D8"/>
    <w:rsid w:val="00831B55"/>
    <w:rsid w:val="00847EC6"/>
    <w:rsid w:val="008A6067"/>
    <w:rsid w:val="008B5D5C"/>
    <w:rsid w:val="008C5C32"/>
    <w:rsid w:val="008D1F89"/>
    <w:rsid w:val="008D4372"/>
    <w:rsid w:val="00927B82"/>
    <w:rsid w:val="00950FB9"/>
    <w:rsid w:val="009877A0"/>
    <w:rsid w:val="0099400D"/>
    <w:rsid w:val="009A0C95"/>
    <w:rsid w:val="009C13DA"/>
    <w:rsid w:val="009E3C25"/>
    <w:rsid w:val="00A137AB"/>
    <w:rsid w:val="00A22687"/>
    <w:rsid w:val="00A6130B"/>
    <w:rsid w:val="00A7316B"/>
    <w:rsid w:val="00A8068E"/>
    <w:rsid w:val="00AA0D32"/>
    <w:rsid w:val="00AC55EE"/>
    <w:rsid w:val="00AD7788"/>
    <w:rsid w:val="00AE25E3"/>
    <w:rsid w:val="00AF0405"/>
    <w:rsid w:val="00AF74A0"/>
    <w:rsid w:val="00B10078"/>
    <w:rsid w:val="00B27FFB"/>
    <w:rsid w:val="00B34895"/>
    <w:rsid w:val="00B85215"/>
    <w:rsid w:val="00BA47F8"/>
    <w:rsid w:val="00BA4FED"/>
    <w:rsid w:val="00BA6B42"/>
    <w:rsid w:val="00BB3983"/>
    <w:rsid w:val="00C14FD5"/>
    <w:rsid w:val="00C46775"/>
    <w:rsid w:val="00C534BD"/>
    <w:rsid w:val="00C856D6"/>
    <w:rsid w:val="00CB1BBB"/>
    <w:rsid w:val="00CD3568"/>
    <w:rsid w:val="00CD73D5"/>
    <w:rsid w:val="00CE00CB"/>
    <w:rsid w:val="00CE1605"/>
    <w:rsid w:val="00D00FF7"/>
    <w:rsid w:val="00D01317"/>
    <w:rsid w:val="00D0388B"/>
    <w:rsid w:val="00D23B89"/>
    <w:rsid w:val="00D25833"/>
    <w:rsid w:val="00D40510"/>
    <w:rsid w:val="00D7736B"/>
    <w:rsid w:val="00D82803"/>
    <w:rsid w:val="00D97C9C"/>
    <w:rsid w:val="00DD3FE6"/>
    <w:rsid w:val="00DD49CC"/>
    <w:rsid w:val="00DE164B"/>
    <w:rsid w:val="00DE5822"/>
    <w:rsid w:val="00E14735"/>
    <w:rsid w:val="00E151E3"/>
    <w:rsid w:val="00E20F29"/>
    <w:rsid w:val="00E22A4B"/>
    <w:rsid w:val="00E25991"/>
    <w:rsid w:val="00E63878"/>
    <w:rsid w:val="00E8074B"/>
    <w:rsid w:val="00EB1EB1"/>
    <w:rsid w:val="00ED195A"/>
    <w:rsid w:val="00EE04FA"/>
    <w:rsid w:val="00EE254F"/>
    <w:rsid w:val="00EF62F7"/>
    <w:rsid w:val="00F10ABF"/>
    <w:rsid w:val="00F24E9E"/>
    <w:rsid w:val="00F25E96"/>
    <w:rsid w:val="00F5457D"/>
    <w:rsid w:val="00F864BC"/>
    <w:rsid w:val="00FB183A"/>
    <w:rsid w:val="00FC170B"/>
    <w:rsid w:val="020D5E75"/>
    <w:rsid w:val="02E22B85"/>
    <w:rsid w:val="04820CBC"/>
    <w:rsid w:val="05F52FFB"/>
    <w:rsid w:val="06885292"/>
    <w:rsid w:val="079C1115"/>
    <w:rsid w:val="08485F8A"/>
    <w:rsid w:val="08950143"/>
    <w:rsid w:val="08A23FDD"/>
    <w:rsid w:val="08C95681"/>
    <w:rsid w:val="0A1A6B1E"/>
    <w:rsid w:val="0A6016FF"/>
    <w:rsid w:val="0AF20BCC"/>
    <w:rsid w:val="0B070D1C"/>
    <w:rsid w:val="0B6825A9"/>
    <w:rsid w:val="0C6D1064"/>
    <w:rsid w:val="0C9B1662"/>
    <w:rsid w:val="0D543D30"/>
    <w:rsid w:val="0DC507F8"/>
    <w:rsid w:val="0EB91D09"/>
    <w:rsid w:val="0F374E15"/>
    <w:rsid w:val="101262AD"/>
    <w:rsid w:val="10860921"/>
    <w:rsid w:val="10865739"/>
    <w:rsid w:val="14DB7722"/>
    <w:rsid w:val="14F62A08"/>
    <w:rsid w:val="15AE59E3"/>
    <w:rsid w:val="16547EFD"/>
    <w:rsid w:val="174444E5"/>
    <w:rsid w:val="17800D4C"/>
    <w:rsid w:val="179B104C"/>
    <w:rsid w:val="189B721C"/>
    <w:rsid w:val="18BE532B"/>
    <w:rsid w:val="190B3503"/>
    <w:rsid w:val="19366E78"/>
    <w:rsid w:val="19554742"/>
    <w:rsid w:val="19D22E6E"/>
    <w:rsid w:val="1A7A4306"/>
    <w:rsid w:val="1BDB0D88"/>
    <w:rsid w:val="1BDE5270"/>
    <w:rsid w:val="1D6D331E"/>
    <w:rsid w:val="1DB3104A"/>
    <w:rsid w:val="1DBA0C5A"/>
    <w:rsid w:val="1DD90D57"/>
    <w:rsid w:val="1DF20758"/>
    <w:rsid w:val="1FCC7032"/>
    <w:rsid w:val="20967DFE"/>
    <w:rsid w:val="20A1644F"/>
    <w:rsid w:val="21D307FD"/>
    <w:rsid w:val="22602BED"/>
    <w:rsid w:val="2323588D"/>
    <w:rsid w:val="23E35EB8"/>
    <w:rsid w:val="23FD2F32"/>
    <w:rsid w:val="248C1F28"/>
    <w:rsid w:val="25BF07C0"/>
    <w:rsid w:val="26D068AF"/>
    <w:rsid w:val="28FD10F5"/>
    <w:rsid w:val="2A257124"/>
    <w:rsid w:val="2A812BF6"/>
    <w:rsid w:val="2C130121"/>
    <w:rsid w:val="2C360B23"/>
    <w:rsid w:val="2CA225DF"/>
    <w:rsid w:val="2CC77F94"/>
    <w:rsid w:val="2DD830BF"/>
    <w:rsid w:val="2E8370FE"/>
    <w:rsid w:val="31C430E0"/>
    <w:rsid w:val="32A974B4"/>
    <w:rsid w:val="32DD5A5D"/>
    <w:rsid w:val="3301349A"/>
    <w:rsid w:val="33C95C7F"/>
    <w:rsid w:val="33DF4970"/>
    <w:rsid w:val="356D4B99"/>
    <w:rsid w:val="35802138"/>
    <w:rsid w:val="35BF3642"/>
    <w:rsid w:val="365E2017"/>
    <w:rsid w:val="368D1285"/>
    <w:rsid w:val="38160B6F"/>
    <w:rsid w:val="3853103B"/>
    <w:rsid w:val="3B072155"/>
    <w:rsid w:val="3CF01FFD"/>
    <w:rsid w:val="3D576E46"/>
    <w:rsid w:val="3D725E77"/>
    <w:rsid w:val="3D915B28"/>
    <w:rsid w:val="3DCF258E"/>
    <w:rsid w:val="3F6025F3"/>
    <w:rsid w:val="40702729"/>
    <w:rsid w:val="40704D13"/>
    <w:rsid w:val="40D00C6E"/>
    <w:rsid w:val="414C61A6"/>
    <w:rsid w:val="41776968"/>
    <w:rsid w:val="42087585"/>
    <w:rsid w:val="429E1386"/>
    <w:rsid w:val="42C1457B"/>
    <w:rsid w:val="4467022A"/>
    <w:rsid w:val="459F4291"/>
    <w:rsid w:val="45E765BC"/>
    <w:rsid w:val="460478F2"/>
    <w:rsid w:val="46076203"/>
    <w:rsid w:val="46EB299B"/>
    <w:rsid w:val="476A0032"/>
    <w:rsid w:val="47FD2715"/>
    <w:rsid w:val="483F05EC"/>
    <w:rsid w:val="48964089"/>
    <w:rsid w:val="49474678"/>
    <w:rsid w:val="4A8C32B2"/>
    <w:rsid w:val="4A9C0639"/>
    <w:rsid w:val="4AC14A75"/>
    <w:rsid w:val="4ADE4B2F"/>
    <w:rsid w:val="4BE567AE"/>
    <w:rsid w:val="4DC23A51"/>
    <w:rsid w:val="4DCB2CE9"/>
    <w:rsid w:val="4F293EF1"/>
    <w:rsid w:val="4F9F7A95"/>
    <w:rsid w:val="4FA51531"/>
    <w:rsid w:val="512523E2"/>
    <w:rsid w:val="51993BAE"/>
    <w:rsid w:val="51F96613"/>
    <w:rsid w:val="52FA3836"/>
    <w:rsid w:val="53FD06F1"/>
    <w:rsid w:val="547F6514"/>
    <w:rsid w:val="552349F3"/>
    <w:rsid w:val="574760DB"/>
    <w:rsid w:val="583100D3"/>
    <w:rsid w:val="5BE26B34"/>
    <w:rsid w:val="5DDF36C1"/>
    <w:rsid w:val="61D413E0"/>
    <w:rsid w:val="61EB7064"/>
    <w:rsid w:val="62CA5BA9"/>
    <w:rsid w:val="62D60225"/>
    <w:rsid w:val="636A0F24"/>
    <w:rsid w:val="63D81121"/>
    <w:rsid w:val="640069E4"/>
    <w:rsid w:val="64AC6EF6"/>
    <w:rsid w:val="66925301"/>
    <w:rsid w:val="6705110C"/>
    <w:rsid w:val="67C42263"/>
    <w:rsid w:val="68352D14"/>
    <w:rsid w:val="68667A43"/>
    <w:rsid w:val="693F6FCA"/>
    <w:rsid w:val="6A0F2638"/>
    <w:rsid w:val="6C4B3B29"/>
    <w:rsid w:val="6C5D4D45"/>
    <w:rsid w:val="6C972414"/>
    <w:rsid w:val="6E3D53FE"/>
    <w:rsid w:val="6E51704E"/>
    <w:rsid w:val="6EB17F3B"/>
    <w:rsid w:val="6F0B6B21"/>
    <w:rsid w:val="6FFA6688"/>
    <w:rsid w:val="716D4304"/>
    <w:rsid w:val="72846DF6"/>
    <w:rsid w:val="738E748A"/>
    <w:rsid w:val="73F72F49"/>
    <w:rsid w:val="74716370"/>
    <w:rsid w:val="75B63A86"/>
    <w:rsid w:val="760F4AB4"/>
    <w:rsid w:val="76422174"/>
    <w:rsid w:val="76BE7CA0"/>
    <w:rsid w:val="77C71FEE"/>
    <w:rsid w:val="786F2F7A"/>
    <w:rsid w:val="787B2FEF"/>
    <w:rsid w:val="78BF2F88"/>
    <w:rsid w:val="797B1FD5"/>
    <w:rsid w:val="79AF0DE3"/>
    <w:rsid w:val="79F75116"/>
    <w:rsid w:val="7A6061A3"/>
    <w:rsid w:val="7A976741"/>
    <w:rsid w:val="7B49390F"/>
    <w:rsid w:val="7B8C61AB"/>
    <w:rsid w:val="7BD3793A"/>
    <w:rsid w:val="7C5922CF"/>
    <w:rsid w:val="7D113EDB"/>
    <w:rsid w:val="7E46560F"/>
    <w:rsid w:val="7E8E1A70"/>
    <w:rsid w:val="7F34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unhideWhenUsed/>
    <w:qFormat/>
    <w:uiPriority w:val="99"/>
    <w:pPr>
      <w:spacing w:before="100" w:beforeAutospacing="1" w:after="100" w:afterAutospacing="1"/>
    </w:pPr>
  </w:style>
  <w:style w:type="paragraph" w:styleId="6">
    <w:name w:val="Title"/>
    <w:basedOn w:val="1"/>
    <w:next w:val="1"/>
    <w:link w:val="31"/>
    <w:qFormat/>
    <w:uiPriority w:val="10"/>
    <w:pPr>
      <w:spacing w:before="240" w:after="60"/>
      <w:jc w:val="center"/>
      <w:outlineLvl w:val="0"/>
    </w:pPr>
    <w:rPr>
      <w:rFonts w:hint="default" w:ascii="Cambria" w:hAnsi="Cambria"/>
      <w:b/>
      <w:sz w:val="32"/>
      <w:szCs w:val="32"/>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qFormat/>
    <w:uiPriority w:val="99"/>
    <w:rPr>
      <w:color w:val="800080"/>
      <w:u w:val="single"/>
    </w:rPr>
  </w:style>
  <w:style w:type="character" w:styleId="12">
    <w:name w:val="Hyperlink"/>
    <w:qFormat/>
    <w:uiPriority w:val="99"/>
    <w:rPr>
      <w:color w:val="0000FF"/>
      <w:u w:val="single"/>
    </w:rPr>
  </w:style>
  <w:style w:type="character" w:customStyle="1" w:styleId="13">
    <w:name w:val="页眉 字符"/>
    <w:basedOn w:val="8"/>
    <w:link w:val="3"/>
    <w:qFormat/>
    <w:uiPriority w:val="99"/>
    <w:rPr>
      <w:sz w:val="18"/>
      <w:szCs w:val="18"/>
    </w:rPr>
  </w:style>
  <w:style w:type="character" w:customStyle="1" w:styleId="14">
    <w:name w:val="页脚 字符"/>
    <w:basedOn w:val="8"/>
    <w:link w:val="2"/>
    <w:qFormat/>
    <w:uiPriority w:val="99"/>
    <w:rPr>
      <w:sz w:val="18"/>
      <w:szCs w:val="18"/>
    </w:rPr>
  </w:style>
  <w:style w:type="character" w:customStyle="1" w:styleId="15">
    <w:name w:val="27"/>
    <w:qFormat/>
    <w:uiPriority w:val="0"/>
    <w:rPr>
      <w:rFonts w:hint="eastAsia" w:ascii="宋体" w:hAnsi="宋体" w:eastAsia="宋体" w:cs="宋体"/>
      <w:b/>
      <w:sz w:val="32"/>
      <w:szCs w:val="32"/>
    </w:rPr>
  </w:style>
  <w:style w:type="character" w:customStyle="1" w:styleId="16">
    <w:name w:val="页码1"/>
    <w:qFormat/>
    <w:uiPriority w:val="0"/>
    <w:rPr>
      <w:rFonts w:hint="default" w:ascii="Times New Roman" w:hAnsi="Times New Roman" w:cs="Times New Roman"/>
    </w:rPr>
  </w:style>
  <w:style w:type="character" w:customStyle="1" w:styleId="17">
    <w:name w:val="22"/>
    <w:qFormat/>
    <w:uiPriority w:val="0"/>
    <w:rPr>
      <w:rFonts w:hint="default" w:ascii="Times New Roman" w:hAnsi="Times New Roman" w:cs="Times New Roman"/>
      <w:b/>
    </w:rPr>
  </w:style>
  <w:style w:type="character" w:customStyle="1" w:styleId="18">
    <w:name w:val="26"/>
    <w:qFormat/>
    <w:uiPriority w:val="0"/>
    <w:rPr>
      <w:rFonts w:hint="default" w:ascii="Times New Roman" w:hAnsi="Times New Roman" w:cs="Times New Roman"/>
      <w:b/>
    </w:rPr>
  </w:style>
  <w:style w:type="character" w:customStyle="1" w:styleId="19">
    <w:name w:val="20"/>
    <w:qFormat/>
    <w:uiPriority w:val="0"/>
    <w:rPr>
      <w:rFonts w:hint="default" w:ascii="Times New Roman" w:hAnsi="Times New Roman" w:cs="Times New Roman"/>
      <w:b/>
    </w:rPr>
  </w:style>
  <w:style w:type="character" w:customStyle="1" w:styleId="20">
    <w:name w:val="18"/>
    <w:qFormat/>
    <w:uiPriority w:val="0"/>
    <w:rPr>
      <w:rFonts w:hint="default" w:ascii="Times New Roman" w:hAnsi="Times New Roman" w:cs="Times New Roman"/>
      <w:b/>
      <w:bCs/>
    </w:rPr>
  </w:style>
  <w:style w:type="character" w:customStyle="1" w:styleId="21">
    <w:name w:val="19"/>
    <w:qFormat/>
    <w:uiPriority w:val="0"/>
    <w:rPr>
      <w:rFonts w:hint="eastAsia" w:ascii="黑体" w:hAnsi="宋体" w:eastAsia="黑体" w:cs="黑体"/>
      <w:color w:val="000000"/>
      <w:sz w:val="30"/>
      <w:szCs w:val="30"/>
    </w:rPr>
  </w:style>
  <w:style w:type="character" w:customStyle="1" w:styleId="22">
    <w:name w:val="25"/>
    <w:qFormat/>
    <w:uiPriority w:val="0"/>
    <w:rPr>
      <w:rFonts w:hint="eastAsia" w:ascii="黑体" w:eastAsia="黑体" w:cs="黑体"/>
      <w:color w:val="000000"/>
      <w:sz w:val="30"/>
      <w:szCs w:val="30"/>
    </w:rPr>
  </w:style>
  <w:style w:type="character" w:customStyle="1" w:styleId="23">
    <w:name w:val="16"/>
    <w:qFormat/>
    <w:uiPriority w:val="0"/>
    <w:rPr>
      <w:rFonts w:hint="default" w:ascii="Times New Roman" w:hAnsi="Times New Roman" w:cs="Times New Roman"/>
      <w:b/>
    </w:rPr>
  </w:style>
  <w:style w:type="character" w:customStyle="1" w:styleId="24">
    <w:name w:val="28"/>
    <w:qFormat/>
    <w:uiPriority w:val="0"/>
    <w:rPr>
      <w:rFonts w:hint="default" w:ascii="Calibri" w:hAnsi="Calibri" w:cs="Calibri"/>
    </w:rPr>
  </w:style>
  <w:style w:type="character" w:customStyle="1" w:styleId="25">
    <w:name w:val="15"/>
    <w:basedOn w:val="8"/>
    <w:qFormat/>
    <w:uiPriority w:val="0"/>
    <w:rPr>
      <w:rFonts w:hint="default" w:ascii="Times New Roman" w:hAnsi="Times New Roman" w:cs="Times New Roman"/>
      <w:b/>
    </w:rPr>
  </w:style>
  <w:style w:type="character" w:customStyle="1" w:styleId="26">
    <w:name w:val="24"/>
    <w:qFormat/>
    <w:uiPriority w:val="0"/>
    <w:rPr>
      <w:rFonts w:hint="default" w:ascii="Times New Roman" w:hAnsi="Times New Roman" w:cs="Times New Roman"/>
      <w:b/>
    </w:rPr>
  </w:style>
  <w:style w:type="character" w:customStyle="1" w:styleId="27">
    <w:name w:val="17"/>
    <w:qFormat/>
    <w:uiPriority w:val="0"/>
    <w:rPr>
      <w:rFonts w:hint="default" w:ascii="Times New Roman" w:hAnsi="Times New Roman" w:cs="Times New Roman"/>
      <w:b/>
    </w:rPr>
  </w:style>
  <w:style w:type="character" w:customStyle="1" w:styleId="28">
    <w:name w:val="p17 Char"/>
    <w:link w:val="29"/>
    <w:qFormat/>
    <w:uiPriority w:val="0"/>
    <w:rPr>
      <w:rFonts w:ascii="宋体" w:hAnsi="宋体"/>
      <w:kern w:val="0"/>
      <w:sz w:val="24"/>
      <w:szCs w:val="24"/>
    </w:rPr>
  </w:style>
  <w:style w:type="paragraph" w:customStyle="1" w:styleId="29">
    <w:name w:val="p17"/>
    <w:basedOn w:val="1"/>
    <w:link w:val="28"/>
    <w:qFormat/>
    <w:uiPriority w:val="0"/>
    <w:pPr>
      <w:spacing w:before="100" w:after="100"/>
    </w:pPr>
    <w:rPr>
      <w:rFonts w:eastAsiaTheme="minorEastAsia" w:cstheme="minorBidi"/>
    </w:rPr>
  </w:style>
  <w:style w:type="paragraph" w:customStyle="1" w:styleId="30">
    <w:name w:val="p30"/>
    <w:basedOn w:val="1"/>
    <w:qFormat/>
    <w:uiPriority w:val="0"/>
    <w:pPr>
      <w:spacing w:before="100" w:after="100"/>
    </w:pPr>
  </w:style>
  <w:style w:type="character" w:customStyle="1" w:styleId="31">
    <w:name w:val="标题 字符"/>
    <w:basedOn w:val="8"/>
    <w:link w:val="6"/>
    <w:qFormat/>
    <w:uiPriority w:val="10"/>
    <w:rPr>
      <w:rFonts w:ascii="Cambria" w:hAnsi="Cambria" w:eastAsia="宋体" w:cs="Times New Roman"/>
      <w:b/>
      <w:kern w:val="0"/>
      <w:sz w:val="32"/>
      <w:szCs w:val="32"/>
    </w:rPr>
  </w:style>
  <w:style w:type="paragraph" w:customStyle="1" w:styleId="32">
    <w:name w:val="p26"/>
    <w:basedOn w:val="1"/>
    <w:qFormat/>
    <w:uiPriority w:val="0"/>
  </w:style>
  <w:style w:type="paragraph" w:customStyle="1" w:styleId="33">
    <w:name w:val="p43"/>
    <w:basedOn w:val="1"/>
    <w:qFormat/>
    <w:uiPriority w:val="0"/>
  </w:style>
  <w:style w:type="paragraph" w:customStyle="1" w:styleId="34">
    <w:name w:val="列出段落1"/>
    <w:basedOn w:val="1"/>
    <w:qFormat/>
    <w:uiPriority w:val="99"/>
    <w:pPr>
      <w:ind w:firstLine="420" w:firstLineChars="200"/>
    </w:pPr>
  </w:style>
  <w:style w:type="paragraph" w:customStyle="1" w:styleId="35">
    <w:name w:val="p23"/>
    <w:basedOn w:val="1"/>
    <w:qFormat/>
    <w:uiPriority w:val="0"/>
    <w:pPr>
      <w:spacing w:before="100" w:after="100"/>
    </w:pPr>
  </w:style>
  <w:style w:type="paragraph" w:customStyle="1" w:styleId="36">
    <w:name w:val="p21"/>
    <w:basedOn w:val="1"/>
    <w:qFormat/>
    <w:uiPriority w:val="0"/>
    <w:pPr>
      <w:spacing w:before="100" w:after="100"/>
    </w:pPr>
  </w:style>
  <w:style w:type="paragraph" w:customStyle="1" w:styleId="37">
    <w:name w:val="p29"/>
    <w:basedOn w:val="1"/>
    <w:qFormat/>
    <w:uiPriority w:val="0"/>
  </w:style>
  <w:style w:type="paragraph" w:customStyle="1" w:styleId="38">
    <w:name w:val="p0"/>
    <w:basedOn w:val="1"/>
    <w:qFormat/>
    <w:uiPriority w:val="0"/>
  </w:style>
  <w:style w:type="paragraph" w:customStyle="1" w:styleId="39">
    <w:name w:val="p27"/>
    <w:basedOn w:val="1"/>
    <w:qFormat/>
    <w:uiPriority w:val="0"/>
  </w:style>
  <w:style w:type="paragraph" w:customStyle="1" w:styleId="40">
    <w:name w:val="p22"/>
    <w:basedOn w:val="1"/>
    <w:qFormat/>
    <w:uiPriority w:val="0"/>
  </w:style>
  <w:style w:type="paragraph" w:customStyle="1" w:styleId="41">
    <w:name w:val="p32"/>
    <w:basedOn w:val="1"/>
    <w:qFormat/>
    <w:uiPriority w:val="0"/>
    <w:pPr>
      <w:spacing w:before="100" w:after="100" w:line="240" w:lineRule="atLeast"/>
    </w:pPr>
  </w:style>
  <w:style w:type="paragraph" w:customStyle="1" w:styleId="42">
    <w:name w:val="样式1"/>
    <w:basedOn w:val="1"/>
    <w:qFormat/>
    <w:uiPriority w:val="0"/>
    <w:pPr>
      <w:spacing w:line="600" w:lineRule="exact"/>
      <w:ind w:firstLine="640" w:firstLineChars="200"/>
    </w:pPr>
    <w:rPr>
      <w:rFonts w:hint="default" w:ascii="Times New Roman" w:hAnsi="Times New Roman" w:eastAsia="方正仿宋_GBK"/>
      <w:spacing w:val="-3"/>
      <w:sz w:val="32"/>
      <w:szCs w:val="32"/>
    </w:rPr>
  </w:style>
  <w:style w:type="paragraph" w:customStyle="1" w:styleId="43">
    <w:name w:val="普通(网站) Char"/>
    <w:basedOn w:val="1"/>
    <w:qFormat/>
    <w:uiPriority w:val="0"/>
    <w:pPr>
      <w:spacing w:before="100" w:beforeAutospacing="1" w:after="100" w:afterAutospacing="1"/>
    </w:pPr>
  </w:style>
  <w:style w:type="paragraph" w:customStyle="1" w:styleId="44">
    <w:name w:val="p24"/>
    <w:basedOn w:val="1"/>
    <w:qFormat/>
    <w:uiPriority w:val="0"/>
    <w:pPr>
      <w:spacing w:before="100" w:after="100"/>
    </w:pPr>
  </w:style>
  <w:style w:type="paragraph" w:customStyle="1" w:styleId="45">
    <w:name w:val="_Style 1"/>
    <w:basedOn w:val="1"/>
    <w:qFormat/>
    <w:uiPriority w:val="99"/>
    <w:pPr>
      <w:ind w:firstLine="420" w:firstLineChars="200"/>
    </w:pPr>
  </w:style>
  <w:style w:type="paragraph" w:customStyle="1" w:styleId="46">
    <w:name w:val="无间隔1"/>
    <w:basedOn w:val="1"/>
    <w:qFormat/>
    <w:uiPriority w:val="1"/>
    <w:pPr>
      <w:widowControl w:val="0"/>
      <w:jc w:val="both"/>
    </w:pPr>
    <w:rPr>
      <w:rFonts w:hint="default" w:ascii="Calibri" w:hAnsi="Calibri"/>
      <w:kern w:val="2"/>
      <w:sz w:val="21"/>
      <w:szCs w:val="22"/>
    </w:rPr>
  </w:style>
  <w:style w:type="paragraph" w:customStyle="1" w:styleId="47">
    <w:name w:val="msolistparagraph"/>
    <w:basedOn w:val="1"/>
    <w:qFormat/>
    <w:uiPriority w:val="0"/>
    <w:pPr>
      <w:ind w:firstLine="420" w:firstLineChars="200"/>
    </w:pPr>
  </w:style>
  <w:style w:type="paragraph" w:customStyle="1" w:styleId="48">
    <w:name w:val="WPSOffice手动目录 1"/>
    <w:qFormat/>
    <w:uiPriority w:val="0"/>
    <w:rPr>
      <w:rFonts w:ascii="Calibri" w:hAnsi="Calibri" w:eastAsia="宋体" w:cs="Times New Roman"/>
      <w:lang w:val="en-US" w:eastAsia="zh-CN" w:bidi="ar-SA"/>
    </w:rPr>
  </w:style>
  <w:style w:type="paragraph" w:styleId="49">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paragraph" w:customStyle="1" w:styleId="50">
    <w:name w:val="xl65"/>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1">
    <w:name w:val="xl66"/>
    <w:basedOn w:val="1"/>
    <w:qFormat/>
    <w:uiPriority w:val="0"/>
    <w:pPr>
      <w:pBdr>
        <w:bottom w:val="single" w:color="000000" w:sz="4"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2">
    <w:name w:val="xl67"/>
    <w:basedOn w:val="1"/>
    <w:qFormat/>
    <w:uiPriority w:val="0"/>
    <w:pPr>
      <w:pBdr>
        <w:bottom w:val="single" w:color="000000" w:sz="4"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53">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54">
    <w:name w:val="xl69"/>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hint="default" w:cs="宋体"/>
    </w:rPr>
  </w:style>
  <w:style w:type="paragraph" w:customStyle="1" w:styleId="55">
    <w:name w:val="xl70"/>
    <w:basedOn w:val="1"/>
    <w:qFormat/>
    <w:uiPriority w:val="0"/>
    <w:pPr>
      <w:pBdr>
        <w:bottom w:val="single" w:color="000000" w:sz="4" w:space="0"/>
        <w:right w:val="single" w:color="000000" w:sz="12" w:space="0"/>
      </w:pBdr>
      <w:shd w:val="clear" w:color="000000" w:fill="FFFFFF"/>
      <w:spacing w:before="100" w:beforeAutospacing="1" w:after="100" w:afterAutospacing="1"/>
      <w:jc w:val="right"/>
      <w:textAlignment w:val="center"/>
    </w:pPr>
    <w:rPr>
      <w:rFonts w:hint="default" w:cs="宋体"/>
    </w:rPr>
  </w:style>
  <w:style w:type="paragraph" w:customStyle="1" w:styleId="56">
    <w:name w:val="xl71"/>
    <w:basedOn w:val="1"/>
    <w:qFormat/>
    <w:uiPriority w:val="0"/>
    <w:pPr>
      <w:pBdr>
        <w:bottom w:val="single" w:color="000000" w:sz="4" w:space="0"/>
        <w:right w:val="single" w:color="000000" w:sz="4" w:space="0"/>
      </w:pBdr>
      <w:shd w:val="clear" w:color="000000" w:fill="FFFFFF"/>
      <w:spacing w:before="100" w:beforeAutospacing="1" w:after="100" w:afterAutospacing="1"/>
      <w:jc w:val="center"/>
      <w:textAlignment w:val="center"/>
    </w:pPr>
    <w:rPr>
      <w:rFonts w:hint="default" w:cs="宋体"/>
    </w:rPr>
  </w:style>
  <w:style w:type="paragraph" w:customStyle="1" w:styleId="57">
    <w:name w:val="xl72"/>
    <w:basedOn w:val="1"/>
    <w:qFormat/>
    <w:uiPriority w:val="0"/>
    <w:pPr>
      <w:pBdr>
        <w:bottom w:val="single" w:color="000000" w:sz="4" w:space="0"/>
        <w:right w:val="single" w:color="000000" w:sz="12" w:space="0"/>
      </w:pBdr>
      <w:shd w:val="clear" w:color="000000" w:fill="FFFFFF"/>
      <w:spacing w:before="100" w:beforeAutospacing="1" w:after="100" w:afterAutospacing="1"/>
      <w:jc w:val="center"/>
      <w:textAlignment w:val="center"/>
    </w:pPr>
    <w:rPr>
      <w:rFonts w:hint="default" w:cs="宋体"/>
    </w:rPr>
  </w:style>
  <w:style w:type="paragraph" w:customStyle="1" w:styleId="58">
    <w:name w:val="xl73"/>
    <w:basedOn w:val="1"/>
    <w:qFormat/>
    <w:uiPriority w:val="0"/>
    <w:pPr>
      <w:pBdr>
        <w:bottom w:val="single" w:color="000000" w:sz="12" w:space="0"/>
        <w:right w:val="single" w:color="000000" w:sz="4" w:space="0"/>
      </w:pBdr>
      <w:shd w:val="clear" w:color="000000" w:fill="00FF00"/>
      <w:spacing w:before="100" w:beforeAutospacing="1" w:after="100" w:afterAutospacing="1"/>
      <w:jc w:val="right"/>
      <w:textAlignment w:val="center"/>
    </w:pPr>
    <w:rPr>
      <w:rFonts w:hint="default" w:cs="宋体"/>
    </w:rPr>
  </w:style>
  <w:style w:type="paragraph" w:customStyle="1" w:styleId="59">
    <w:name w:val="xl74"/>
    <w:basedOn w:val="1"/>
    <w:qFormat/>
    <w:uiPriority w:val="0"/>
    <w:pPr>
      <w:pBdr>
        <w:bottom w:val="single" w:color="000000" w:sz="12" w:space="0"/>
        <w:right w:val="single" w:color="000000" w:sz="12" w:space="0"/>
      </w:pBdr>
      <w:shd w:val="clear" w:color="000000" w:fill="00FF00"/>
      <w:spacing w:before="100" w:beforeAutospacing="1" w:after="100" w:afterAutospacing="1"/>
      <w:jc w:val="right"/>
      <w:textAlignment w:val="center"/>
    </w:pPr>
    <w:rPr>
      <w:rFonts w:hint="default" w:cs="宋体"/>
    </w:rPr>
  </w:style>
  <w:style w:type="paragraph" w:customStyle="1" w:styleId="60">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1">
    <w:name w:val="xl76"/>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2">
    <w:name w:val="xl77"/>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3">
    <w:name w:val="xl78"/>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64">
    <w:name w:val="xl79"/>
    <w:basedOn w:val="1"/>
    <w:qFormat/>
    <w:uiPriority w:val="0"/>
    <w:pPr>
      <w:pBdr>
        <w:bottom w:val="single" w:color="000000" w:sz="4" w:space="0"/>
        <w:right w:val="single" w:color="000000" w:sz="12" w:space="0"/>
      </w:pBdr>
      <w:shd w:val="clear" w:color="000000" w:fill="C0C0C0"/>
      <w:spacing w:before="100" w:beforeAutospacing="1" w:after="100" w:afterAutospacing="1"/>
      <w:jc w:val="center"/>
      <w:textAlignment w:val="center"/>
    </w:pPr>
    <w:rPr>
      <w:rFonts w:hint="default" w:cs="宋体"/>
    </w:rPr>
  </w:style>
  <w:style w:type="paragraph" w:customStyle="1" w:styleId="65">
    <w:name w:val="xl80"/>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6">
    <w:name w:val="xl81"/>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hint="default" w:cs="宋体"/>
    </w:rPr>
  </w:style>
  <w:style w:type="paragraph" w:customStyle="1" w:styleId="67">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8">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69">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0">
    <w:name w:val="xl85"/>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1">
    <w:name w:val="xl86"/>
    <w:basedOn w:val="1"/>
    <w:qFormat/>
    <w:uiPriority w:val="0"/>
    <w:pPr>
      <w:pBdr>
        <w:bottom w:val="single" w:color="000000" w:sz="12" w:space="0"/>
        <w:right w:val="single" w:color="000000" w:sz="4" w:space="0"/>
      </w:pBdr>
      <w:shd w:val="clear" w:color="000000" w:fill="C0C0C0"/>
      <w:spacing w:before="100" w:beforeAutospacing="1" w:after="100" w:afterAutospacing="1"/>
      <w:jc w:val="center"/>
      <w:textAlignment w:val="center"/>
    </w:pPr>
    <w:rPr>
      <w:rFonts w:hint="default" w:cs="宋体"/>
      <w:b/>
      <w:bCs/>
    </w:rPr>
  </w:style>
  <w:style w:type="paragraph" w:customStyle="1" w:styleId="72">
    <w:name w:val="xl87"/>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3">
    <w:name w:val="xl88"/>
    <w:basedOn w:val="1"/>
    <w:qFormat/>
    <w:uiPriority w:val="0"/>
    <w:pPr>
      <w:pBdr>
        <w:bottom w:val="single" w:color="000000" w:sz="4" w:space="0"/>
        <w:right w:val="single" w:color="000000" w:sz="12" w:space="0"/>
      </w:pBdr>
      <w:spacing w:before="100" w:beforeAutospacing="1" w:after="100" w:afterAutospacing="1"/>
      <w:jc w:val="center"/>
      <w:textAlignment w:val="center"/>
    </w:pPr>
    <w:rPr>
      <w:rFonts w:hint="default" w:cs="宋体"/>
    </w:rPr>
  </w:style>
  <w:style w:type="paragraph" w:customStyle="1" w:styleId="74">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jc w:val="center"/>
      <w:textAlignment w:val="center"/>
    </w:pPr>
    <w:rPr>
      <w:rFonts w:hint="default" w:cs="宋体"/>
    </w:rPr>
  </w:style>
  <w:style w:type="paragraph" w:customStyle="1" w:styleId="75">
    <w:name w:val="xl90"/>
    <w:basedOn w:val="1"/>
    <w:qFormat/>
    <w:uiPriority w:val="0"/>
    <w:pPr>
      <w:pBdr>
        <w:left w:val="single" w:color="000000" w:sz="12" w:space="0"/>
        <w:bottom w:val="single" w:color="000000" w:sz="4" w:space="0"/>
        <w:right w:val="single" w:color="000000" w:sz="4" w:space="0"/>
      </w:pBdr>
      <w:spacing w:before="100" w:beforeAutospacing="1" w:after="100" w:afterAutospacing="1"/>
      <w:jc w:val="center"/>
      <w:textAlignment w:val="center"/>
    </w:pPr>
    <w:rPr>
      <w:rFonts w:hint="default" w:cs="宋体"/>
    </w:rPr>
  </w:style>
  <w:style w:type="paragraph" w:customStyle="1" w:styleId="76">
    <w:name w:val="xl91"/>
    <w:basedOn w:val="1"/>
    <w:qFormat/>
    <w:uiPriority w:val="0"/>
    <w:pPr>
      <w:pBdr>
        <w:bottom w:val="single" w:color="000000" w:sz="4" w:space="0"/>
        <w:right w:val="single" w:color="000000" w:sz="4" w:space="0"/>
      </w:pBdr>
      <w:spacing w:before="100" w:beforeAutospacing="1" w:after="100" w:afterAutospacing="1"/>
      <w:jc w:val="center"/>
      <w:textAlignment w:val="center"/>
    </w:pPr>
    <w:rPr>
      <w:rFonts w:hint="default"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53E93-8A03-463A-82CF-F2843825E1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5303</Words>
  <Characters>5892</Characters>
  <Lines>46</Lines>
  <Paragraphs>13</Paragraphs>
  <TotalTime>11</TotalTime>
  <ScaleCrop>false</ScaleCrop>
  <LinksUpToDate>false</LinksUpToDate>
  <CharactersWithSpaces>5905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2018-09-29T02:06:00Z</dcterms:created>
  <dc:creator>User</dc:creator>
  <cp:lastModifiedBy>肖肖</cp:lastModifiedBy>
  <cp:lastPrinted>2020-08-18T10:01:00Z</cp:lastPrinted>
  <dcterms:modified xsi:type="dcterms:W3CDTF">2023-10-12T08:46:06Z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717790479784407B9233A0B5F0BDA035</vt:lpwstr>
  </property>
</Properties>
</file>