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6FF61">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Times New Roman" w:hAnsi="Times New Roman" w:eastAsia="方正小标宋_GBK" w:cs="方正小标宋_GBK"/>
          <w:snapToGrid/>
          <w:kern w:val="2"/>
          <w:sz w:val="44"/>
          <w:szCs w:val="44"/>
          <w:lang w:eastAsia="zh-CN"/>
        </w:rPr>
      </w:pPr>
    </w:p>
    <w:p w14:paraId="5A5FBD62">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Times New Roman" w:hAnsi="Times New Roman" w:eastAsia="方正小标宋_GBK" w:cs="方正小标宋_GBK"/>
          <w:snapToGrid/>
          <w:kern w:val="2"/>
          <w:sz w:val="44"/>
          <w:szCs w:val="44"/>
          <w:lang w:eastAsia="zh-CN"/>
        </w:rPr>
      </w:pPr>
      <w:r>
        <w:rPr>
          <w:rFonts w:hint="eastAsia" w:ascii="Times New Roman" w:hAnsi="Times New Roman" w:eastAsia="方正小标宋_GBK" w:cs="方正小标宋_GBK"/>
          <w:snapToGrid/>
          <w:kern w:val="2"/>
          <w:sz w:val="44"/>
          <w:szCs w:val="44"/>
          <w:lang w:eastAsia="zh-CN"/>
        </w:rPr>
        <w:t>重庆市渝中区楼宇经济管理服务中心</w:t>
      </w:r>
    </w:p>
    <w:p w14:paraId="71226147">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Times New Roman" w:hAnsi="Times New Roman" w:eastAsia="方正小标宋_GBK" w:cs="方正小标宋_GBK"/>
          <w:snapToGrid/>
          <w:kern w:val="2"/>
          <w:sz w:val="44"/>
          <w:szCs w:val="44"/>
          <w:lang w:eastAsia="zh-CN"/>
        </w:rPr>
      </w:pPr>
      <w:r>
        <w:rPr>
          <w:rFonts w:hint="eastAsia" w:ascii="Times New Roman" w:hAnsi="Times New Roman" w:eastAsia="方正小标宋_GBK" w:cs="方正小标宋_GBK"/>
          <w:snapToGrid/>
          <w:kern w:val="2"/>
          <w:sz w:val="44"/>
          <w:szCs w:val="44"/>
          <w:lang w:eastAsia="zh-CN"/>
        </w:rPr>
        <w:t>2022 年部门预算情况说明</w:t>
      </w:r>
    </w:p>
    <w:p w14:paraId="4F8DD12E">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ascii="Times New Roman" w:hAnsi="Times New Roman" w:eastAsia="方正仿宋_GBK" w:cs="Times New Roman"/>
          <w:snapToGrid/>
          <w:kern w:val="2"/>
          <w:sz w:val="32"/>
          <w:szCs w:val="22"/>
          <w:lang w:eastAsia="zh-CN"/>
        </w:rPr>
      </w:pPr>
    </w:p>
    <w:p w14:paraId="7F152100">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黑体_GBK" w:cs="方正黑体_GBK"/>
          <w:snapToGrid/>
          <w:kern w:val="2"/>
          <w:sz w:val="32"/>
          <w:szCs w:val="22"/>
          <w:lang w:eastAsia="zh-CN"/>
        </w:rPr>
      </w:pPr>
      <w:r>
        <w:rPr>
          <w:rFonts w:hint="eastAsia" w:ascii="Times New Roman" w:hAnsi="Times New Roman" w:eastAsia="方正黑体_GBK" w:cs="方正黑体_GBK"/>
          <w:snapToGrid/>
          <w:kern w:val="2"/>
          <w:sz w:val="32"/>
          <w:szCs w:val="22"/>
          <w:lang w:eastAsia="zh-CN"/>
        </w:rPr>
        <w:t>一、单位基本情况</w:t>
      </w:r>
    </w:p>
    <w:p w14:paraId="47EEEEDC">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楷体_GBK" w:cs="方正楷体_GBK"/>
          <w:snapToGrid/>
          <w:kern w:val="2"/>
          <w:sz w:val="32"/>
          <w:szCs w:val="22"/>
          <w:lang w:eastAsia="zh-CN"/>
        </w:rPr>
      </w:pPr>
      <w:r>
        <w:rPr>
          <w:rFonts w:hint="eastAsia" w:ascii="Times New Roman" w:hAnsi="Times New Roman" w:eastAsia="方正楷体_GBK" w:cs="方正楷体_GBK"/>
          <w:snapToGrid/>
          <w:kern w:val="2"/>
          <w:sz w:val="32"/>
          <w:szCs w:val="22"/>
          <w:lang w:eastAsia="zh-CN"/>
        </w:rPr>
        <w:t>（一）职能职责</w:t>
      </w:r>
    </w:p>
    <w:p w14:paraId="27499D49">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ascii="Times New Roman" w:hAnsi="Times New Roman" w:eastAsia="方正仿宋_GBK" w:cs="Times New Roman"/>
          <w:snapToGrid/>
          <w:kern w:val="2"/>
          <w:sz w:val="32"/>
          <w:szCs w:val="22"/>
          <w:lang w:eastAsia="zh-CN"/>
        </w:rPr>
      </w:pPr>
      <w:r>
        <w:rPr>
          <w:rFonts w:ascii="Times New Roman" w:hAnsi="Times New Roman" w:eastAsia="方正仿宋_GBK" w:cs="Times New Roman"/>
          <w:snapToGrid/>
          <w:kern w:val="2"/>
          <w:sz w:val="32"/>
          <w:szCs w:val="22"/>
          <w:lang w:eastAsia="zh-CN"/>
        </w:rPr>
        <w:t>负责楼宇经济具体事务性工作；落实公共服务平台建设、老旧商务楼宇改造和特色街区（特色楼字）创建的相关政策；整合商业商务楼宇资源，协助做好楼宇招商工作；负责为重点楼宇入驻企业提供指导、协调和综合服务等工作。</w:t>
      </w:r>
    </w:p>
    <w:p w14:paraId="14472C11">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楷体_GBK" w:cs="方正楷体_GBK"/>
          <w:snapToGrid/>
          <w:kern w:val="2"/>
          <w:sz w:val="32"/>
          <w:szCs w:val="22"/>
          <w:lang w:eastAsia="zh-CN"/>
        </w:rPr>
      </w:pPr>
      <w:r>
        <w:rPr>
          <w:rFonts w:hint="eastAsia" w:ascii="Times New Roman" w:hAnsi="Times New Roman" w:eastAsia="方正楷体_GBK" w:cs="方正楷体_GBK"/>
          <w:snapToGrid/>
          <w:kern w:val="2"/>
          <w:sz w:val="32"/>
          <w:szCs w:val="22"/>
          <w:lang w:eastAsia="zh-CN"/>
        </w:rPr>
        <w:t>（二）单位构成</w:t>
      </w:r>
    </w:p>
    <w:p w14:paraId="51E66741">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ascii="Times New Roman" w:hAnsi="Times New Roman" w:eastAsia="方正仿宋_GBK" w:cs="Times New Roman"/>
          <w:snapToGrid/>
          <w:kern w:val="2"/>
          <w:sz w:val="32"/>
          <w:szCs w:val="22"/>
          <w:lang w:eastAsia="zh-CN"/>
        </w:rPr>
      </w:pPr>
      <w:r>
        <w:rPr>
          <w:rFonts w:ascii="Times New Roman" w:hAnsi="Times New Roman" w:eastAsia="方正仿宋_GBK" w:cs="Times New Roman"/>
          <w:snapToGrid/>
          <w:kern w:val="2"/>
          <w:sz w:val="32"/>
          <w:szCs w:val="22"/>
          <w:lang w:eastAsia="zh-CN"/>
        </w:rPr>
        <w:t>重庆市渝中区楼宇经济管理服务中心为重庆市渝中区发展和改革委员会所属的公益一类事业单位。</w:t>
      </w:r>
    </w:p>
    <w:p w14:paraId="7AA2FEF2">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黑体_GBK" w:cs="方正黑体_GBK"/>
          <w:snapToGrid/>
          <w:kern w:val="2"/>
          <w:sz w:val="32"/>
          <w:szCs w:val="22"/>
          <w:lang w:eastAsia="zh-CN"/>
        </w:rPr>
      </w:pPr>
      <w:r>
        <w:rPr>
          <w:rFonts w:hint="eastAsia" w:ascii="Times New Roman" w:hAnsi="Times New Roman" w:eastAsia="方正黑体_GBK" w:cs="方正黑体_GBK"/>
          <w:snapToGrid/>
          <w:kern w:val="2"/>
          <w:sz w:val="32"/>
          <w:szCs w:val="22"/>
          <w:lang w:eastAsia="zh-CN"/>
        </w:rPr>
        <w:t>二、部门收支总体情况</w:t>
      </w:r>
    </w:p>
    <w:p w14:paraId="3E72FAA4">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ascii="Times New Roman" w:hAnsi="Times New Roman" w:eastAsia="方正仿宋_GBK" w:cs="Times New Roman"/>
          <w:snapToGrid/>
          <w:kern w:val="2"/>
          <w:sz w:val="32"/>
          <w:szCs w:val="22"/>
          <w:lang w:eastAsia="zh-CN"/>
        </w:rPr>
      </w:pPr>
      <w:r>
        <w:rPr>
          <w:rFonts w:hint="eastAsia" w:ascii="Times New Roman" w:hAnsi="Times New Roman" w:eastAsia="方正楷体_GBK" w:cs="方正楷体_GBK"/>
          <w:snapToGrid/>
          <w:kern w:val="2"/>
          <w:sz w:val="32"/>
          <w:szCs w:val="22"/>
          <w:lang w:eastAsia="zh-CN"/>
        </w:rPr>
        <w:t>（ 一）收入预算：</w:t>
      </w:r>
      <w:r>
        <w:rPr>
          <w:rFonts w:ascii="Times New Roman" w:hAnsi="Times New Roman" w:eastAsia="方正仿宋_GBK" w:cs="Times New Roman"/>
          <w:snapToGrid/>
          <w:kern w:val="2"/>
          <w:sz w:val="32"/>
          <w:szCs w:val="22"/>
          <w:lang w:eastAsia="zh-CN"/>
        </w:rPr>
        <w:t>2022 年年初预算数 161.71 万元，其中：一般公共预算拨款 161.71 万元，政府性基金预算拨款0 万元，国有资本经营预算收入0 万元，事业收入0 万元，事业单位经营收入 0 万元，其他收入0 万元，上年结转0 万元。收入较上年年初预算数减少 6.74 万元，主要是一般公共预算经费拨款减少6.74 万元。</w:t>
      </w:r>
    </w:p>
    <w:p w14:paraId="78347CE0">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snapToGrid/>
          <w:kern w:val="2"/>
          <w:sz w:val="32"/>
          <w:szCs w:val="22"/>
          <w:lang w:val="en-US" w:eastAsia="zh-CN"/>
        </w:rPr>
        <w:sectPr>
          <w:pgSz w:w="11906" w:h="16839"/>
          <w:pgMar w:top="1431" w:right="1323" w:bottom="0" w:left="1451" w:header="0" w:footer="0" w:gutter="0"/>
          <w:cols w:space="720" w:num="1"/>
        </w:sectPr>
      </w:pPr>
      <w:r>
        <w:rPr>
          <w:rFonts w:hint="eastAsia" w:ascii="Times New Roman" w:hAnsi="Times New Roman" w:eastAsia="方正楷体_GBK" w:cs="方正楷体_GBK"/>
          <w:snapToGrid/>
          <w:kern w:val="2"/>
          <w:sz w:val="32"/>
          <w:szCs w:val="22"/>
          <w:lang w:eastAsia="zh-CN"/>
        </w:rPr>
        <w:t>（ 二）支出预算：</w:t>
      </w:r>
      <w:r>
        <w:rPr>
          <w:rFonts w:ascii="Times New Roman" w:hAnsi="Times New Roman" w:eastAsia="方正仿宋_GBK" w:cs="Times New Roman"/>
          <w:snapToGrid/>
          <w:kern w:val="2"/>
          <w:sz w:val="32"/>
          <w:szCs w:val="22"/>
          <w:lang w:eastAsia="zh-CN"/>
        </w:rPr>
        <w:t>2022 年年初预算数 161.71 万元，其中：一般公共服务支出 135.39 万元，社会保障和就业支出 11.75 万元，卫生健康支出 5.93 万元，住房保障支出 8.63 万元。支出较上年年初预算数减少 6.74 万元 ，主要是基本支出增加 3.76  万元 ，项</w:t>
      </w:r>
      <w:r>
        <w:rPr>
          <w:rFonts w:hint="eastAsia" w:ascii="Times New Roman" w:hAnsi="Times New Roman" w:eastAsia="方正仿宋_GBK" w:cs="Times New Roman"/>
          <w:snapToGrid/>
          <w:kern w:val="2"/>
          <w:sz w:val="32"/>
          <w:szCs w:val="22"/>
          <w:lang w:val="en-US" w:eastAsia="zh-CN"/>
        </w:rPr>
        <w:t>目</w:t>
      </w:r>
    </w:p>
    <w:p w14:paraId="6D04E79E">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ascii="Times New Roman" w:hAnsi="Times New Roman" w:eastAsia="方正仿宋_GBK" w:cs="Times New Roman"/>
          <w:snapToGrid/>
          <w:kern w:val="2"/>
          <w:sz w:val="32"/>
          <w:szCs w:val="22"/>
          <w:lang w:eastAsia="zh-CN"/>
        </w:rPr>
      </w:pPr>
      <w:r>
        <w:rPr>
          <w:rFonts w:ascii="Times New Roman" w:hAnsi="Times New Roman" w:eastAsia="方正仿宋_GBK" w:cs="Times New Roman"/>
          <w:snapToGrid/>
          <w:kern w:val="2"/>
          <w:sz w:val="32"/>
          <w:szCs w:val="22"/>
          <w:lang w:eastAsia="zh-CN"/>
        </w:rPr>
        <w:t>支出减少 10.5 万元。</w:t>
      </w:r>
    </w:p>
    <w:p w14:paraId="468FB7D4">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黑体_GBK" w:cs="方正黑体_GBK"/>
          <w:snapToGrid/>
          <w:kern w:val="2"/>
          <w:sz w:val="32"/>
          <w:szCs w:val="22"/>
          <w:lang w:eastAsia="zh-CN"/>
        </w:rPr>
      </w:pPr>
      <w:r>
        <w:rPr>
          <w:rFonts w:hint="eastAsia" w:ascii="Times New Roman" w:hAnsi="Times New Roman" w:eastAsia="方正黑体_GBK" w:cs="方正黑体_GBK"/>
          <w:snapToGrid/>
          <w:kern w:val="2"/>
          <w:sz w:val="32"/>
          <w:szCs w:val="22"/>
          <w:lang w:eastAsia="zh-CN"/>
        </w:rPr>
        <w:t>三、部门预算情况说明</w:t>
      </w:r>
    </w:p>
    <w:p w14:paraId="23902CDA">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ascii="Times New Roman" w:hAnsi="Times New Roman" w:eastAsia="方正仿宋_GBK" w:cs="Times New Roman"/>
          <w:snapToGrid/>
          <w:kern w:val="2"/>
          <w:sz w:val="32"/>
          <w:szCs w:val="22"/>
          <w:lang w:eastAsia="zh-CN"/>
        </w:rPr>
      </w:pPr>
      <w:r>
        <w:rPr>
          <w:rFonts w:ascii="Times New Roman" w:hAnsi="Times New Roman" w:eastAsia="方正仿宋_GBK" w:cs="Times New Roman"/>
          <w:snapToGrid/>
          <w:kern w:val="2"/>
          <w:sz w:val="32"/>
          <w:szCs w:val="22"/>
          <w:lang w:eastAsia="zh-CN"/>
        </w:rPr>
        <w:t>2022 年一般公共预算财政拨款收入 161.71 万元，一般公共预算财政拨款支出 161.71 万元，比上年年初预算数减少 6.74 万元。其中：基本支出 142.21 万元，比上年年初预算数增加 3.76  万元，主要原因是政策性增资、社保基数调整等增加人员经费。基本支出主要用于保障在职人员工资福利及社会保险缴费等，保障部门正常运转的各项商品服务支出；项 目支出 19.5 万元，比上年年初预算数减少 10.5 万元，主要原因是总部经济和楼宇经济专项经费减少。项 目支出主要用于推进楼宇经济发展等重点工作。</w:t>
      </w:r>
    </w:p>
    <w:p w14:paraId="259BD96E">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ascii="Times New Roman" w:hAnsi="Times New Roman" w:eastAsia="方正仿宋_GBK" w:cs="Times New Roman"/>
          <w:snapToGrid/>
          <w:kern w:val="2"/>
          <w:sz w:val="32"/>
          <w:szCs w:val="22"/>
          <w:lang w:eastAsia="zh-CN"/>
        </w:rPr>
      </w:pPr>
      <w:r>
        <w:rPr>
          <w:rFonts w:ascii="Times New Roman" w:hAnsi="Times New Roman" w:eastAsia="方正仿宋_GBK" w:cs="Times New Roman"/>
          <w:snapToGrid/>
          <w:kern w:val="2"/>
          <w:sz w:val="32"/>
          <w:szCs w:val="22"/>
          <w:lang w:eastAsia="zh-CN"/>
        </w:rPr>
        <w:t>重庆市渝中区楼宇经济管理服务中心2022 年无使用政府性基金预算拨款安排的支出。</w:t>
      </w:r>
    </w:p>
    <w:p w14:paraId="7D4ADB23">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黑体_GBK" w:cs="方正黑体_GBK"/>
          <w:snapToGrid/>
          <w:kern w:val="2"/>
          <w:sz w:val="32"/>
          <w:szCs w:val="22"/>
          <w:lang w:eastAsia="zh-CN"/>
        </w:rPr>
      </w:pPr>
      <w:r>
        <w:rPr>
          <w:rFonts w:hint="eastAsia" w:ascii="Times New Roman" w:hAnsi="Times New Roman" w:eastAsia="方正黑体_GBK" w:cs="方正黑体_GBK"/>
          <w:snapToGrid/>
          <w:kern w:val="2"/>
          <w:sz w:val="32"/>
          <w:szCs w:val="22"/>
          <w:lang w:eastAsia="zh-CN"/>
        </w:rPr>
        <w:t>四、“ 三公”经费情况说明</w:t>
      </w:r>
    </w:p>
    <w:p w14:paraId="36CF16CD">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ascii="Times New Roman" w:hAnsi="Times New Roman" w:eastAsia="方正仿宋_GBK" w:cs="Times New Roman"/>
          <w:snapToGrid/>
          <w:kern w:val="2"/>
          <w:sz w:val="32"/>
          <w:szCs w:val="22"/>
          <w:lang w:eastAsia="zh-CN"/>
        </w:rPr>
      </w:pPr>
      <w:r>
        <w:rPr>
          <w:rFonts w:ascii="Times New Roman" w:hAnsi="Times New Roman" w:eastAsia="方正仿宋_GBK" w:cs="Times New Roman"/>
          <w:snapToGrid/>
          <w:kern w:val="2"/>
          <w:sz w:val="32"/>
          <w:szCs w:val="22"/>
          <w:lang w:eastAsia="zh-CN"/>
        </w:rPr>
        <w:t>2022 年“ 三公” 经费预算 0 万元，与 2021 年预算数持平。其中：因公出国（境）费用0 万元，与 2021 年预算数持平；公务接待费0 万元，与 2021 年预算数持平；公务用车运行维护费0 万元，与2021 年预算数持平；公务用车购置费 0 万元 ，与 2021 年预算数持平。</w:t>
      </w:r>
    </w:p>
    <w:p w14:paraId="4CC81A7E">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黑体_GBK" w:cs="方正黑体_GBK"/>
          <w:snapToGrid/>
          <w:kern w:val="2"/>
          <w:sz w:val="32"/>
          <w:szCs w:val="22"/>
          <w:lang w:eastAsia="zh-CN"/>
        </w:rPr>
      </w:pPr>
      <w:r>
        <w:rPr>
          <w:rFonts w:hint="eastAsia" w:ascii="Times New Roman" w:hAnsi="Times New Roman" w:eastAsia="方正黑体_GBK" w:cs="方正黑体_GBK"/>
          <w:snapToGrid/>
          <w:kern w:val="2"/>
          <w:sz w:val="32"/>
          <w:szCs w:val="22"/>
          <w:lang w:eastAsia="zh-CN"/>
        </w:rPr>
        <w:t>五、其他重要事项的情况说明</w:t>
      </w:r>
    </w:p>
    <w:p w14:paraId="131BEDCB">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ascii="Times New Roman" w:hAnsi="Times New Roman" w:eastAsia="方正仿宋_GBK" w:cs="Times New Roman"/>
          <w:snapToGrid/>
          <w:kern w:val="2"/>
          <w:sz w:val="32"/>
          <w:szCs w:val="22"/>
          <w:lang w:eastAsia="zh-CN"/>
        </w:rPr>
      </w:pPr>
      <w:r>
        <w:rPr>
          <w:rFonts w:hint="eastAsia" w:ascii="Times New Roman" w:hAnsi="Times New Roman" w:eastAsia="方正楷体_GBK" w:cs="方正楷体_GBK"/>
          <w:snapToGrid/>
          <w:kern w:val="2"/>
          <w:sz w:val="32"/>
          <w:szCs w:val="22"/>
          <w:lang w:val="en-US" w:eastAsia="zh-CN"/>
        </w:rPr>
        <w:t>1、</w:t>
      </w:r>
      <w:r>
        <w:rPr>
          <w:rFonts w:hint="eastAsia" w:ascii="Times New Roman" w:hAnsi="Times New Roman" w:eastAsia="方正楷体_GBK" w:cs="方正楷体_GBK"/>
          <w:snapToGrid/>
          <w:kern w:val="2"/>
          <w:sz w:val="32"/>
          <w:szCs w:val="22"/>
          <w:lang w:eastAsia="zh-CN"/>
        </w:rPr>
        <w:t>机关运行经费。</w:t>
      </w:r>
      <w:r>
        <w:rPr>
          <w:rFonts w:ascii="Times New Roman" w:hAnsi="Times New Roman" w:eastAsia="方正仿宋_GBK" w:cs="Times New Roman"/>
          <w:snapToGrid/>
          <w:kern w:val="2"/>
          <w:sz w:val="32"/>
          <w:szCs w:val="22"/>
          <w:lang w:eastAsia="zh-CN"/>
        </w:rPr>
        <w:t>2022 年一般公共预算财政拨款运行经费0万元，与上年预算数持平。</w:t>
      </w:r>
    </w:p>
    <w:p w14:paraId="4E504C69">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ascii="Times New Roman" w:hAnsi="Times New Roman" w:eastAsia="方正仿宋_GBK" w:cs="Times New Roman"/>
          <w:snapToGrid/>
          <w:kern w:val="2"/>
          <w:sz w:val="32"/>
          <w:szCs w:val="22"/>
          <w:lang w:eastAsia="zh-CN"/>
        </w:rPr>
      </w:pPr>
      <w:r>
        <w:rPr>
          <w:rFonts w:hint="eastAsia" w:ascii="Times New Roman" w:hAnsi="Times New Roman" w:eastAsia="方正楷体_GBK" w:cs="方正楷体_GBK"/>
          <w:snapToGrid/>
          <w:kern w:val="2"/>
          <w:sz w:val="32"/>
          <w:szCs w:val="22"/>
          <w:lang w:val="en-US" w:eastAsia="zh-CN"/>
        </w:rPr>
        <w:t>2、</w:t>
      </w:r>
      <w:r>
        <w:rPr>
          <w:rFonts w:hint="eastAsia" w:ascii="Times New Roman" w:hAnsi="Times New Roman" w:eastAsia="方正楷体_GBK" w:cs="方正楷体_GBK"/>
          <w:snapToGrid/>
          <w:kern w:val="2"/>
          <w:sz w:val="32"/>
          <w:szCs w:val="22"/>
          <w:lang w:eastAsia="zh-CN"/>
        </w:rPr>
        <w:t>政府采购情况。</w:t>
      </w:r>
      <w:r>
        <w:rPr>
          <w:rFonts w:ascii="Times New Roman" w:hAnsi="Times New Roman" w:eastAsia="方正仿宋_GBK" w:cs="Times New Roman"/>
          <w:snapToGrid/>
          <w:kern w:val="2"/>
          <w:sz w:val="32"/>
          <w:szCs w:val="22"/>
          <w:lang w:eastAsia="zh-CN"/>
        </w:rPr>
        <w:t>所属各预算单位政府采购预算总额2 万元：政府采购货物预算2 万元、政府采购工程预算0 万元、政府采购服务预算0 万元；其中一般公共预算拨款政府采购2 万元：政府采购货物预算2 万元、政府采购工程预算0 万元、政府采购服务预算0 万元。</w:t>
      </w:r>
    </w:p>
    <w:p w14:paraId="239BD115">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ascii="Times New Roman" w:hAnsi="Times New Roman" w:eastAsia="方正仿宋_GBK" w:cs="Times New Roman"/>
          <w:snapToGrid/>
          <w:kern w:val="2"/>
          <w:sz w:val="32"/>
          <w:szCs w:val="22"/>
          <w:lang w:eastAsia="zh-CN"/>
        </w:rPr>
      </w:pPr>
      <w:r>
        <w:rPr>
          <w:rFonts w:hint="eastAsia" w:ascii="Times New Roman" w:hAnsi="Times New Roman" w:eastAsia="方正楷体_GBK" w:cs="方正楷体_GBK"/>
          <w:snapToGrid/>
          <w:kern w:val="2"/>
          <w:sz w:val="32"/>
          <w:szCs w:val="22"/>
          <w:lang w:val="en-US" w:eastAsia="zh-CN"/>
        </w:rPr>
        <w:t>3、</w:t>
      </w:r>
      <w:r>
        <w:rPr>
          <w:rFonts w:hint="eastAsia" w:ascii="Times New Roman" w:hAnsi="Times New Roman" w:eastAsia="方正楷体_GBK" w:cs="方正楷体_GBK"/>
          <w:snapToGrid/>
          <w:kern w:val="2"/>
          <w:sz w:val="32"/>
          <w:szCs w:val="22"/>
          <w:lang w:eastAsia="zh-CN"/>
        </w:rPr>
        <w:t>绩效目标设置情况。</w:t>
      </w:r>
      <w:r>
        <w:rPr>
          <w:rFonts w:ascii="Times New Roman" w:hAnsi="Times New Roman" w:eastAsia="方正仿宋_GBK" w:cs="Times New Roman"/>
          <w:snapToGrid/>
          <w:kern w:val="2"/>
          <w:sz w:val="32"/>
          <w:szCs w:val="22"/>
          <w:lang w:eastAsia="zh-CN"/>
        </w:rPr>
        <w:t>2022 年项目支出均实行了绩效目标管理，涉及一般公共预算当年财政拨款 19.5 万元。</w:t>
      </w:r>
    </w:p>
    <w:p w14:paraId="060F33F1">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ascii="Times New Roman" w:hAnsi="Times New Roman" w:eastAsia="方正仿宋_GBK" w:cs="Times New Roman"/>
          <w:snapToGrid/>
          <w:kern w:val="2"/>
          <w:sz w:val="32"/>
          <w:szCs w:val="22"/>
          <w:lang w:eastAsia="zh-CN"/>
        </w:rPr>
      </w:pPr>
      <w:r>
        <w:rPr>
          <w:rFonts w:hint="eastAsia" w:ascii="Times New Roman" w:hAnsi="Times New Roman" w:eastAsia="方正楷体_GBK" w:cs="方正楷体_GBK"/>
          <w:snapToGrid/>
          <w:kern w:val="2"/>
          <w:sz w:val="32"/>
          <w:szCs w:val="22"/>
          <w:lang w:val="en-US" w:eastAsia="zh-CN"/>
        </w:rPr>
        <w:t>4、</w:t>
      </w:r>
      <w:r>
        <w:rPr>
          <w:rFonts w:hint="eastAsia" w:ascii="Times New Roman" w:hAnsi="Times New Roman" w:eastAsia="方正楷体_GBK" w:cs="方正楷体_GBK"/>
          <w:snapToGrid/>
          <w:kern w:val="2"/>
          <w:sz w:val="32"/>
          <w:szCs w:val="22"/>
          <w:lang w:eastAsia="zh-CN"/>
        </w:rPr>
        <w:t>国有资产占有使用情况。</w:t>
      </w:r>
      <w:r>
        <w:rPr>
          <w:rFonts w:ascii="Times New Roman" w:hAnsi="Times New Roman" w:eastAsia="方正仿宋_GBK" w:cs="Times New Roman"/>
          <w:snapToGrid/>
          <w:kern w:val="2"/>
          <w:sz w:val="32"/>
          <w:szCs w:val="22"/>
          <w:lang w:eastAsia="zh-CN"/>
        </w:rPr>
        <w:t>截</w:t>
      </w:r>
      <w:r>
        <w:rPr>
          <w:rFonts w:hint="eastAsia" w:ascii="Times New Roman" w:hAnsi="Times New Roman" w:eastAsia="方正仿宋_GBK" w:cs="Times New Roman"/>
          <w:snapToGrid/>
          <w:kern w:val="2"/>
          <w:sz w:val="32"/>
          <w:szCs w:val="22"/>
          <w:lang w:val="en-US" w:eastAsia="zh-CN"/>
        </w:rPr>
        <w:t>至</w:t>
      </w:r>
      <w:bookmarkStart w:id="0" w:name="_GoBack"/>
      <w:bookmarkEnd w:id="0"/>
      <w:r>
        <w:rPr>
          <w:rFonts w:ascii="Times New Roman" w:hAnsi="Times New Roman" w:eastAsia="方正仿宋_GBK" w:cs="Times New Roman"/>
          <w:snapToGrid/>
          <w:kern w:val="2"/>
          <w:sz w:val="32"/>
          <w:szCs w:val="22"/>
          <w:lang w:eastAsia="zh-CN"/>
        </w:rPr>
        <w:t>2021 年 12 月，所属各预算单位共有车辆 0 辆，其中一般公务用车0 辆、执勤执法用车0 辆。 2022 年一般公共预算安排购置车辆 0 辆，其中一般公务用车 0 辆、执勤执法用车0 辆。</w:t>
      </w:r>
    </w:p>
    <w:p w14:paraId="7613DCC7">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黑体_GBK" w:cs="方正黑体_GBK"/>
          <w:snapToGrid/>
          <w:kern w:val="2"/>
          <w:sz w:val="32"/>
          <w:szCs w:val="22"/>
          <w:lang w:eastAsia="zh-CN"/>
        </w:rPr>
      </w:pPr>
      <w:r>
        <w:rPr>
          <w:rFonts w:hint="eastAsia" w:ascii="Times New Roman" w:hAnsi="Times New Roman" w:eastAsia="方正黑体_GBK" w:cs="方正黑体_GBK"/>
          <w:snapToGrid/>
          <w:kern w:val="2"/>
          <w:sz w:val="32"/>
          <w:szCs w:val="22"/>
          <w:lang w:eastAsia="zh-CN"/>
        </w:rPr>
        <w:t>六、专业性名词解释</w:t>
      </w:r>
    </w:p>
    <w:p w14:paraId="7985F7CA">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ascii="Times New Roman" w:hAnsi="Times New Roman" w:eastAsia="方正仿宋_GBK" w:cs="Times New Roman"/>
          <w:snapToGrid/>
          <w:kern w:val="2"/>
          <w:sz w:val="32"/>
          <w:szCs w:val="22"/>
          <w:lang w:eastAsia="zh-CN"/>
        </w:rPr>
      </w:pPr>
      <w:r>
        <w:rPr>
          <w:rFonts w:hint="eastAsia" w:ascii="Times New Roman" w:hAnsi="Times New Roman" w:eastAsia="方正楷体_GBK" w:cs="方正楷体_GBK"/>
          <w:snapToGrid/>
          <w:kern w:val="2"/>
          <w:sz w:val="32"/>
          <w:szCs w:val="22"/>
          <w:lang w:eastAsia="zh-CN"/>
        </w:rPr>
        <w:t>（</w:t>
      </w:r>
      <w:r>
        <w:rPr>
          <w:rFonts w:hint="eastAsia" w:ascii="Times New Roman" w:hAnsi="Times New Roman" w:eastAsia="方正楷体_GBK" w:cs="方正楷体_GBK"/>
          <w:snapToGrid/>
          <w:kern w:val="2"/>
          <w:sz w:val="32"/>
          <w:szCs w:val="22"/>
          <w:lang w:val="en-US" w:eastAsia="zh-CN"/>
        </w:rPr>
        <w:t>1</w:t>
      </w:r>
      <w:r>
        <w:rPr>
          <w:rFonts w:hint="eastAsia" w:ascii="Times New Roman" w:hAnsi="Times New Roman" w:eastAsia="方正楷体_GBK" w:cs="方正楷体_GBK"/>
          <w:snapToGrid/>
          <w:kern w:val="2"/>
          <w:sz w:val="32"/>
          <w:szCs w:val="22"/>
          <w:lang w:eastAsia="zh-CN"/>
        </w:rPr>
        <w:t>）财政拨款收入：</w:t>
      </w:r>
      <w:r>
        <w:rPr>
          <w:rFonts w:ascii="Times New Roman" w:hAnsi="Times New Roman" w:eastAsia="方正仿宋_GBK" w:cs="Times New Roman"/>
          <w:snapToGrid/>
          <w:kern w:val="2"/>
          <w:sz w:val="32"/>
          <w:szCs w:val="22"/>
          <w:lang w:eastAsia="zh-CN"/>
        </w:rPr>
        <w:t>指本年度从本级财政部门取得的财政拨款，包括一般公共预算财政拨款和政府性基金预算财政拨款。</w:t>
      </w:r>
    </w:p>
    <w:p w14:paraId="34FDA3EB">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ascii="Times New Roman" w:hAnsi="Times New Roman" w:eastAsia="方正仿宋_GBK" w:cs="Times New Roman"/>
          <w:snapToGrid/>
          <w:kern w:val="2"/>
          <w:sz w:val="32"/>
          <w:szCs w:val="22"/>
          <w:lang w:eastAsia="zh-CN"/>
        </w:rPr>
      </w:pPr>
      <w:r>
        <w:rPr>
          <w:rFonts w:hint="eastAsia" w:ascii="Times New Roman" w:hAnsi="Times New Roman" w:eastAsia="方正楷体_GBK" w:cs="方正楷体_GBK"/>
          <w:snapToGrid/>
          <w:kern w:val="2"/>
          <w:sz w:val="32"/>
          <w:szCs w:val="22"/>
          <w:lang w:eastAsia="zh-CN"/>
        </w:rPr>
        <w:t>（</w:t>
      </w:r>
      <w:r>
        <w:rPr>
          <w:rFonts w:hint="eastAsia" w:ascii="Times New Roman" w:hAnsi="Times New Roman" w:eastAsia="方正楷体_GBK" w:cs="方正楷体_GBK"/>
          <w:snapToGrid/>
          <w:kern w:val="2"/>
          <w:sz w:val="32"/>
          <w:szCs w:val="22"/>
          <w:lang w:val="en-US" w:eastAsia="zh-CN"/>
        </w:rPr>
        <w:t>2</w:t>
      </w:r>
      <w:r>
        <w:rPr>
          <w:rFonts w:hint="eastAsia" w:ascii="Times New Roman" w:hAnsi="Times New Roman" w:eastAsia="方正楷体_GBK" w:cs="方正楷体_GBK"/>
          <w:snapToGrid/>
          <w:kern w:val="2"/>
          <w:sz w:val="32"/>
          <w:szCs w:val="22"/>
          <w:lang w:eastAsia="zh-CN"/>
        </w:rPr>
        <w:t>）基本支出：</w:t>
      </w:r>
      <w:r>
        <w:rPr>
          <w:rFonts w:ascii="Times New Roman" w:hAnsi="Times New Roman" w:eastAsia="方正仿宋_GBK" w:cs="Times New Roman"/>
          <w:snapToGrid/>
          <w:kern w:val="2"/>
          <w:sz w:val="32"/>
          <w:szCs w:val="22"/>
          <w:lang w:eastAsia="zh-CN"/>
        </w:rPr>
        <w:t>指为保障机构正常运转、完成 日常工作任务而发生的人员经费和公用经费。</w:t>
      </w:r>
    </w:p>
    <w:p w14:paraId="7492D889">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ascii="Times New Roman" w:hAnsi="Times New Roman" w:eastAsia="方正仿宋_GBK" w:cs="Times New Roman"/>
          <w:snapToGrid/>
          <w:kern w:val="2"/>
          <w:sz w:val="32"/>
          <w:szCs w:val="22"/>
          <w:lang w:eastAsia="zh-CN"/>
        </w:rPr>
      </w:pPr>
      <w:r>
        <w:rPr>
          <w:rFonts w:hint="eastAsia" w:ascii="Times New Roman" w:hAnsi="Times New Roman" w:eastAsia="方正楷体_GBK" w:cs="方正楷体_GBK"/>
          <w:snapToGrid/>
          <w:kern w:val="2"/>
          <w:sz w:val="32"/>
          <w:szCs w:val="22"/>
          <w:lang w:eastAsia="zh-CN"/>
        </w:rPr>
        <w:t>（</w:t>
      </w:r>
      <w:r>
        <w:rPr>
          <w:rFonts w:hint="eastAsia" w:ascii="Times New Roman" w:hAnsi="Times New Roman" w:eastAsia="方正楷体_GBK" w:cs="方正楷体_GBK"/>
          <w:snapToGrid/>
          <w:kern w:val="2"/>
          <w:sz w:val="32"/>
          <w:szCs w:val="22"/>
          <w:lang w:val="en-US" w:eastAsia="zh-CN"/>
        </w:rPr>
        <w:t>3</w:t>
      </w:r>
      <w:r>
        <w:rPr>
          <w:rFonts w:hint="eastAsia" w:ascii="Times New Roman" w:hAnsi="Times New Roman" w:eastAsia="方正楷体_GBK" w:cs="方正楷体_GBK"/>
          <w:snapToGrid/>
          <w:kern w:val="2"/>
          <w:sz w:val="32"/>
          <w:szCs w:val="22"/>
          <w:lang w:eastAsia="zh-CN"/>
        </w:rPr>
        <w:t>）项 目支出：</w:t>
      </w:r>
      <w:r>
        <w:rPr>
          <w:rFonts w:ascii="Times New Roman" w:hAnsi="Times New Roman" w:eastAsia="方正仿宋_GBK" w:cs="Times New Roman"/>
          <w:snapToGrid/>
          <w:kern w:val="2"/>
          <w:sz w:val="32"/>
          <w:szCs w:val="22"/>
          <w:lang w:eastAsia="zh-CN"/>
        </w:rPr>
        <w:t>指在基本支出之外为完成特定行政任务和事业发展目标所发生的支出，主要用于推进楼宇经济发展等重点工作。</w:t>
      </w:r>
    </w:p>
    <w:p w14:paraId="61E5F64D">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ascii="Times New Roman" w:hAnsi="Times New Roman" w:eastAsia="方正仿宋_GBK" w:cs="Times New Roman"/>
          <w:snapToGrid/>
          <w:kern w:val="2"/>
          <w:sz w:val="32"/>
          <w:szCs w:val="22"/>
          <w:lang w:eastAsia="zh-CN"/>
        </w:rPr>
      </w:pPr>
      <w:r>
        <w:rPr>
          <w:rFonts w:hint="eastAsia" w:ascii="Times New Roman" w:hAnsi="Times New Roman" w:eastAsia="方正楷体_GBK" w:cs="方正楷体_GBK"/>
          <w:snapToGrid/>
          <w:kern w:val="2"/>
          <w:sz w:val="32"/>
          <w:szCs w:val="22"/>
          <w:lang w:eastAsia="zh-CN"/>
        </w:rPr>
        <w:t>（</w:t>
      </w:r>
      <w:r>
        <w:rPr>
          <w:rFonts w:hint="eastAsia" w:ascii="Times New Roman" w:hAnsi="Times New Roman" w:eastAsia="方正楷体_GBK" w:cs="方正楷体_GBK"/>
          <w:snapToGrid/>
          <w:kern w:val="2"/>
          <w:sz w:val="32"/>
          <w:szCs w:val="22"/>
          <w:lang w:val="en-US" w:eastAsia="zh-CN"/>
        </w:rPr>
        <w:t>4</w:t>
      </w:r>
      <w:r>
        <w:rPr>
          <w:rFonts w:hint="eastAsia" w:ascii="Times New Roman" w:hAnsi="Times New Roman" w:eastAsia="方正楷体_GBK" w:cs="方正楷体_GBK"/>
          <w:snapToGrid/>
          <w:kern w:val="2"/>
          <w:sz w:val="32"/>
          <w:szCs w:val="22"/>
          <w:lang w:eastAsia="zh-CN"/>
        </w:rPr>
        <w:t>）“ 三公” 经费：</w:t>
      </w:r>
      <w:r>
        <w:rPr>
          <w:rFonts w:ascii="Times New Roman" w:hAnsi="Times New Roman" w:eastAsia="方正仿宋_GBK" w:cs="Times New Roman"/>
          <w:snapToGrid/>
          <w:kern w:val="2"/>
          <w:sz w:val="32"/>
          <w:szCs w:val="22"/>
          <w:lang w:eastAsia="zh-CN"/>
        </w:rPr>
        <w:t>指用一般公共预算财政拨款安排的因公出国（境）费、公务用车购置及运行维护费、公务接待费。其中，因公出国（境）费反映单位公务出国（境） 的国际旅费、国外城市间交通费、住宿费、伙食费、培训费、公杂费等支出；公务用车购置费反映单位公务用车购置支出（含车辆购置税） ；公务用车运行维护费反映单位按规定保留的公务用车燃料费、维修费、过路过桥费、保险费、安全奖励费用等支出；公务接待费反映单位按规定开支的各类公务接待（含外宾接待）支出。</w:t>
      </w:r>
    </w:p>
    <w:p w14:paraId="62C85884">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仿宋_GB2312"/>
          <w:b w:val="0"/>
          <w:bCs/>
          <w:snapToGrid/>
          <w:kern w:val="2"/>
          <w:sz w:val="32"/>
          <w:szCs w:val="22"/>
          <w:lang w:eastAsia="zh-CN"/>
        </w:rPr>
      </w:pPr>
      <w:r>
        <w:rPr>
          <w:rFonts w:hint="eastAsia" w:ascii="Times New Roman" w:hAnsi="Times New Roman" w:eastAsia="方正仿宋_GBK" w:cs="仿宋_GB2312"/>
          <w:b w:val="0"/>
          <w:bCs/>
          <w:snapToGrid/>
          <w:kern w:val="2"/>
          <w:sz w:val="32"/>
          <w:szCs w:val="22"/>
          <w:lang w:eastAsia="zh-CN"/>
        </w:rPr>
        <w:t>部门预算公开联系人：范晓兰  联系方式：023-63765169</w:t>
      </w:r>
    </w:p>
    <w:sectPr>
      <w:pgSz w:w="11906" w:h="16839"/>
      <w:pgMar w:top="1984" w:right="1446" w:bottom="1644" w:left="144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1" w:fontKey="{3BA8D760-82E2-42B0-B61A-96BB51E04849}"/>
  </w:font>
  <w:font w:name="方正小标宋_GBK">
    <w:panose1 w:val="02000000000000000000"/>
    <w:charset w:val="86"/>
    <w:family w:val="auto"/>
    <w:pitch w:val="default"/>
    <w:sig w:usb0="A00002BF" w:usb1="38CF7CFA" w:usb2="00082016" w:usb3="00000000" w:csb0="00040001" w:csb1="00000000"/>
    <w:embedRegular r:id="rId2" w:fontKey="{0B42B0D6-707A-4B66-AF1B-EE1E7976821D}"/>
  </w:font>
  <w:font w:name="方正黑体_GBK">
    <w:panose1 w:val="02010600010101010101"/>
    <w:charset w:val="86"/>
    <w:family w:val="auto"/>
    <w:pitch w:val="default"/>
    <w:sig w:usb0="00000001" w:usb1="080E0000" w:usb2="00000000" w:usb3="00000000" w:csb0="00040000" w:csb1="00000000"/>
    <w:embedRegular r:id="rId3" w:fontKey="{BFAC52F3-AAD0-4295-849A-58563CE23C8C}"/>
  </w:font>
  <w:font w:name="方正楷体_GBK">
    <w:panose1 w:val="02000000000000000000"/>
    <w:charset w:val="86"/>
    <w:family w:val="auto"/>
    <w:pitch w:val="default"/>
    <w:sig w:usb0="800002BF" w:usb1="38CF7CFA" w:usb2="00000016" w:usb3="00000000" w:csb0="00040000" w:csb1="00000000"/>
    <w:embedRegular r:id="rId4" w:fontKey="{044CF516-F261-4387-A1DF-ACD8E0173127}"/>
  </w:font>
  <w:font w:name="仿宋_GB2312">
    <w:altName w:val="仿宋"/>
    <w:panose1 w:val="02010609030101010101"/>
    <w:charset w:val="86"/>
    <w:family w:val="modern"/>
    <w:pitch w:val="default"/>
    <w:sig w:usb0="00000000" w:usb1="00000000" w:usb2="00000010" w:usb3="00000000" w:csb0="00040000" w:csb1="00000000"/>
    <w:embedRegular r:id="rId5" w:fontKey="{CC8729D1-2DF1-4CCA-A0A9-66DAEC2EC09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7979A5"/>
    <w:rsid w:val="08CC4CA2"/>
    <w:rsid w:val="17C214C3"/>
    <w:rsid w:val="29AE18A7"/>
    <w:rsid w:val="4C066EC9"/>
    <w:rsid w:val="5E767015"/>
    <w:rsid w:val="64D336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1519</Words>
  <Characters>1651</Characters>
  <TotalTime>3</TotalTime>
  <ScaleCrop>false</ScaleCrop>
  <LinksUpToDate>false</LinksUpToDate>
  <CharactersWithSpaces>1769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2022-10-27T15:18:00Z</dcterms:created>
  <dc:creator>Administrator</dc:creator>
  <cp:lastModifiedBy>头号可爱</cp:lastModifiedBy>
  <dcterms:modified xsi:type="dcterms:W3CDTF">2026-07-06T13:09:40Z</dcterms:modified>
  <dc:title>重庆市渝中区发展和改革委员会2021年部门预算情况说明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2026-07-06T20:53:50Z</vt:filetime>
  </property>
  <property fmtid="{D5CDD505-2E9C-101B-9397-08002B2CF9AE}" pid="4" name="KSOTemplateDocerSaveRecord">
    <vt:lpwstr>eyJoZGlkIjoiOTU5ODNhMjI3NzJhNmJjNTRjZmU4NDQ5ZWQ3YjRhNmQiLCJ1c2VySWQiOiIxMDIzMTU1MzkyIn0=</vt:lpwstr>
  </property>
  <property fmtid="{D5CDD505-2E9C-101B-9397-08002B2CF9AE}" pid="5" name="KSOProductBuildVer">
    <vt:lpwstr>2052-12.1.0.26895</vt:lpwstr>
  </property>
  <property fmtid="{D5CDD505-2E9C-101B-9397-08002B2CF9AE}" pid="6" name="ICV">
    <vt:lpwstr>6491717334FD4931BA3AABBFFBB15982_12</vt:lpwstr>
  </property>
</Properties>
</file>