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pPr w:leftFromText="181" w:rightFromText="181" w:horzAnchor="margin" w:tblpXSpec="center" w:tblpYSpec="top"/>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9038"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黑体_GBK" w:cs="Times New Roman"/>
                <w:sz w:val="32"/>
                <w:szCs w:val="32"/>
              </w:rPr>
            </w:pPr>
            <w:bookmarkStart w:id="0" w:name="zw1"/>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90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黑体_GBK" w:cs="Times New Roman"/>
                <w:color w:val="00000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2" w:hRule="atLeast"/>
          <w:jc w:val="center"/>
        </w:trPr>
        <w:tc>
          <w:tcPr>
            <w:tcW w:w="9038" w:type="dxa"/>
            <w:noWrap w:val="0"/>
            <w:vAlign w:val="center"/>
          </w:tcPr>
          <w:p>
            <w:pPr>
              <w:jc w:val="center"/>
              <w:rPr>
                <w:rFonts w:hint="default" w:ascii="Times New Roman" w:hAnsi="Times New Roman" w:eastAsia="方正小标宋_GBK" w:cs="Times New Roman"/>
                <w:b/>
                <w:color w:val="FF0000"/>
                <w:w w:val="60"/>
                <w:sz w:val="130"/>
                <w:szCs w:val="13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atLeast"/>
          <w:jc w:val="center"/>
        </w:trPr>
        <w:tc>
          <w:tcPr>
            <w:tcW w:w="9038" w:type="dxa"/>
            <w:noWrap/>
            <w:vAlign w:val="bottom"/>
          </w:tcPr>
          <w:p>
            <w:pPr>
              <w:pStyle w:val="6"/>
              <w:keepNext w:val="0"/>
              <w:keepLines w:val="0"/>
              <w:pageBreakBefore w:val="0"/>
              <w:widowControl w:val="0"/>
              <w:kinsoku/>
              <w:wordWrap/>
              <w:overflowPunct/>
              <w:topLinePunct w:val="0"/>
              <w:autoSpaceDE/>
              <w:autoSpaceDN/>
              <w:bidi w:val="0"/>
              <w:adjustRightInd w:val="0"/>
              <w:snapToGrid/>
              <w:spacing w:line="800" w:lineRule="exact"/>
              <w:ind w:left="0" w:leftChars="0" w:firstLine="0" w:firstLineChars="0"/>
              <w:jc w:val="center"/>
              <w:textAlignment w:val="baseline"/>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渝中</w:t>
            </w:r>
            <w:r>
              <w:rPr>
                <w:rFonts w:hint="default" w:ascii="Times New Roman" w:hAnsi="Times New Roman" w:eastAsia="方正仿宋_GBK" w:cs="Times New Roman"/>
                <w:b w:val="0"/>
                <w:bCs w:val="0"/>
                <w:sz w:val="32"/>
                <w:szCs w:val="32"/>
                <w:lang w:eastAsia="zh-CN"/>
              </w:rPr>
              <w:t>发改</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val="en-US" w:eastAsia="zh-CN"/>
              </w:rPr>
              <w:t>202</w:t>
            </w:r>
            <w:r>
              <w:rPr>
                <w:rFonts w:hint="eastAsia" w:ascii="Times New Roman" w:hAnsi="Times New Roman" w:eastAsia="方正仿宋_GBK" w:cs="Times New Roman"/>
                <w:b w:val="0"/>
                <w:bCs w:val="0"/>
                <w:sz w:val="32"/>
                <w:szCs w:val="32"/>
                <w:lang w:val="en-US" w:eastAsia="zh-CN"/>
              </w:rPr>
              <w:t>6</w:t>
            </w:r>
            <w:r>
              <w:rPr>
                <w:rFonts w:hint="default" w:ascii="Times New Roman" w:hAnsi="Times New Roman" w:eastAsia="方正仿宋_GBK" w:cs="Times New Roman"/>
                <w:b w:val="0"/>
                <w:bCs w:val="0"/>
                <w:sz w:val="32"/>
                <w:szCs w:val="32"/>
              </w:rPr>
              <w:t>〕</w:t>
            </w:r>
            <w:r>
              <w:rPr>
                <w:rFonts w:hint="eastAsia" w:ascii="Times New Roman" w:hAnsi="Times New Roman" w:eastAsia="方正仿宋_GBK" w:cs="Times New Roman"/>
                <w:b w:val="0"/>
                <w:bCs w:val="0"/>
                <w:sz w:val="32"/>
                <w:szCs w:val="32"/>
                <w:lang w:val="en-US" w:eastAsia="zh-CN"/>
              </w:rPr>
              <w:t>61</w:t>
            </w:r>
            <w:r>
              <w:rPr>
                <w:rFonts w:hint="default" w:ascii="Times New Roman" w:hAnsi="Times New Roman" w:eastAsia="方正仿宋_GBK" w:cs="Times New Roman"/>
                <w:b w:val="0"/>
                <w:bCs w:val="0"/>
                <w:sz w:val="32"/>
                <w:szCs w:val="32"/>
              </w:rPr>
              <w:t>号</w:t>
            </w:r>
          </w:p>
          <w:p>
            <w:pPr>
              <w:spacing w:line="540" w:lineRule="exact"/>
              <w:rPr>
                <w:rFonts w:hint="default" w:ascii="Times New Roman" w:hAnsi="Times New Roman" w:cs="Times New Roman"/>
                <w:color w:val="FFFFFF"/>
                <w:sz w:val="52"/>
                <w:szCs w:val="52"/>
              </w:rPr>
            </w:pPr>
            <w:r>
              <w:rPr>
                <w:rFonts w:hint="default" w:ascii="Times New Roman" w:hAnsi="Times New Roman" w:cs="Times New Roman"/>
                <w:color w:val="FFFFFF"/>
                <w:sz w:val="52"/>
                <w:szCs w:val="52"/>
              </w:rPr>
              <w:t xml:space="preserve">           </w:t>
            </w:r>
          </w:p>
        </w:tc>
      </w:tr>
    </w:tbl>
    <w:p>
      <w:pPr>
        <w:pStyle w:val="25"/>
        <w:keepNext w:val="0"/>
        <w:keepLines w:val="0"/>
        <w:pageBreakBefore w:val="0"/>
        <w:widowControl/>
        <w:kinsoku/>
        <w:wordWrap/>
        <w:overflowPunct w:val="0"/>
        <w:topLinePunct w:val="0"/>
        <w:autoSpaceDE w:val="0"/>
        <w:autoSpaceDN w:val="0"/>
        <w:bidi w:val="0"/>
        <w:adjustRightInd w:val="0"/>
        <w:snapToGrid/>
        <w:spacing w:line="600" w:lineRule="exact"/>
        <w:ind w:left="1260" w:leftChars="600"/>
        <w:jc w:val="both"/>
        <w:textAlignment w:val="baseline"/>
        <w:rPr>
          <w:rFonts w:hint="default" w:ascii="方正小标宋_GBK" w:hAnsi="方正小标宋_GBK" w:eastAsia="方正小标宋_GBK" w:cs="方正小标宋_GBK"/>
          <w:b w:val="0"/>
          <w:bCs w:val="0"/>
          <w:sz w:val="44"/>
          <w:szCs w:val="44"/>
        </w:rPr>
      </w:pPr>
      <w:r>
        <w:rPr>
          <w:rFonts w:hint="default" w:ascii="方正小标宋_GBK" w:hAnsi="方正小标宋_GBK" w:eastAsia="方正小标宋_GBK" w:cs="方正小标宋_GBK"/>
          <w:b w:val="0"/>
          <w:bCs w:val="0"/>
          <w:sz w:val="44"/>
          <w:szCs w:val="44"/>
        </w:rPr>
        <w:t>重庆市</w:t>
      </w:r>
      <w:r>
        <w:rPr>
          <w:rFonts w:hint="default" w:ascii="方正小标宋_GBK" w:hAnsi="方正小标宋_GBK" w:eastAsia="方正小标宋_GBK" w:cs="方正小标宋_GBK"/>
          <w:b w:val="0"/>
          <w:bCs w:val="0"/>
          <w:sz w:val="44"/>
          <w:szCs w:val="44"/>
          <w:lang w:val="en-US" w:eastAsia="zh-CN"/>
        </w:rPr>
        <w:t>渝中</w:t>
      </w:r>
      <w:r>
        <w:rPr>
          <w:rFonts w:hint="default" w:ascii="方正小标宋_GBK" w:hAnsi="方正小标宋_GBK" w:eastAsia="方正小标宋_GBK" w:cs="方正小标宋_GBK"/>
          <w:b w:val="0"/>
          <w:bCs w:val="0"/>
          <w:sz w:val="44"/>
          <w:szCs w:val="44"/>
        </w:rPr>
        <w:t>区发展和改革委员会</w:t>
      </w:r>
      <w:bookmarkStart w:id="2" w:name="_GoBack"/>
      <w:bookmarkEnd w:id="2"/>
    </w:p>
    <w:p>
      <w:pPr>
        <w:pStyle w:val="25"/>
        <w:keepNext w:val="0"/>
        <w:keepLines w:val="0"/>
        <w:pageBreakBefore w:val="0"/>
        <w:widowControl/>
        <w:kinsoku/>
        <w:wordWrap/>
        <w:overflowPunct w:val="0"/>
        <w:topLinePunct w:val="0"/>
        <w:autoSpaceDE w:val="0"/>
        <w:autoSpaceDN w:val="0"/>
        <w:bidi w:val="0"/>
        <w:adjustRightInd w:val="0"/>
        <w:snapToGrid/>
        <w:spacing w:line="600" w:lineRule="exact"/>
        <w:ind w:left="1260" w:leftChars="600"/>
        <w:jc w:val="both"/>
        <w:textAlignment w:val="baseline"/>
        <w:rPr>
          <w:rFonts w:hint="default" w:ascii="方正小标宋_GBK" w:hAnsi="方正小标宋_GBK" w:eastAsia="方正小标宋_GBK" w:cs="方正小标宋_GBK"/>
          <w:b w:val="0"/>
          <w:bCs w:val="0"/>
          <w:sz w:val="44"/>
          <w:szCs w:val="44"/>
          <w:lang w:eastAsia="zh-CN"/>
        </w:rPr>
      </w:pPr>
      <w:r>
        <w:rPr>
          <w:rFonts w:hint="default" w:ascii="方正小标宋_GBK" w:hAnsi="方正小标宋_GBK" w:eastAsia="方正小标宋_GBK" w:cs="方正小标宋_GBK"/>
          <w:b w:val="0"/>
          <w:bCs w:val="0"/>
          <w:spacing w:val="136"/>
          <w:sz w:val="44"/>
          <w:szCs w:val="44"/>
        </w:rPr>
        <w:t>重庆市</w:t>
      </w:r>
      <w:r>
        <w:rPr>
          <w:rFonts w:hint="default" w:ascii="方正小标宋_GBK" w:hAnsi="方正小标宋_GBK" w:eastAsia="方正小标宋_GBK" w:cs="方正小标宋_GBK"/>
          <w:b w:val="0"/>
          <w:bCs w:val="0"/>
          <w:spacing w:val="136"/>
          <w:sz w:val="44"/>
          <w:szCs w:val="44"/>
          <w:lang w:val="en-US" w:eastAsia="zh-CN"/>
        </w:rPr>
        <w:t>渝中</w:t>
      </w:r>
      <w:r>
        <w:rPr>
          <w:rFonts w:hint="default" w:ascii="方正小标宋_GBK" w:hAnsi="方正小标宋_GBK" w:eastAsia="方正小标宋_GBK" w:cs="方正小标宋_GBK"/>
          <w:b w:val="0"/>
          <w:bCs w:val="0"/>
          <w:spacing w:val="136"/>
          <w:sz w:val="44"/>
          <w:szCs w:val="44"/>
        </w:rPr>
        <w:t>区民政局</w:t>
      </w:r>
    </w:p>
    <w:p>
      <w:pPr>
        <w:pStyle w:val="25"/>
        <w:keepNext w:val="0"/>
        <w:keepLines w:val="0"/>
        <w:pageBreakBefore w:val="0"/>
        <w:widowControl/>
        <w:kinsoku/>
        <w:wordWrap/>
        <w:topLinePunct w:val="0"/>
        <w:bidi w:val="0"/>
        <w:snapToGrid/>
        <w:spacing w:line="600" w:lineRule="exact"/>
        <w:jc w:val="center"/>
        <w:rPr>
          <w:rFonts w:hint="eastAsia" w:ascii="方正小标宋_GBK" w:hAnsi="方正小标宋_GBK" w:eastAsia="方正小标宋_GBK" w:cs="方正小标宋_GBK"/>
          <w:b w:val="0"/>
          <w:bCs w:val="0"/>
          <w:sz w:val="44"/>
          <w:szCs w:val="44"/>
          <w:lang w:val="en-US" w:eastAsia="zh-CN"/>
        </w:rPr>
      </w:pPr>
      <w:r>
        <w:rPr>
          <w:rFonts w:hint="default" w:ascii="方正小标宋_GBK" w:hAnsi="方正小标宋_GBK" w:eastAsia="方正小标宋_GBK" w:cs="方正小标宋_GBK"/>
          <w:b w:val="0"/>
          <w:bCs w:val="0"/>
          <w:sz w:val="44"/>
          <w:szCs w:val="44"/>
        </w:rPr>
        <w:t>关于</w:t>
      </w:r>
      <w:r>
        <w:rPr>
          <w:rFonts w:hint="eastAsia" w:ascii="方正小标宋_GBK" w:hAnsi="方正小标宋_GBK" w:eastAsia="方正小标宋_GBK" w:cs="方正小标宋_GBK"/>
          <w:b w:val="0"/>
          <w:bCs w:val="0"/>
          <w:sz w:val="44"/>
          <w:szCs w:val="44"/>
          <w:lang w:val="en-US" w:eastAsia="zh-CN"/>
        </w:rPr>
        <w:t>重庆市渝中区七星岗街道社区卫生服务</w:t>
      </w:r>
    </w:p>
    <w:p>
      <w:pPr>
        <w:pStyle w:val="25"/>
        <w:keepNext w:val="0"/>
        <w:keepLines w:val="0"/>
        <w:pageBreakBefore w:val="0"/>
        <w:widowControl/>
        <w:kinsoku/>
        <w:wordWrap/>
        <w:topLinePunct w:val="0"/>
        <w:bidi w:val="0"/>
        <w:snapToGrid/>
        <w:spacing w:line="600" w:lineRule="exact"/>
        <w:jc w:val="center"/>
        <w:rPr>
          <w:rFonts w:hint="default"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val="en-US" w:eastAsia="zh-CN"/>
        </w:rPr>
        <w:t>中心</w:t>
      </w:r>
      <w:r>
        <w:rPr>
          <w:rFonts w:hint="default" w:ascii="方正小标宋_GBK" w:hAnsi="方正小标宋_GBK" w:eastAsia="方正小标宋_GBK" w:cs="方正小标宋_GBK"/>
          <w:b w:val="0"/>
          <w:bCs w:val="0"/>
          <w:sz w:val="44"/>
          <w:szCs w:val="44"/>
        </w:rPr>
        <w:t>养老服务收费及有关事项的通知</w:t>
      </w:r>
    </w:p>
    <w:p>
      <w:pPr>
        <w:pStyle w:val="25"/>
        <w:keepNext w:val="0"/>
        <w:keepLines w:val="0"/>
        <w:pageBreakBefore w:val="0"/>
        <w:widowControl/>
        <w:kinsoku/>
        <w:wordWrap/>
        <w:topLinePunct w:val="0"/>
        <w:bidi w:val="0"/>
        <w:snapToGrid/>
        <w:spacing w:line="600" w:lineRule="exact"/>
        <w:jc w:val="center"/>
        <w:rPr>
          <w:rFonts w:hint="eastAsia" w:ascii="Times New Roman" w:hAnsi="Times New Roman" w:eastAsia="方正仿宋_GBK" w:cs="Times New Roman"/>
          <w:color w:val="auto"/>
          <w:kern w:val="2"/>
          <w:sz w:val="32"/>
          <w:szCs w:val="32"/>
          <w:lang w:val="en-US" w:eastAsia="zh-CN" w:bidi="ar-SA"/>
        </w:rPr>
      </w:pPr>
    </w:p>
    <w:p>
      <w:pPr>
        <w:pStyle w:val="25"/>
        <w:keepNext w:val="0"/>
        <w:keepLines w:val="0"/>
        <w:pageBreakBefore w:val="0"/>
        <w:widowControl/>
        <w:kinsoku/>
        <w:wordWrap/>
        <w:topLinePunct w:val="0"/>
        <w:bidi w:val="0"/>
        <w:snapToGrid/>
        <w:spacing w:line="600" w:lineRule="exact"/>
        <w:jc w:val="both"/>
        <w:rPr>
          <w:rFonts w:hint="eastAsia" w:ascii="Times New Roman" w:hAnsi="Times New Roman" w:eastAsia="方正仿宋_GBK" w:cs="Times New Roman"/>
          <w:color w:val="auto"/>
          <w:kern w:val="2"/>
          <w:sz w:val="32"/>
          <w:szCs w:val="32"/>
          <w:lang w:val="en-US" w:eastAsia="zh-CN" w:bidi="ar-SA"/>
        </w:rPr>
      </w:pPr>
      <w:bookmarkStart w:id="1" w:name="zs"/>
      <w:bookmarkEnd w:id="1"/>
      <w:r>
        <w:rPr>
          <w:rFonts w:hint="eastAsia" w:ascii="Times New Roman" w:hAnsi="Times New Roman" w:eastAsia="方正仿宋_GBK" w:cs="Times New Roman"/>
          <w:color w:val="auto"/>
          <w:kern w:val="2"/>
          <w:sz w:val="32"/>
          <w:szCs w:val="32"/>
          <w:lang w:val="en-US" w:eastAsia="zh-CN" w:bidi="ar-SA"/>
        </w:rPr>
        <w:t>重庆市渝中区七星岗街道社区卫生服务中心：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bidi w:val="0"/>
        <w:snapToGrid/>
        <w:spacing w:before="0" w:beforeAutospacing="0" w:after="0" w:afterAutospacing="0" w:line="600" w:lineRule="exact"/>
        <w:ind w:left="0" w:right="0" w:firstLine="640"/>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根据《重庆市人民政府办公厅关于建立健全养老服务综合监管制度促进养老服务高质量发展的实施意见》（渝府办发〔2021〕66号）和《重庆市定价目录》（渝发改规范〔2021〕15号）的规定，经研究，现将重庆市渝中区七星岗街道社区卫生服务中心养老服务收费及有关事项通知如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bidi w:val="0"/>
        <w:snapToGrid/>
        <w:spacing w:before="0" w:beforeAutospacing="0" w:after="0" w:afterAutospacing="0" w:line="600" w:lineRule="exact"/>
        <w:ind w:left="0" w:right="0" w:firstLine="640"/>
        <w:rPr>
          <w:rFonts w:hint="eastAsia" w:ascii="方正黑体_GBK" w:hAnsi="方正黑体_GBK" w:eastAsia="方正黑体_GBK" w:cs="方正黑体_GBK"/>
          <w:color w:val="auto"/>
          <w:kern w:val="2"/>
          <w:sz w:val="32"/>
          <w:szCs w:val="32"/>
          <w:lang w:val="en-US" w:eastAsia="zh-CN" w:bidi="ar-SA"/>
        </w:rPr>
      </w:pPr>
      <w:r>
        <w:rPr>
          <w:rFonts w:hint="eastAsia" w:ascii="方正黑体_GBK" w:hAnsi="方正黑体_GBK" w:eastAsia="方正黑体_GBK" w:cs="方正黑体_GBK"/>
          <w:color w:val="auto"/>
          <w:kern w:val="2"/>
          <w:sz w:val="32"/>
          <w:szCs w:val="32"/>
          <w:lang w:val="en-US" w:eastAsia="zh-CN" w:bidi="ar-SA"/>
        </w:rPr>
        <w:t>一、基本养老服务收费</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bidi w:val="0"/>
        <w:snapToGrid/>
        <w:spacing w:before="0" w:beforeAutospacing="0" w:after="0" w:afterAutospacing="0" w:line="600" w:lineRule="exact"/>
        <w:ind w:left="0" w:right="0" w:firstLine="640"/>
        <w:rPr>
          <w:rFonts w:hint="eastAsia" w:ascii="Times New Roman" w:hAnsi="Times New Roman" w:eastAsia="方正仿宋_GBK" w:cs="Times New Roman"/>
          <w:b/>
          <w:bCs/>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一）基本养老服务收费包括床位费、护理费，实行政府指导价管理，按“新人新办法、老人老办法”原则执行。2026年5月1日前已入住的休养老人，在其养老服务合同有效期内，继续按照原合同约定的收费标准执行。5月1日（含当日）起，新签订养老服务合同的，基本养老服务收费按不高于本文件规定的最高限价标准执行。具体最高限价标准详见下表。</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bidi w:val="0"/>
        <w:snapToGrid/>
        <w:spacing w:before="0" w:beforeAutospacing="0" w:after="0" w:afterAutospacing="0" w:line="600" w:lineRule="exact"/>
        <w:ind w:left="0" w:right="0"/>
        <w:jc w:val="center"/>
        <w:rPr>
          <w:rFonts w:hint="eastAsia" w:ascii="Times New Roman" w:hAnsi="Times New Roman" w:eastAsia="方正仿宋_GBK" w:cs="Times New Roman"/>
          <w:b/>
          <w:bCs/>
          <w:color w:val="auto"/>
          <w:kern w:val="2"/>
          <w:sz w:val="32"/>
          <w:szCs w:val="32"/>
          <w:lang w:val="en-US" w:eastAsia="zh-CN" w:bidi="ar-SA"/>
        </w:rPr>
      </w:pPr>
      <w:r>
        <w:rPr>
          <w:rFonts w:hint="eastAsia" w:ascii="Times New Roman" w:hAnsi="Times New Roman" w:eastAsia="方正仿宋_GBK" w:cs="Times New Roman"/>
          <w:b/>
          <w:bCs/>
          <w:color w:val="auto"/>
          <w:kern w:val="2"/>
          <w:sz w:val="32"/>
          <w:szCs w:val="32"/>
          <w:lang w:val="en-US" w:eastAsia="zh-CN" w:bidi="ar-SA"/>
        </w:rPr>
        <w:t>重庆市渝中区七星岗街道社区卫生服务中心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bidi w:val="0"/>
        <w:snapToGrid/>
        <w:spacing w:before="0" w:beforeAutospacing="0" w:after="0" w:afterAutospacing="0" w:line="600" w:lineRule="exact"/>
        <w:ind w:left="0" w:right="0"/>
        <w:jc w:val="center"/>
        <w:rPr>
          <w:rFonts w:hint="eastAsia" w:ascii="Times New Roman" w:hAnsi="Times New Roman" w:eastAsia="方正仿宋_GBK" w:cs="Times New Roman"/>
          <w:b/>
          <w:bCs/>
          <w:color w:val="auto"/>
          <w:kern w:val="2"/>
          <w:sz w:val="32"/>
          <w:szCs w:val="32"/>
          <w:lang w:val="en-US" w:eastAsia="zh-CN" w:bidi="ar-SA"/>
        </w:rPr>
      </w:pPr>
      <w:r>
        <w:rPr>
          <w:rFonts w:hint="eastAsia" w:ascii="Times New Roman" w:hAnsi="Times New Roman" w:eastAsia="方正仿宋_GBK" w:cs="Times New Roman"/>
          <w:b/>
          <w:bCs/>
          <w:color w:val="auto"/>
          <w:kern w:val="2"/>
          <w:sz w:val="32"/>
          <w:szCs w:val="32"/>
          <w:lang w:val="en-US" w:eastAsia="zh-CN" w:bidi="ar-SA"/>
        </w:rPr>
        <w:t>基本养老服务收费标准</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bidi w:val="0"/>
        <w:snapToGrid/>
        <w:spacing w:before="0" w:beforeAutospacing="0" w:after="0" w:afterAutospacing="0" w:line="600" w:lineRule="exact"/>
        <w:ind w:right="0" w:firstLine="6720" w:firstLineChars="2100"/>
        <w:jc w:val="both"/>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单位：元/月/人</w:t>
      </w:r>
    </w:p>
    <w:tbl>
      <w:tblPr>
        <w:tblStyle w:val="12"/>
        <w:tblW w:w="92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5"/>
        <w:gridCol w:w="2265"/>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tcPr>
          <w:p>
            <w:pPr>
              <w:pStyle w:val="9"/>
              <w:keepNext w:val="0"/>
              <w:keepLines w:val="0"/>
              <w:pageBreakBefore w:val="0"/>
              <w:widowControl/>
              <w:suppressLineNumbers w:val="0"/>
              <w:kinsoku/>
              <w:wordWrap/>
              <w:topLinePunct w:val="0"/>
              <w:bidi w:val="0"/>
              <w:snapToGrid/>
              <w:spacing w:before="0" w:beforeAutospacing="0" w:after="0" w:afterAutospacing="0" w:line="600" w:lineRule="exact"/>
              <w:ind w:right="0"/>
              <w:jc w:val="center"/>
              <w:rPr>
                <w:rFonts w:hint="eastAsia" w:ascii="Times New Roman" w:hAnsi="Times New Roman" w:eastAsia="方正仿宋_GBK" w:cs="Times New Roman"/>
                <w:b/>
                <w:bCs/>
                <w:color w:val="auto"/>
                <w:kern w:val="2"/>
                <w:sz w:val="32"/>
                <w:szCs w:val="32"/>
                <w:vertAlign w:val="baseline"/>
                <w:lang w:val="en-US" w:eastAsia="zh-CN" w:bidi="ar-SA"/>
              </w:rPr>
            </w:pPr>
            <w:r>
              <w:rPr>
                <w:rFonts w:hint="eastAsia" w:ascii="Times New Roman" w:hAnsi="Times New Roman" w:eastAsia="方正仿宋_GBK" w:cs="Times New Roman"/>
                <w:b/>
                <w:bCs/>
                <w:color w:val="auto"/>
                <w:kern w:val="2"/>
                <w:sz w:val="32"/>
                <w:szCs w:val="32"/>
                <w:lang w:val="en-US" w:eastAsia="zh-CN" w:bidi="ar-SA"/>
              </w:rPr>
              <w:t>房间类型</w:t>
            </w:r>
          </w:p>
        </w:tc>
        <w:tc>
          <w:tcPr>
            <w:tcW w:w="2265" w:type="dxa"/>
          </w:tcPr>
          <w:p>
            <w:pPr>
              <w:pStyle w:val="9"/>
              <w:keepNext w:val="0"/>
              <w:keepLines w:val="0"/>
              <w:pageBreakBefore w:val="0"/>
              <w:widowControl/>
              <w:suppressLineNumbers w:val="0"/>
              <w:kinsoku/>
              <w:wordWrap/>
              <w:topLinePunct w:val="0"/>
              <w:bidi w:val="0"/>
              <w:snapToGrid/>
              <w:spacing w:before="0" w:beforeAutospacing="0" w:after="0" w:afterAutospacing="0" w:line="600" w:lineRule="exact"/>
              <w:ind w:right="0"/>
              <w:jc w:val="center"/>
              <w:rPr>
                <w:rFonts w:hint="eastAsia" w:ascii="Times New Roman" w:hAnsi="Times New Roman" w:eastAsia="方正仿宋_GBK" w:cs="Times New Roman"/>
                <w:b/>
                <w:bCs/>
                <w:color w:val="auto"/>
                <w:kern w:val="2"/>
                <w:sz w:val="32"/>
                <w:szCs w:val="32"/>
                <w:vertAlign w:val="baseline"/>
                <w:lang w:val="en-US" w:eastAsia="zh-CN" w:bidi="ar-SA"/>
              </w:rPr>
            </w:pPr>
            <w:r>
              <w:rPr>
                <w:rFonts w:hint="eastAsia" w:ascii="Times New Roman" w:hAnsi="Times New Roman" w:eastAsia="方正仿宋_GBK" w:cs="Times New Roman"/>
                <w:b/>
                <w:bCs/>
                <w:color w:val="auto"/>
                <w:kern w:val="2"/>
                <w:sz w:val="32"/>
                <w:szCs w:val="32"/>
                <w:lang w:val="en-US" w:eastAsia="zh-CN" w:bidi="ar-SA"/>
              </w:rPr>
              <w:t>床位费</w:t>
            </w:r>
          </w:p>
        </w:tc>
        <w:tc>
          <w:tcPr>
            <w:tcW w:w="4677" w:type="dxa"/>
          </w:tcPr>
          <w:p>
            <w:pPr>
              <w:pStyle w:val="9"/>
              <w:keepNext w:val="0"/>
              <w:keepLines w:val="0"/>
              <w:pageBreakBefore w:val="0"/>
              <w:widowControl/>
              <w:suppressLineNumbers w:val="0"/>
              <w:kinsoku/>
              <w:wordWrap/>
              <w:topLinePunct w:val="0"/>
              <w:bidi w:val="0"/>
              <w:snapToGrid/>
              <w:spacing w:before="0" w:beforeAutospacing="0" w:after="0" w:afterAutospacing="0" w:line="600" w:lineRule="exact"/>
              <w:ind w:right="0"/>
              <w:jc w:val="center"/>
              <w:rPr>
                <w:rFonts w:hint="eastAsia" w:ascii="Times New Roman" w:hAnsi="Times New Roman" w:eastAsia="方正仿宋_GBK" w:cs="Times New Roman"/>
                <w:b/>
                <w:bCs/>
                <w:color w:val="auto"/>
                <w:kern w:val="2"/>
                <w:sz w:val="32"/>
                <w:szCs w:val="32"/>
                <w:vertAlign w:val="baseline"/>
                <w:lang w:val="en-US" w:eastAsia="zh-CN" w:bidi="ar-SA"/>
              </w:rPr>
            </w:pPr>
            <w:r>
              <w:rPr>
                <w:rFonts w:hint="eastAsia" w:ascii="Times New Roman" w:hAnsi="Times New Roman" w:eastAsia="方正仿宋_GBK" w:cs="Times New Roman"/>
                <w:b/>
                <w:bCs/>
                <w:color w:val="auto"/>
                <w:kern w:val="2"/>
                <w:sz w:val="32"/>
                <w:szCs w:val="32"/>
                <w:lang w:val="en-US" w:eastAsia="zh-CN" w:bidi="ar-SA"/>
              </w:rPr>
              <w:t>护理费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2265" w:type="dxa"/>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bottom"/>
              <w:rPr>
                <w:rFonts w:hint="eastAsia"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单人间</w:t>
            </w:r>
          </w:p>
        </w:tc>
        <w:tc>
          <w:tcPr>
            <w:tcW w:w="2265" w:type="dxa"/>
            <w:vAlign w:val="center"/>
          </w:tcPr>
          <w:p>
            <w:pPr>
              <w:keepNext w:val="0"/>
              <w:keepLines w:val="0"/>
              <w:pageBreakBefore w:val="0"/>
              <w:widowControl/>
              <w:suppressLineNumbers w:val="0"/>
              <w:kinsoku/>
              <w:wordWrap/>
              <w:topLinePunct w:val="0"/>
              <w:bidi w:val="0"/>
              <w:snapToGrid/>
              <w:spacing w:line="600" w:lineRule="exact"/>
              <w:jc w:val="center"/>
              <w:textAlignment w:val="center"/>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1900</w:t>
            </w:r>
          </w:p>
        </w:tc>
        <w:tc>
          <w:tcPr>
            <w:tcW w:w="4677" w:type="dxa"/>
            <w:vMerge w:val="restart"/>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bottom"/>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介助（轻度失能）：1200</w:t>
            </w:r>
            <w:r>
              <w:rPr>
                <w:rFonts w:hint="eastAsia" w:ascii="Times New Roman" w:hAnsi="Times New Roman" w:eastAsia="方正仿宋_GBK" w:cs="Times New Roman"/>
                <w:color w:val="auto"/>
                <w:kern w:val="2"/>
                <w:sz w:val="32"/>
                <w:szCs w:val="32"/>
                <w:lang w:val="en-US" w:eastAsia="zh-CN" w:bidi="ar-SA"/>
              </w:rPr>
              <w:br w:type="textWrapping"/>
            </w:r>
            <w:r>
              <w:rPr>
                <w:rFonts w:hint="eastAsia" w:ascii="Times New Roman" w:hAnsi="Times New Roman" w:eastAsia="方正仿宋_GBK" w:cs="Times New Roman"/>
                <w:color w:val="auto"/>
                <w:kern w:val="2"/>
                <w:sz w:val="32"/>
                <w:szCs w:val="32"/>
                <w:lang w:val="en-US" w:eastAsia="zh-CN" w:bidi="ar-SA"/>
              </w:rPr>
              <w:t>介护一级（中度失能）：2500</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bottom"/>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介护二级（重度失能）：3500</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bottom"/>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介护三级（完全失能）：4500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2265" w:type="dxa"/>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bottom"/>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两</w:t>
            </w:r>
            <w:r>
              <w:rPr>
                <w:rFonts w:hint="default" w:ascii="Times New Roman" w:hAnsi="Times New Roman" w:eastAsia="方正仿宋_GBK" w:cs="Times New Roman"/>
                <w:color w:val="auto"/>
                <w:kern w:val="2"/>
                <w:sz w:val="32"/>
                <w:szCs w:val="32"/>
                <w:lang w:val="en-US" w:eastAsia="zh-CN" w:bidi="ar-SA"/>
              </w:rPr>
              <w:t>人间</w:t>
            </w:r>
          </w:p>
        </w:tc>
        <w:tc>
          <w:tcPr>
            <w:tcW w:w="2265" w:type="dxa"/>
            <w:vAlign w:val="center"/>
          </w:tcPr>
          <w:p>
            <w:pPr>
              <w:keepNext w:val="0"/>
              <w:keepLines w:val="0"/>
              <w:pageBreakBefore w:val="0"/>
              <w:widowControl/>
              <w:suppressLineNumbers w:val="0"/>
              <w:kinsoku/>
              <w:wordWrap/>
              <w:topLinePunct w:val="0"/>
              <w:bidi w:val="0"/>
              <w:snapToGrid/>
              <w:spacing w:line="600" w:lineRule="exact"/>
              <w:jc w:val="center"/>
              <w:textAlignment w:val="center"/>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1200</w:t>
            </w:r>
          </w:p>
        </w:tc>
        <w:tc>
          <w:tcPr>
            <w:tcW w:w="4677" w:type="dxa"/>
            <w:vMerge w:val="continue"/>
          </w:tcPr>
          <w:p>
            <w:pPr>
              <w:pStyle w:val="9"/>
              <w:keepNext w:val="0"/>
              <w:keepLines w:val="0"/>
              <w:pageBreakBefore w:val="0"/>
              <w:widowControl/>
              <w:suppressLineNumbers w:val="0"/>
              <w:kinsoku/>
              <w:wordWrap/>
              <w:topLinePunct w:val="0"/>
              <w:bidi w:val="0"/>
              <w:snapToGrid/>
              <w:spacing w:before="0" w:beforeAutospacing="0" w:after="0" w:afterAutospacing="0" w:line="600" w:lineRule="exact"/>
              <w:ind w:right="0"/>
              <w:jc w:val="right"/>
              <w:rPr>
                <w:rFonts w:hint="eastAsia" w:ascii="Times New Roman" w:hAnsi="Times New Roman" w:eastAsia="方正仿宋_GBK" w:cs="Times New Roman"/>
                <w:color w:val="auto"/>
                <w:kern w:val="2"/>
                <w:sz w:val="32"/>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bottom"/>
              <w:rPr>
                <w:rFonts w:hint="eastAsia"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三人间</w:t>
            </w:r>
          </w:p>
        </w:tc>
        <w:tc>
          <w:tcPr>
            <w:tcW w:w="2265" w:type="dxa"/>
            <w:vAlign w:val="center"/>
          </w:tcPr>
          <w:p>
            <w:pPr>
              <w:keepNext w:val="0"/>
              <w:keepLines w:val="0"/>
              <w:pageBreakBefore w:val="0"/>
              <w:widowControl/>
              <w:suppressLineNumbers w:val="0"/>
              <w:kinsoku/>
              <w:wordWrap/>
              <w:topLinePunct w:val="0"/>
              <w:bidi w:val="0"/>
              <w:snapToGrid/>
              <w:spacing w:line="600" w:lineRule="exact"/>
              <w:jc w:val="center"/>
              <w:textAlignment w:val="center"/>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900</w:t>
            </w:r>
          </w:p>
        </w:tc>
        <w:tc>
          <w:tcPr>
            <w:tcW w:w="4677" w:type="dxa"/>
            <w:vMerge w:val="continue"/>
          </w:tcPr>
          <w:p>
            <w:pPr>
              <w:pStyle w:val="9"/>
              <w:keepNext w:val="0"/>
              <w:keepLines w:val="0"/>
              <w:pageBreakBefore w:val="0"/>
              <w:widowControl/>
              <w:suppressLineNumbers w:val="0"/>
              <w:kinsoku/>
              <w:wordWrap/>
              <w:topLinePunct w:val="0"/>
              <w:bidi w:val="0"/>
              <w:snapToGrid/>
              <w:spacing w:before="0" w:beforeAutospacing="0" w:after="0" w:afterAutospacing="0" w:line="600" w:lineRule="exact"/>
              <w:ind w:right="0"/>
              <w:jc w:val="right"/>
              <w:rPr>
                <w:rFonts w:hint="eastAsia" w:ascii="Times New Roman" w:hAnsi="Times New Roman" w:eastAsia="方正仿宋_GBK" w:cs="Times New Roman"/>
                <w:color w:val="auto"/>
                <w:kern w:val="2"/>
                <w:sz w:val="32"/>
                <w:szCs w:val="32"/>
                <w:lang w:val="en-US" w:eastAsia="zh-CN" w:bidi="ar-SA"/>
              </w:rPr>
            </w:pPr>
          </w:p>
        </w:tc>
      </w:tr>
    </w:tbl>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bidi w:val="0"/>
        <w:snapToGrid/>
        <w:spacing w:before="0" w:beforeAutospacing="0" w:after="0" w:afterAutospacing="0" w:line="600" w:lineRule="exact"/>
        <w:ind w:right="0" w:firstLine="640" w:firstLineChars="200"/>
        <w:rPr>
          <w:rFonts w:hint="default" w:ascii="Times New Roman" w:hAnsi="Times New Roman" w:eastAsia="方正仿宋_GB2312" w:cs="Times New Roman"/>
          <w:color w:val="auto"/>
          <w:kern w:val="2"/>
          <w:sz w:val="32"/>
          <w:szCs w:val="32"/>
          <w:lang w:val="en-US" w:eastAsia="zh-CN" w:bidi="ar-SA"/>
        </w:rPr>
      </w:pPr>
      <w:r>
        <w:rPr>
          <w:rFonts w:hint="default" w:ascii="Times New Roman" w:hAnsi="Times New Roman" w:eastAsia="方正仿宋_GB2312" w:cs="Times New Roman"/>
          <w:color w:val="auto"/>
          <w:kern w:val="2"/>
          <w:sz w:val="32"/>
          <w:szCs w:val="32"/>
          <w:lang w:val="en-US" w:eastAsia="zh-CN" w:bidi="ar-SA"/>
        </w:rPr>
        <w:t>说明：1.以上为最高收费标准，可根据市场情况适当下浮。</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bidi w:val="0"/>
        <w:snapToGrid/>
        <w:spacing w:before="0" w:beforeAutospacing="0" w:after="0" w:afterAutospacing="0" w:line="600" w:lineRule="exact"/>
        <w:ind w:left="0" w:right="0" w:firstLine="480"/>
        <w:rPr>
          <w:rFonts w:hint="default" w:ascii="Times New Roman" w:hAnsi="Times New Roman" w:eastAsia="方正仿宋_GB2312" w:cs="Times New Roman"/>
          <w:color w:val="auto"/>
          <w:kern w:val="2"/>
          <w:sz w:val="32"/>
          <w:szCs w:val="32"/>
          <w:lang w:val="en-US" w:eastAsia="zh-CN" w:bidi="ar-SA"/>
        </w:rPr>
      </w:pPr>
      <w:r>
        <w:rPr>
          <w:rFonts w:hint="default" w:ascii="Times New Roman" w:hAnsi="Times New Roman" w:eastAsia="方正仿宋_GB2312" w:cs="Times New Roman"/>
          <w:color w:val="auto"/>
          <w:kern w:val="2"/>
          <w:sz w:val="32"/>
          <w:szCs w:val="32"/>
          <w:lang w:val="en-US" w:eastAsia="zh-CN" w:bidi="ar-SA"/>
        </w:rPr>
        <w:t>       2.休养老人能力等级与护理等级未能对应时，按实际护理等级确定的护理费价格执行。</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bidi w:val="0"/>
        <w:snapToGrid/>
        <w:spacing w:before="0" w:beforeAutospacing="0" w:after="0" w:afterAutospacing="0" w:line="600" w:lineRule="exact"/>
        <w:ind w:left="0" w:right="0" w:firstLine="640"/>
        <w:rPr>
          <w:rFonts w:hint="default" w:ascii="Times New Roman" w:hAnsi="Times New Roman" w:eastAsia="方正仿宋_GB2312" w:cs="Times New Roman"/>
          <w:color w:val="auto"/>
          <w:kern w:val="2"/>
          <w:sz w:val="32"/>
          <w:szCs w:val="32"/>
          <w:lang w:val="en-US" w:eastAsia="zh-CN" w:bidi="ar-SA"/>
        </w:rPr>
      </w:pPr>
      <w:r>
        <w:rPr>
          <w:rFonts w:hint="default" w:ascii="Times New Roman" w:hAnsi="Times New Roman" w:eastAsia="方正仿宋_GB2312" w:cs="Times New Roman"/>
          <w:color w:val="auto"/>
          <w:kern w:val="2"/>
          <w:sz w:val="32"/>
          <w:szCs w:val="32"/>
          <w:lang w:val="en-US" w:eastAsia="zh-CN" w:bidi="ar-SA"/>
        </w:rPr>
        <w:t>（二）床位费、护理费原则上按月收取，特殊情况可以预收，预收期不得超过6个月。入</w:t>
      </w:r>
      <w:r>
        <w:rPr>
          <w:rFonts w:hint="eastAsia" w:ascii="Times New Roman" w:hAnsi="Times New Roman" w:eastAsia="方正仿宋_GB2312" w:cs="Times New Roman"/>
          <w:color w:val="auto"/>
          <w:kern w:val="2"/>
          <w:sz w:val="32"/>
          <w:szCs w:val="32"/>
          <w:lang w:val="en-US" w:eastAsia="zh-CN" w:bidi="ar-SA"/>
        </w:rPr>
        <w:t>院（中心）</w:t>
      </w:r>
      <w:r>
        <w:rPr>
          <w:rFonts w:hint="default" w:ascii="Times New Roman" w:hAnsi="Times New Roman" w:eastAsia="方正仿宋_GB2312" w:cs="Times New Roman"/>
          <w:color w:val="auto"/>
          <w:kern w:val="2"/>
          <w:sz w:val="32"/>
          <w:szCs w:val="32"/>
          <w:lang w:val="en-US" w:eastAsia="zh-CN" w:bidi="ar-SA"/>
        </w:rPr>
        <w:t>当月按实际入住天数计收。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bidi w:val="0"/>
        <w:snapToGrid/>
        <w:spacing w:before="0" w:beforeAutospacing="0" w:after="0" w:afterAutospacing="0" w:line="600" w:lineRule="exact"/>
        <w:ind w:left="0" w:right="0" w:firstLine="640"/>
        <w:rPr>
          <w:rFonts w:hint="default" w:ascii="Times New Roman" w:hAnsi="Times New Roman" w:eastAsia="方正仿宋_GB2312" w:cs="Times New Roman"/>
          <w:color w:val="auto"/>
          <w:kern w:val="2"/>
          <w:sz w:val="32"/>
          <w:szCs w:val="32"/>
          <w:lang w:val="en-US" w:eastAsia="zh-CN" w:bidi="ar-SA"/>
        </w:rPr>
      </w:pPr>
      <w:r>
        <w:rPr>
          <w:rFonts w:hint="default" w:ascii="Times New Roman" w:hAnsi="Times New Roman" w:eastAsia="方正仿宋_GB2312" w:cs="Times New Roman"/>
          <w:color w:val="auto"/>
          <w:kern w:val="2"/>
          <w:sz w:val="32"/>
          <w:szCs w:val="32"/>
          <w:lang w:val="en-US" w:eastAsia="zh-CN" w:bidi="ar-SA"/>
        </w:rPr>
        <w:t>（三）除床位费、护理费以外，不得另行收取其他基本养老服务费。</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bidi w:val="0"/>
        <w:snapToGrid/>
        <w:spacing w:before="0" w:beforeAutospacing="0" w:after="0" w:afterAutospacing="0" w:line="600" w:lineRule="exact"/>
        <w:ind w:left="0" w:right="0" w:firstLine="640"/>
        <w:rPr>
          <w:rFonts w:hint="eastAsia" w:ascii="方正黑体_GBK" w:hAnsi="方正黑体_GBK" w:eastAsia="方正黑体_GBK" w:cs="方正黑体_GBK"/>
          <w:color w:val="auto"/>
          <w:kern w:val="2"/>
          <w:sz w:val="32"/>
          <w:szCs w:val="32"/>
          <w:lang w:val="en-US" w:eastAsia="zh-CN" w:bidi="ar-SA"/>
        </w:rPr>
      </w:pPr>
      <w:r>
        <w:rPr>
          <w:rFonts w:hint="eastAsia" w:ascii="方正黑体_GBK" w:hAnsi="方正黑体_GBK" w:eastAsia="方正黑体_GBK" w:cs="方正黑体_GBK"/>
          <w:color w:val="auto"/>
          <w:kern w:val="2"/>
          <w:sz w:val="32"/>
          <w:szCs w:val="32"/>
          <w:lang w:val="en-US" w:eastAsia="zh-CN" w:bidi="ar-SA"/>
        </w:rPr>
        <w:t>二、其他服务收费</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bidi w:val="0"/>
        <w:snapToGrid/>
        <w:spacing w:before="0" w:beforeAutospacing="0" w:after="0" w:afterAutospacing="0" w:line="600" w:lineRule="exact"/>
        <w:ind w:left="0" w:right="0" w:firstLine="640"/>
        <w:rPr>
          <w:rFonts w:hint="default" w:ascii="Times New Roman" w:hAnsi="Times New Roman" w:eastAsia="方正仿宋_GB2312" w:cs="Times New Roman"/>
          <w:color w:val="auto"/>
          <w:kern w:val="2"/>
          <w:sz w:val="32"/>
          <w:szCs w:val="32"/>
          <w:lang w:val="en-US" w:eastAsia="zh-CN" w:bidi="ar-SA"/>
        </w:rPr>
      </w:pPr>
      <w:r>
        <w:rPr>
          <w:rFonts w:hint="default" w:ascii="Times New Roman" w:hAnsi="Times New Roman" w:eastAsia="方正仿宋_GB2312" w:cs="Times New Roman"/>
          <w:color w:val="auto"/>
          <w:kern w:val="2"/>
          <w:sz w:val="32"/>
          <w:szCs w:val="32"/>
          <w:lang w:val="en-US" w:eastAsia="zh-CN" w:bidi="ar-SA"/>
        </w:rPr>
        <w:t>（一）伙食费标准按照非营利原则由你院</w:t>
      </w:r>
      <w:r>
        <w:rPr>
          <w:rFonts w:hint="eastAsia" w:ascii="Times New Roman" w:hAnsi="Times New Roman" w:eastAsia="方正仿宋_GB2312" w:cs="Times New Roman"/>
          <w:color w:val="auto"/>
          <w:kern w:val="2"/>
          <w:sz w:val="32"/>
          <w:szCs w:val="32"/>
          <w:lang w:val="en-US" w:eastAsia="zh-CN" w:bidi="ar-SA"/>
        </w:rPr>
        <w:t>（中心）</w:t>
      </w:r>
      <w:r>
        <w:rPr>
          <w:rFonts w:hint="default" w:ascii="Times New Roman" w:hAnsi="Times New Roman" w:eastAsia="方正仿宋_GB2312" w:cs="Times New Roman"/>
          <w:color w:val="auto"/>
          <w:kern w:val="2"/>
          <w:sz w:val="32"/>
          <w:szCs w:val="32"/>
          <w:lang w:val="en-US" w:eastAsia="zh-CN" w:bidi="ar-SA"/>
        </w:rPr>
        <w:t>自主确定，伙食费标准制定或调整前应向</w:t>
      </w:r>
      <w:r>
        <w:rPr>
          <w:rFonts w:hint="eastAsia" w:ascii="Times New Roman" w:hAnsi="Times New Roman" w:eastAsia="方正仿宋_GB2312" w:cs="Times New Roman"/>
          <w:color w:val="auto"/>
          <w:kern w:val="2"/>
          <w:sz w:val="32"/>
          <w:szCs w:val="32"/>
          <w:lang w:val="en-US" w:eastAsia="zh-CN" w:bidi="ar-SA"/>
        </w:rPr>
        <w:t>区</w:t>
      </w:r>
      <w:r>
        <w:rPr>
          <w:rFonts w:hint="default" w:ascii="Times New Roman" w:hAnsi="Times New Roman" w:eastAsia="方正仿宋_GB2312" w:cs="Times New Roman"/>
          <w:color w:val="auto"/>
          <w:kern w:val="2"/>
          <w:sz w:val="32"/>
          <w:szCs w:val="32"/>
          <w:lang w:val="en-US" w:eastAsia="zh-CN" w:bidi="ar-SA"/>
        </w:rPr>
        <w:t>民政局备案。</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bidi w:val="0"/>
        <w:snapToGrid/>
        <w:spacing w:before="0" w:beforeAutospacing="0" w:after="0" w:afterAutospacing="0" w:line="600" w:lineRule="exact"/>
        <w:ind w:left="0" w:right="0" w:firstLine="640"/>
        <w:rPr>
          <w:rFonts w:hint="default" w:ascii="Times New Roman" w:hAnsi="Times New Roman" w:eastAsia="方正仿宋_GB2312" w:cs="Times New Roman"/>
          <w:color w:val="auto"/>
          <w:kern w:val="2"/>
          <w:sz w:val="32"/>
          <w:szCs w:val="32"/>
          <w:lang w:val="en-US" w:eastAsia="zh-CN" w:bidi="ar-SA"/>
        </w:rPr>
      </w:pPr>
      <w:r>
        <w:rPr>
          <w:rFonts w:hint="default" w:ascii="Times New Roman" w:hAnsi="Times New Roman" w:eastAsia="方正仿宋_GB2312" w:cs="Times New Roman"/>
          <w:color w:val="auto"/>
          <w:kern w:val="2"/>
          <w:sz w:val="32"/>
          <w:szCs w:val="32"/>
          <w:lang w:val="en-US" w:eastAsia="zh-CN" w:bidi="ar-SA"/>
        </w:rPr>
        <w:t>（二）基本养老服务以外的特约服务收费按照自愿、非强制的原则，由休养老人自主选择，具体收费项目和收费标准由你院</w:t>
      </w:r>
      <w:r>
        <w:rPr>
          <w:rFonts w:hint="eastAsia" w:ascii="Times New Roman" w:hAnsi="Times New Roman" w:eastAsia="方正仿宋_GB2312" w:cs="Times New Roman"/>
          <w:color w:val="auto"/>
          <w:kern w:val="2"/>
          <w:sz w:val="32"/>
          <w:szCs w:val="32"/>
          <w:lang w:val="en-US" w:eastAsia="zh-CN" w:bidi="ar-SA"/>
        </w:rPr>
        <w:t>（中心）</w:t>
      </w:r>
      <w:r>
        <w:rPr>
          <w:rFonts w:hint="default" w:ascii="Times New Roman" w:hAnsi="Times New Roman" w:eastAsia="方正仿宋_GB2312" w:cs="Times New Roman"/>
          <w:color w:val="auto"/>
          <w:kern w:val="2"/>
          <w:sz w:val="32"/>
          <w:szCs w:val="32"/>
          <w:lang w:val="en-US" w:eastAsia="zh-CN" w:bidi="ar-SA"/>
        </w:rPr>
        <w:t>自主确定。</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bidi w:val="0"/>
        <w:snapToGrid/>
        <w:spacing w:before="0" w:beforeAutospacing="0" w:after="0" w:afterAutospacing="0" w:line="600" w:lineRule="exact"/>
        <w:ind w:left="0" w:right="0" w:firstLine="640"/>
        <w:rPr>
          <w:rFonts w:hint="default" w:ascii="Times New Roman" w:hAnsi="Times New Roman" w:eastAsia="方正仿宋_GB2312" w:cs="Times New Roman"/>
          <w:color w:val="auto"/>
          <w:kern w:val="2"/>
          <w:sz w:val="32"/>
          <w:szCs w:val="32"/>
          <w:lang w:val="en-US" w:eastAsia="zh-CN" w:bidi="ar-SA"/>
        </w:rPr>
      </w:pPr>
      <w:r>
        <w:rPr>
          <w:rFonts w:hint="default" w:ascii="Times New Roman" w:hAnsi="Times New Roman" w:eastAsia="方正仿宋_GB2312" w:cs="Times New Roman"/>
          <w:color w:val="auto"/>
          <w:kern w:val="2"/>
          <w:sz w:val="32"/>
          <w:szCs w:val="32"/>
          <w:lang w:val="en-US" w:eastAsia="zh-CN" w:bidi="ar-SA"/>
        </w:rPr>
        <w:t>（三）养老服务之外的医疗、康复等费用按规定的医疗服务收费项目和收费标准收取。</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bidi w:val="0"/>
        <w:snapToGrid/>
        <w:spacing w:before="0" w:beforeAutospacing="0" w:after="0" w:afterAutospacing="0" w:line="600" w:lineRule="exact"/>
        <w:ind w:left="0" w:right="0" w:firstLine="640"/>
        <w:rPr>
          <w:rFonts w:hint="default" w:ascii="Times New Roman" w:hAnsi="Times New Roman" w:eastAsia="方正仿宋_GB2312" w:cs="Times New Roman"/>
          <w:color w:val="auto"/>
          <w:kern w:val="2"/>
          <w:sz w:val="32"/>
          <w:szCs w:val="32"/>
          <w:lang w:val="en-US" w:eastAsia="zh-CN" w:bidi="ar-SA"/>
        </w:rPr>
      </w:pPr>
      <w:r>
        <w:rPr>
          <w:rFonts w:hint="eastAsia" w:ascii="方正黑体_GBK" w:hAnsi="方正黑体_GBK" w:eastAsia="方正黑体_GBK" w:cs="方正黑体_GBK"/>
          <w:color w:val="auto"/>
          <w:kern w:val="2"/>
          <w:sz w:val="32"/>
          <w:szCs w:val="32"/>
          <w:lang w:val="en-US" w:eastAsia="zh-CN" w:bidi="ar-SA"/>
        </w:rPr>
        <w:t>三、服务质量标准</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bidi w:val="0"/>
        <w:snapToGrid/>
        <w:spacing w:before="0" w:beforeAutospacing="0" w:after="0" w:afterAutospacing="0" w:line="600" w:lineRule="exact"/>
        <w:ind w:left="0" w:right="0" w:firstLine="640"/>
        <w:jc w:val="both"/>
        <w:rPr>
          <w:rFonts w:hint="default" w:ascii="Times New Roman" w:hAnsi="Times New Roman" w:eastAsia="方正仿宋_GB2312" w:cs="Times New Roman"/>
          <w:color w:val="auto"/>
          <w:kern w:val="2"/>
          <w:sz w:val="32"/>
          <w:szCs w:val="32"/>
          <w:lang w:val="en-US" w:eastAsia="zh-CN" w:bidi="ar-SA"/>
        </w:rPr>
      </w:pPr>
      <w:r>
        <w:rPr>
          <w:rFonts w:hint="default" w:ascii="Times New Roman" w:hAnsi="Times New Roman" w:eastAsia="方正仿宋_GB2312" w:cs="Times New Roman"/>
          <w:color w:val="auto"/>
          <w:kern w:val="2"/>
          <w:sz w:val="32"/>
          <w:szCs w:val="32"/>
          <w:lang w:val="en-US" w:eastAsia="zh-CN" w:bidi="ar-SA"/>
        </w:rPr>
        <w:t>对休养老人按照《老年人能力评估规范》（GB/T 42195—2022）开展评估，根据评估报告结论确定相应的护理等级。自理、介助、介护的服务质量按照《养老机构自理老人服务规范》（DB50/T 1124—2021）、《养老机构介助老人服务规范》（DB50/T 1123—2021）、《养老机构老年人介护服务规范》（DB50/T 590—2015）三项重庆市地方标准执行。</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bidi w:val="0"/>
        <w:snapToGrid/>
        <w:spacing w:before="0" w:beforeAutospacing="0" w:after="0" w:afterAutospacing="0" w:line="600" w:lineRule="exact"/>
        <w:ind w:left="0" w:right="0" w:firstLine="640"/>
        <w:rPr>
          <w:rFonts w:hint="eastAsia" w:ascii="方正黑体_GBK" w:hAnsi="方正黑体_GBK" w:eastAsia="方正黑体_GBK" w:cs="方正黑体_GBK"/>
          <w:color w:val="auto"/>
          <w:kern w:val="2"/>
          <w:sz w:val="32"/>
          <w:szCs w:val="32"/>
          <w:lang w:val="en-US" w:eastAsia="zh-CN" w:bidi="ar-SA"/>
        </w:rPr>
      </w:pPr>
      <w:r>
        <w:rPr>
          <w:rFonts w:hint="eastAsia" w:ascii="方正黑体_GBK" w:hAnsi="方正黑体_GBK" w:eastAsia="方正黑体_GBK" w:cs="方正黑体_GBK"/>
          <w:color w:val="auto"/>
          <w:kern w:val="2"/>
          <w:sz w:val="32"/>
          <w:szCs w:val="32"/>
          <w:lang w:val="en-US" w:eastAsia="zh-CN" w:bidi="ar-SA"/>
        </w:rPr>
        <w:t>四、明码标价规定</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bidi w:val="0"/>
        <w:snapToGrid/>
        <w:spacing w:before="0" w:beforeAutospacing="0" w:after="0" w:afterAutospacing="0" w:line="600" w:lineRule="exact"/>
        <w:ind w:left="0" w:right="0" w:firstLine="640"/>
        <w:rPr>
          <w:rFonts w:hint="default" w:ascii="Times New Roman" w:hAnsi="Times New Roman" w:eastAsia="方正仿宋_GB2312" w:cs="Times New Roman"/>
          <w:color w:val="auto"/>
          <w:kern w:val="2"/>
          <w:sz w:val="32"/>
          <w:szCs w:val="32"/>
          <w:lang w:val="en-US" w:eastAsia="zh-CN" w:bidi="ar-SA"/>
        </w:rPr>
      </w:pPr>
      <w:r>
        <w:rPr>
          <w:rFonts w:hint="default" w:ascii="Times New Roman" w:hAnsi="Times New Roman" w:eastAsia="方正仿宋_GB2312" w:cs="Times New Roman"/>
          <w:color w:val="auto"/>
          <w:kern w:val="2"/>
          <w:sz w:val="32"/>
          <w:szCs w:val="32"/>
          <w:lang w:val="en-US" w:eastAsia="zh-CN" w:bidi="ar-SA"/>
        </w:rPr>
        <w:t>你院</w:t>
      </w:r>
      <w:r>
        <w:rPr>
          <w:rFonts w:hint="eastAsia" w:ascii="Times New Roman" w:hAnsi="Times New Roman" w:eastAsia="方正仿宋_GB2312" w:cs="Times New Roman"/>
          <w:color w:val="auto"/>
          <w:kern w:val="2"/>
          <w:sz w:val="32"/>
          <w:szCs w:val="32"/>
          <w:lang w:val="en-US" w:eastAsia="zh-CN" w:bidi="ar-SA"/>
        </w:rPr>
        <w:t>（中心）</w:t>
      </w:r>
      <w:r>
        <w:rPr>
          <w:rFonts w:hint="default" w:ascii="Times New Roman" w:hAnsi="Times New Roman" w:eastAsia="方正仿宋_GB2312" w:cs="Times New Roman"/>
          <w:color w:val="auto"/>
          <w:kern w:val="2"/>
          <w:sz w:val="32"/>
          <w:szCs w:val="32"/>
          <w:lang w:val="en-US" w:eastAsia="zh-CN" w:bidi="ar-SA"/>
        </w:rPr>
        <w:t>应按照明码标价的相关规定，在缴费处醒目位置公示收费项目、收费标准等信息，自觉接受发展改革、民政、审计、市场监管等部门以及社会的监督。</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bidi w:val="0"/>
        <w:snapToGrid/>
        <w:spacing w:before="0" w:beforeAutospacing="0" w:after="0" w:afterAutospacing="0" w:line="600" w:lineRule="exact"/>
        <w:ind w:left="0" w:right="0" w:firstLine="640"/>
        <w:rPr>
          <w:rFonts w:hint="default" w:ascii="Times New Roman" w:hAnsi="Times New Roman" w:eastAsia="方正仿宋_GB2312" w:cs="Times New Roman"/>
          <w:color w:val="auto"/>
          <w:kern w:val="2"/>
          <w:sz w:val="32"/>
          <w:szCs w:val="32"/>
          <w:lang w:val="en-US" w:eastAsia="zh-CN" w:bidi="ar-SA"/>
        </w:rPr>
      </w:pPr>
      <w:r>
        <w:rPr>
          <w:rFonts w:hint="default" w:ascii="Times New Roman" w:hAnsi="Times New Roman" w:eastAsia="方正仿宋_GB2312" w:cs="Times New Roman"/>
          <w:color w:val="auto"/>
          <w:kern w:val="2"/>
          <w:sz w:val="32"/>
          <w:szCs w:val="32"/>
          <w:lang w:val="en-US" w:eastAsia="zh-CN" w:bidi="ar-SA"/>
        </w:rPr>
        <w:t>本通知自2026年</w:t>
      </w:r>
      <w:r>
        <w:rPr>
          <w:rFonts w:hint="eastAsia" w:ascii="Times New Roman" w:hAnsi="Times New Roman" w:eastAsia="方正仿宋_GB2312" w:cs="Times New Roman"/>
          <w:color w:val="auto"/>
          <w:kern w:val="2"/>
          <w:sz w:val="32"/>
          <w:szCs w:val="32"/>
          <w:lang w:val="en-US" w:eastAsia="zh-CN" w:bidi="ar-SA"/>
        </w:rPr>
        <w:t>5</w:t>
      </w:r>
      <w:r>
        <w:rPr>
          <w:rFonts w:hint="default" w:ascii="Times New Roman" w:hAnsi="Times New Roman" w:eastAsia="方正仿宋_GB2312" w:cs="Times New Roman"/>
          <w:color w:val="auto"/>
          <w:kern w:val="2"/>
          <w:sz w:val="32"/>
          <w:szCs w:val="32"/>
          <w:lang w:val="en-US" w:eastAsia="zh-CN" w:bidi="ar-SA"/>
        </w:rPr>
        <w:t>月1日起执行。</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bidi w:val="0"/>
        <w:snapToGrid/>
        <w:spacing w:before="0" w:beforeAutospacing="0" w:after="0" w:afterAutospacing="0" w:line="600" w:lineRule="exact"/>
        <w:ind w:left="0" w:right="0" w:firstLine="1280"/>
        <w:rPr>
          <w:rFonts w:hint="default" w:ascii="Times New Roman" w:hAnsi="Times New Roman" w:eastAsia="方正仿宋_GB2312" w:cs="Times New Roman"/>
          <w:color w:val="auto"/>
          <w:kern w:val="2"/>
          <w:sz w:val="32"/>
          <w:szCs w:val="32"/>
          <w:lang w:val="en-US" w:eastAsia="zh-CN" w:bidi="ar-SA"/>
        </w:rPr>
      </w:pPr>
      <w:r>
        <w:rPr>
          <w:rFonts w:hint="default" w:ascii="Times New Roman" w:hAnsi="Times New Roman" w:eastAsia="方正仿宋_GB2312" w:cs="Times New Roman"/>
          <w:color w:val="auto"/>
          <w:kern w:val="2"/>
          <w:sz w:val="32"/>
          <w:szCs w:val="32"/>
          <w:lang w:val="en-US" w:eastAsia="zh-CN" w:bidi="ar-SA"/>
        </w:rPr>
        <w:t>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bidi w:val="0"/>
        <w:snapToGrid/>
        <w:spacing w:before="0" w:beforeAutospacing="0" w:after="0" w:afterAutospacing="0" w:line="600" w:lineRule="exact"/>
        <w:ind w:left="0" w:right="0" w:firstLine="1280"/>
        <w:rPr>
          <w:rFonts w:hint="default" w:ascii="Times New Roman" w:hAnsi="Times New Roman" w:eastAsia="方正仿宋_GB2312" w:cs="Times New Roman"/>
          <w:color w:val="auto"/>
          <w:kern w:val="2"/>
          <w:sz w:val="32"/>
          <w:szCs w:val="32"/>
          <w:lang w:val="en-US" w:eastAsia="zh-CN" w:bidi="ar-SA"/>
        </w:rPr>
      </w:pPr>
      <w:r>
        <w:rPr>
          <w:rFonts w:hint="default" w:ascii="Times New Roman" w:hAnsi="Times New Roman" w:eastAsia="方正仿宋_GB2312" w:cs="Times New Roman"/>
          <w:color w:val="auto"/>
          <w:kern w:val="2"/>
          <w:sz w:val="32"/>
          <w:szCs w:val="32"/>
          <w:lang w:val="en-US" w:eastAsia="zh-CN" w:bidi="ar-SA"/>
        </w:rPr>
        <w:t>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bidi w:val="0"/>
        <w:snapToGrid/>
        <w:spacing w:before="0" w:beforeAutospacing="0" w:after="0" w:afterAutospacing="0" w:line="600" w:lineRule="exact"/>
        <w:ind w:left="0" w:right="0" w:firstLine="1280"/>
        <w:rPr>
          <w:rFonts w:hint="default" w:ascii="Times New Roman" w:hAnsi="Times New Roman" w:eastAsia="方正仿宋_GB2312" w:cs="Times New Roman"/>
          <w:color w:val="auto"/>
          <w:kern w:val="2"/>
          <w:sz w:val="32"/>
          <w:szCs w:val="32"/>
          <w:lang w:val="en-US" w:eastAsia="zh-CN" w:bidi="ar-SA"/>
        </w:rPr>
      </w:pPr>
      <w:r>
        <w:rPr>
          <w:rFonts w:hint="default" w:ascii="Times New Roman" w:hAnsi="Times New Roman" w:eastAsia="方正仿宋_GB2312" w:cs="Times New Roman"/>
          <w:color w:val="auto"/>
          <w:kern w:val="2"/>
          <w:sz w:val="32"/>
          <w:szCs w:val="32"/>
          <w:lang w:val="en-US" w:eastAsia="zh-CN" w:bidi="ar-SA"/>
        </w:rPr>
        <w:t>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bidi w:val="0"/>
        <w:snapToGrid/>
        <w:spacing w:before="0" w:beforeAutospacing="0" w:after="0" w:afterAutospacing="0" w:line="600" w:lineRule="exact"/>
        <w:ind w:right="0"/>
        <w:jc w:val="both"/>
        <w:rPr>
          <w:rFonts w:hint="default" w:ascii="Times New Roman" w:hAnsi="Times New Roman" w:eastAsia="方正仿宋_GB2312" w:cs="Times New Roman"/>
          <w:color w:val="auto"/>
          <w:kern w:val="2"/>
          <w:sz w:val="32"/>
          <w:szCs w:val="32"/>
          <w:lang w:val="en-US" w:eastAsia="zh-CN" w:bidi="ar-SA"/>
        </w:rPr>
      </w:pPr>
      <w:r>
        <w:rPr>
          <w:rFonts w:hint="default" w:ascii="Times New Roman" w:hAnsi="Times New Roman" w:eastAsia="方正仿宋_GB2312" w:cs="Times New Roman"/>
          <w:color w:val="auto"/>
          <w:kern w:val="2"/>
          <w:sz w:val="32"/>
          <w:szCs w:val="32"/>
          <w:lang w:val="en-US" w:eastAsia="zh-CN" w:bidi="ar-SA"/>
        </w:rPr>
        <w:t>重庆市</w:t>
      </w:r>
      <w:r>
        <w:rPr>
          <w:rFonts w:hint="eastAsia" w:ascii="Times New Roman" w:hAnsi="Times New Roman" w:eastAsia="方正仿宋_GB2312" w:cs="Times New Roman"/>
          <w:color w:val="auto"/>
          <w:kern w:val="2"/>
          <w:sz w:val="32"/>
          <w:szCs w:val="32"/>
          <w:lang w:val="en-US" w:eastAsia="zh-CN" w:bidi="ar-SA"/>
        </w:rPr>
        <w:t>渝中区</w:t>
      </w:r>
      <w:r>
        <w:rPr>
          <w:rFonts w:hint="default" w:ascii="Times New Roman" w:hAnsi="Times New Roman" w:eastAsia="方正仿宋_GB2312" w:cs="Times New Roman"/>
          <w:color w:val="auto"/>
          <w:kern w:val="2"/>
          <w:sz w:val="32"/>
          <w:szCs w:val="32"/>
          <w:lang w:val="en-US" w:eastAsia="zh-CN" w:bidi="ar-SA"/>
        </w:rPr>
        <w:t>发展和改革委员会  </w:t>
      </w:r>
      <w:r>
        <w:rPr>
          <w:rFonts w:hint="eastAsia" w:ascii="Times New Roman" w:hAnsi="Times New Roman" w:eastAsia="方正仿宋_GB2312" w:cs="Times New Roman"/>
          <w:color w:val="auto"/>
          <w:kern w:val="2"/>
          <w:sz w:val="32"/>
          <w:szCs w:val="32"/>
          <w:lang w:val="en-US" w:eastAsia="zh-CN" w:bidi="ar-SA"/>
        </w:rPr>
        <w:t xml:space="preserve">    </w:t>
      </w:r>
      <w:r>
        <w:rPr>
          <w:rFonts w:hint="default" w:ascii="Times New Roman" w:hAnsi="Times New Roman" w:eastAsia="方正仿宋_GB2312" w:cs="Times New Roman"/>
          <w:color w:val="auto"/>
          <w:kern w:val="2"/>
          <w:sz w:val="32"/>
          <w:szCs w:val="32"/>
          <w:lang w:val="en-US" w:eastAsia="zh-CN" w:bidi="ar-SA"/>
        </w:rPr>
        <w:t>重庆市</w:t>
      </w:r>
      <w:r>
        <w:rPr>
          <w:rFonts w:hint="eastAsia" w:ascii="Times New Roman" w:hAnsi="Times New Roman" w:eastAsia="方正仿宋_GB2312" w:cs="Times New Roman"/>
          <w:color w:val="auto"/>
          <w:kern w:val="2"/>
          <w:sz w:val="32"/>
          <w:szCs w:val="32"/>
          <w:lang w:val="en-US" w:eastAsia="zh-CN" w:bidi="ar-SA"/>
        </w:rPr>
        <w:t>渝中区</w:t>
      </w:r>
      <w:r>
        <w:rPr>
          <w:rFonts w:hint="default" w:ascii="Times New Roman" w:hAnsi="Times New Roman" w:eastAsia="方正仿宋_GB2312" w:cs="Times New Roman"/>
          <w:color w:val="auto"/>
          <w:kern w:val="2"/>
          <w:sz w:val="32"/>
          <w:szCs w:val="32"/>
          <w:lang w:val="en-US" w:eastAsia="zh-CN" w:bidi="ar-SA"/>
        </w:rPr>
        <w:t>民政局</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bidi w:val="0"/>
        <w:snapToGrid/>
        <w:spacing w:before="0" w:beforeAutospacing="0" w:after="0" w:afterAutospacing="0" w:line="600" w:lineRule="exact"/>
        <w:ind w:left="0" w:right="0" w:firstLine="5280"/>
        <w:jc w:val="center"/>
        <w:rPr>
          <w:rFonts w:hint="default" w:ascii="Times New Roman" w:hAnsi="Times New Roman" w:eastAsia="方正仿宋_GB2312" w:cs="Times New Roman"/>
          <w:color w:val="auto"/>
          <w:kern w:val="2"/>
          <w:sz w:val="32"/>
          <w:szCs w:val="32"/>
          <w:lang w:val="en-US" w:eastAsia="zh-CN" w:bidi="ar-SA"/>
        </w:rPr>
      </w:pPr>
      <w:r>
        <w:rPr>
          <w:rFonts w:hint="default" w:ascii="Times New Roman" w:hAnsi="Times New Roman" w:eastAsia="方正仿宋_GB2312" w:cs="Times New Roman"/>
          <w:color w:val="auto"/>
          <w:kern w:val="2"/>
          <w:sz w:val="32"/>
          <w:szCs w:val="32"/>
          <w:lang w:val="en-US" w:eastAsia="zh-CN" w:bidi="ar-SA"/>
        </w:rPr>
        <w:t>2026年</w:t>
      </w:r>
      <w:r>
        <w:rPr>
          <w:rFonts w:hint="eastAsia" w:ascii="Times New Roman" w:hAnsi="Times New Roman" w:eastAsia="方正仿宋_GB2312" w:cs="Times New Roman"/>
          <w:color w:val="auto"/>
          <w:kern w:val="2"/>
          <w:sz w:val="32"/>
          <w:szCs w:val="32"/>
          <w:lang w:val="en-US" w:eastAsia="zh-CN" w:bidi="ar-SA"/>
        </w:rPr>
        <w:t>4</w:t>
      </w:r>
      <w:r>
        <w:rPr>
          <w:rFonts w:hint="default" w:ascii="Times New Roman" w:hAnsi="Times New Roman" w:eastAsia="方正仿宋_GB2312" w:cs="Times New Roman"/>
          <w:color w:val="auto"/>
          <w:kern w:val="2"/>
          <w:sz w:val="32"/>
          <w:szCs w:val="32"/>
          <w:lang w:val="en-US" w:eastAsia="zh-CN" w:bidi="ar-SA"/>
        </w:rPr>
        <w:t>月</w:t>
      </w:r>
      <w:r>
        <w:rPr>
          <w:rFonts w:hint="eastAsia" w:ascii="Times New Roman" w:hAnsi="Times New Roman" w:eastAsia="方正仿宋_GB2312" w:cs="Times New Roman"/>
          <w:color w:val="auto"/>
          <w:kern w:val="2"/>
          <w:sz w:val="32"/>
          <w:szCs w:val="32"/>
          <w:lang w:val="en-US" w:eastAsia="zh-CN" w:bidi="ar-SA"/>
        </w:rPr>
        <w:t>13</w:t>
      </w:r>
      <w:r>
        <w:rPr>
          <w:rFonts w:hint="default" w:ascii="Times New Roman" w:hAnsi="Times New Roman" w:eastAsia="方正仿宋_GB2312" w:cs="Times New Roman"/>
          <w:color w:val="auto"/>
          <w:kern w:val="2"/>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方正仿宋_GBK" w:hAnsi="方正仿宋_GBK" w:eastAsia="方正仿宋_GBK" w:cs="方正仿宋_GBK"/>
          <w:sz w:val="32"/>
          <w:szCs w:val="32"/>
          <w:lang w:val="en-US" w:eastAsia="zh-CN"/>
        </w:rPr>
      </w:pPr>
    </w:p>
    <w:p>
      <w:pPr>
        <w:pStyle w:val="10"/>
        <w:rPr>
          <w:rFonts w:hint="default" w:ascii="方正仿宋_GBK" w:hAnsi="方正仿宋_GBK" w:eastAsia="方正仿宋_GBK" w:cs="方正仿宋_GBK"/>
          <w:sz w:val="32"/>
          <w:szCs w:val="32"/>
          <w:lang w:val="en-US" w:eastAsia="zh-CN"/>
        </w:rPr>
      </w:pPr>
    </w:p>
    <w:p>
      <w:pPr>
        <w:rPr>
          <w:rFonts w:hint="default" w:ascii="方正仿宋_GBK" w:hAnsi="方正仿宋_GBK" w:eastAsia="方正仿宋_GBK" w:cs="方正仿宋_GBK"/>
          <w:sz w:val="32"/>
          <w:szCs w:val="32"/>
          <w:lang w:val="en-US" w:eastAsia="zh-CN"/>
        </w:rPr>
      </w:pPr>
    </w:p>
    <w:p>
      <w:pPr>
        <w:pStyle w:val="10"/>
        <w:rPr>
          <w:rFonts w:hint="default" w:ascii="方正仿宋_GBK" w:hAnsi="方正仿宋_GBK" w:eastAsia="方正仿宋_GBK" w:cs="方正仿宋_GBK"/>
          <w:sz w:val="32"/>
          <w:szCs w:val="32"/>
          <w:lang w:val="en-US" w:eastAsia="zh-CN"/>
        </w:rPr>
      </w:pPr>
    </w:p>
    <w:p>
      <w:pPr>
        <w:rPr>
          <w:rFonts w:hint="default" w:ascii="方正仿宋_GBK" w:hAnsi="方正仿宋_GBK" w:eastAsia="方正仿宋_GBK" w:cs="方正仿宋_GBK"/>
          <w:sz w:val="32"/>
          <w:szCs w:val="32"/>
          <w:lang w:val="en-US" w:eastAsia="zh-CN"/>
        </w:rPr>
      </w:pPr>
    </w:p>
    <w:p>
      <w:pPr>
        <w:pStyle w:val="10"/>
        <w:rPr>
          <w:rFonts w:hint="default" w:ascii="方正仿宋_GBK" w:hAnsi="方正仿宋_GBK" w:eastAsia="方正仿宋_GBK" w:cs="方正仿宋_GBK"/>
          <w:sz w:val="32"/>
          <w:szCs w:val="32"/>
          <w:lang w:val="en-US" w:eastAsia="zh-CN"/>
        </w:rPr>
      </w:pPr>
    </w:p>
    <w:p>
      <w:pPr>
        <w:rPr>
          <w:rFonts w:hint="default" w:ascii="方正仿宋_GBK" w:hAnsi="方正仿宋_GBK" w:eastAsia="方正仿宋_GBK" w:cs="方正仿宋_GBK"/>
          <w:sz w:val="32"/>
          <w:szCs w:val="32"/>
          <w:lang w:val="en-US" w:eastAsia="zh-CN"/>
        </w:rPr>
      </w:pPr>
    </w:p>
    <w:p>
      <w:pPr>
        <w:pStyle w:val="10"/>
        <w:rPr>
          <w:rFonts w:hint="default" w:ascii="方正仿宋_GBK" w:hAnsi="方正仿宋_GBK" w:eastAsia="方正仿宋_GBK" w:cs="方正仿宋_GBK"/>
          <w:sz w:val="32"/>
          <w:szCs w:val="32"/>
          <w:lang w:val="en-US" w:eastAsia="zh-CN"/>
        </w:rPr>
      </w:pPr>
    </w:p>
    <w:p>
      <w:pPr>
        <w:rPr>
          <w:rFonts w:hint="default" w:ascii="方正仿宋_GBK" w:hAnsi="方正仿宋_GBK" w:eastAsia="方正仿宋_GBK" w:cs="方正仿宋_GBK"/>
          <w:sz w:val="32"/>
          <w:szCs w:val="32"/>
          <w:lang w:val="en-US" w:eastAsia="zh-CN"/>
        </w:rPr>
      </w:pPr>
    </w:p>
    <w:p>
      <w:pPr>
        <w:pStyle w:val="10"/>
        <w:rPr>
          <w:rFonts w:hint="default" w:ascii="方正仿宋_GBK" w:hAnsi="方正仿宋_GBK" w:eastAsia="方正仿宋_GBK" w:cs="方正仿宋_GBK"/>
          <w:sz w:val="32"/>
          <w:szCs w:val="32"/>
          <w:lang w:val="en-US" w:eastAsia="zh-CN"/>
        </w:rPr>
      </w:pPr>
    </w:p>
    <w:p>
      <w:pPr>
        <w:pStyle w:val="2"/>
        <w:ind w:left="0" w:leftChars="0" w:firstLine="0" w:firstLineChars="0"/>
        <w:rPr>
          <w:rFonts w:hint="default"/>
          <w:lang w:val="en-US" w:eastAsia="zh-CN"/>
        </w:rPr>
      </w:pPr>
    </w:p>
    <w:p>
      <w:pPr>
        <w:rPr>
          <w:rFonts w:hint="default"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spacing w:line="600" w:lineRule="exact"/>
        <w:ind w:firstLine="280" w:firstLineChars="100"/>
        <w:rPr>
          <w:rFonts w:hint="default"/>
          <w:lang w:val="en-US" w:eastAsia="zh-CN"/>
        </w:rPr>
      </w:pPr>
      <w:r>
        <w:rPr>
          <w:rFonts w:hint="eastAsia" w:ascii="方正仿宋_GBK" w:hAnsi="方正仿宋_GBK" w:eastAsia="方正仿宋_GBK" w:cs="方正仿宋_GBK"/>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-5715</wp:posOffset>
                </wp:positionH>
                <wp:positionV relativeFrom="paragraph">
                  <wp:posOffset>408940</wp:posOffset>
                </wp:positionV>
                <wp:extent cx="5866130" cy="10795"/>
                <wp:effectExtent l="0" t="4445" r="1270" b="13335"/>
                <wp:wrapNone/>
                <wp:docPr id="1" name="直接箭头连接符 1"/>
                <wp:cNvGraphicFramePr/>
                <a:graphic xmlns:a="http://schemas.openxmlformats.org/drawingml/2006/main">
                  <a:graphicData uri="http://schemas.microsoft.com/office/word/2010/wordprocessingShape">
                    <wps:wsp>
                      <wps:cNvCnPr/>
                      <wps:spPr>
                        <a:xfrm>
                          <a:off x="0" y="0"/>
                          <a:ext cx="5866130" cy="1079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0.45pt;margin-top:32.2pt;height:0.85pt;width:461.9pt;z-index:251661312;mso-width-relative:page;mso-height-relative:page;" filled="f" stroked="t" coordsize="21600,21600" o:gfxdata="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i8uJNUAAAAHAQAADwAAAAAAAAABACAAAAAiAAAAZHJzL2Rv&#10;d25yZXYueG1sUEsBAhQAFAAAAAgAh07iQD1TmssEAgAA+gMAAA4AAAAAAAAAAQAgAAAAJAEAAGRy&#10;cy9lMm9Eb2MueG1sUEsFBgAAAAAGAAYAWQEAAJoFAAAAAA==&#10;">
                <v:fill on="f" focussize="0,0"/>
                <v:stroke color="#000000" joinstyle="round"/>
                <v:imagedata o:title=""/>
                <o:lock v:ext="edit" aspectratio="f"/>
              </v:shape>
            </w:pict>
          </mc:Fallback>
        </mc:AlternateContent>
      </w:r>
      <w:r>
        <w:rPr>
          <w:rFonts w:hint="eastAsia" w:ascii="方正仿宋_GBK" w:hAnsi="方正仿宋_GBK" w:eastAsia="方正仿宋_GBK" w:cs="方正仿宋_GBK"/>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62230</wp:posOffset>
                </wp:positionV>
                <wp:extent cx="58293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8293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6pt;margin-top:4.9pt;height:0pt;width:459pt;z-index:251660288;mso-width-relative:page;mso-height-relative:page;" filled="f" stroked="t" coordsize="21600,21600" o:gfxdata="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K3x/9AAAAAFAQAADwAAAAAAAAABACAAAAAiAAAAZHJzL2Rvd25yZXYueG1sUEsBAhQA&#10;FAAAAAgAh07iQD4qGE76AQAA8gMAAA4AAAAAAAAAAQAgAAAAHwEAAGRycy9lMm9Eb2MueG1sUEsF&#10;BgAAAAAGAAYAWQEAAIsFAAAAAA==&#10;">
                <v:fill on="f" focussize="0,0"/>
                <v:stroke color="#000000" joinstyle="round"/>
                <v:imagedata o:title=""/>
                <o:lock v:ext="edit" aspectratio="f"/>
              </v:line>
            </w:pict>
          </mc:Fallback>
        </mc:AlternateContent>
      </w:r>
      <w:r>
        <w:rPr>
          <w:rFonts w:hint="eastAsia" w:ascii="方正仿宋_GBK" w:hAnsi="方正仿宋_GBK" w:eastAsia="方正仿宋_GBK" w:cs="方正仿宋_GBK"/>
          <w:sz w:val="28"/>
          <w:szCs w:val="28"/>
          <w:highlight w:val="none"/>
          <w:lang w:eastAsia="zh-CN"/>
        </w:rPr>
        <w:t>重庆市</w:t>
      </w:r>
      <w:r>
        <w:rPr>
          <w:rFonts w:hint="eastAsia" w:ascii="方正仿宋_GBK" w:hAnsi="方正仿宋_GBK" w:eastAsia="方正仿宋_GBK" w:cs="方正仿宋_GBK"/>
          <w:sz w:val="28"/>
          <w:szCs w:val="28"/>
          <w:highlight w:val="none"/>
        </w:rPr>
        <w:t xml:space="preserve">渝中区发展和改革委员会办公室   </w:t>
      </w:r>
      <w:r>
        <w:rPr>
          <w:rFonts w:hint="eastAsia" w:ascii="方正仿宋_GBK" w:hAnsi="方正仿宋_GBK" w:eastAsia="方正仿宋_GBK" w:cs="方正仿宋_GBK"/>
          <w:sz w:val="28"/>
          <w:szCs w:val="28"/>
          <w:highlight w:val="none"/>
          <w:lang w:val="en-US" w:eastAsia="zh-CN"/>
        </w:rPr>
        <w:t xml:space="preserve"> </w:t>
      </w:r>
      <w:r>
        <w:rPr>
          <w:rFonts w:hint="eastAsia" w:ascii="方正仿宋_GBK" w:hAnsi="方正仿宋_GBK" w:eastAsia="方正仿宋_GBK" w:cs="方正仿宋_GBK"/>
          <w:sz w:val="28"/>
          <w:szCs w:val="28"/>
          <w:highlight w:val="none"/>
        </w:rPr>
        <w:t xml:space="preserve"> </w:t>
      </w:r>
      <w:r>
        <w:rPr>
          <w:rFonts w:hint="default" w:ascii="Times New Roman" w:hAnsi="Times New Roman" w:eastAsia="方正仿宋_GBK" w:cs="Times New Roman"/>
          <w:sz w:val="28"/>
          <w:szCs w:val="28"/>
          <w:highlight w:val="none"/>
        </w:rPr>
        <w:t xml:space="preserve">   20</w:t>
      </w:r>
      <w:r>
        <w:rPr>
          <w:rFonts w:hint="default" w:ascii="Times New Roman" w:hAnsi="Times New Roman" w:eastAsia="方正仿宋_GBK" w:cs="Times New Roman"/>
          <w:sz w:val="28"/>
          <w:szCs w:val="28"/>
          <w:highlight w:val="none"/>
          <w:lang w:val="en-US" w:eastAsia="zh-CN"/>
        </w:rPr>
        <w:t>26</w:t>
      </w:r>
      <w:r>
        <w:rPr>
          <w:rFonts w:hint="default" w:ascii="Times New Roman" w:hAnsi="Times New Roman" w:eastAsia="方正仿宋_GBK" w:cs="Times New Roman"/>
          <w:sz w:val="28"/>
          <w:szCs w:val="28"/>
          <w:highlight w:val="none"/>
        </w:rPr>
        <w:t>年</w:t>
      </w:r>
      <w:r>
        <w:rPr>
          <w:rFonts w:hint="eastAsia" w:ascii="Times New Roman" w:hAnsi="Times New Roman" w:eastAsia="方正仿宋_GBK" w:cs="Times New Roman"/>
          <w:sz w:val="28"/>
          <w:szCs w:val="28"/>
          <w:highlight w:val="none"/>
          <w:lang w:val="en-US" w:eastAsia="zh-CN"/>
        </w:rPr>
        <w:t>4</w:t>
      </w:r>
      <w:r>
        <w:rPr>
          <w:rFonts w:hint="default" w:ascii="Times New Roman" w:hAnsi="Times New Roman" w:eastAsia="方正仿宋_GBK" w:cs="Times New Roman"/>
          <w:sz w:val="28"/>
          <w:szCs w:val="28"/>
          <w:highlight w:val="none"/>
        </w:rPr>
        <w:t>月</w:t>
      </w:r>
      <w:r>
        <w:rPr>
          <w:rFonts w:hint="eastAsia" w:ascii="Times New Roman" w:hAnsi="Times New Roman" w:eastAsia="方正仿宋_GBK" w:cs="Times New Roman"/>
          <w:sz w:val="28"/>
          <w:szCs w:val="28"/>
          <w:highlight w:val="none"/>
          <w:lang w:val="en-US" w:eastAsia="zh-CN"/>
        </w:rPr>
        <w:t>13</w:t>
      </w:r>
      <w:r>
        <w:rPr>
          <w:rFonts w:hint="default" w:ascii="Times New Roman" w:hAnsi="Times New Roman" w:eastAsia="方正仿宋_GBK" w:cs="Times New Roman"/>
          <w:sz w:val="28"/>
          <w:szCs w:val="28"/>
          <w:highlight w:val="none"/>
        </w:rPr>
        <w:t>日印发</w:t>
      </w:r>
    </w:p>
    <w:sectPr>
      <w:headerReference r:id="rId3" w:type="default"/>
      <w:footerReference r:id="rId4" w:type="default"/>
      <w:pgSz w:w="11906" w:h="16838"/>
      <w:pgMar w:top="2098" w:right="1474" w:bottom="1984" w:left="1587" w:header="851" w:footer="992"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粗雅宋_GBK">
    <w:altName w:val="Times New Roman"/>
    <w:panose1 w:val="00000000000000000000"/>
    <w:charset w:val="00"/>
    <w:family w:val="auto"/>
    <w:pitch w:val="default"/>
    <w:sig w:usb0="00000000" w:usb1="00000000" w:usb2="00000000" w:usb3="00000000" w:csb0="00040001" w:csb1="00000000"/>
  </w:font>
  <w:font w:name="Cambria">
    <w:panose1 w:val="02040503050406030204"/>
    <w:charset w:val="00"/>
    <w:family w:val="auto"/>
    <w:pitch w:val="default"/>
    <w:sig w:usb0="E00002FF" w:usb1="400004FF" w:usb2="00000000" w:usb3="00000000" w:csb0="2000019F" w:csb1="00000000"/>
  </w:font>
  <w:font w:name="方正黑体_GBK">
    <w:panose1 w:val="03000509000000000000"/>
    <w:charset w:val="86"/>
    <w:family w:val="auto"/>
    <w:pitch w:val="default"/>
    <w:sig w:usb0="00000001" w:usb1="080E0000" w:usb2="00000000" w:usb3="00000000" w:csb0="00040000" w:csb1="00000000"/>
    <w:embedRegular r:id="rId1" w:fontKey="{3040E9B8-AEB2-46E4-87C1-376D15AFF239}"/>
  </w:font>
  <w:font w:name="方正小标宋_GBK">
    <w:panose1 w:val="03000509000000000000"/>
    <w:charset w:val="86"/>
    <w:family w:val="auto"/>
    <w:pitch w:val="default"/>
    <w:sig w:usb0="00000001" w:usb1="080E0000" w:usb2="00000000" w:usb3="00000000" w:csb0="00040000" w:csb1="00000000"/>
    <w:embedRegular r:id="rId2" w:fontKey="{D0F04681-94E3-4BCA-93AE-34D55AFE1EC0}"/>
  </w:font>
  <w:font w:name="方正仿宋_GBK">
    <w:panose1 w:val="03000509000000000000"/>
    <w:charset w:val="86"/>
    <w:family w:val="auto"/>
    <w:pitch w:val="default"/>
    <w:sig w:usb0="00000001" w:usb1="080E0000" w:usb2="00000000" w:usb3="00000000" w:csb0="00040000" w:csb1="00000000"/>
    <w:embedRegular r:id="rId3" w:fontKey="{30034A7E-4664-4F2B-B2C8-A7B7B8BEF3F5}"/>
  </w:font>
  <w:font w:name="方正仿宋_GB2312">
    <w:altName w:val="仿宋"/>
    <w:panose1 w:val="02000000000000000000"/>
    <w:charset w:val="86"/>
    <w:family w:val="auto"/>
    <w:pitch w:val="default"/>
    <w:sig w:usb0="00000000" w:usb1="00000000" w:usb2="00000012" w:usb3="00000000" w:csb0="00040001" w:csb1="00000000"/>
    <w:embedRegular r:id="rId4" w:fontKey="{5745F2AF-EAAF-4752-9375-DC16AE1DE6A8}"/>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default" w:eastAsia="Times New Roman"/>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sz w:val="28"/>
                              <w:szCs w:val="28"/>
                              <w:lang w:eastAsia="zh-CN"/>
                            </w:rPr>
                          </w:pPr>
                          <w:r>
                            <w:rPr>
                              <w:rFonts w:hint="eastAsia"/>
                              <w:sz w:val="28"/>
                              <w:szCs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r>
                            <w:rPr>
                              <w:rFonts w:hint="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eastAsiaTheme="minorEastAsia"/>
                        <w:sz w:val="28"/>
                        <w:szCs w:val="28"/>
                        <w:lang w:eastAsia="zh-CN"/>
                      </w:rPr>
                    </w:pPr>
                    <w:r>
                      <w:rPr>
                        <w:rFonts w:hint="eastAsia"/>
                        <w:sz w:val="28"/>
                        <w:szCs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r>
                      <w:rPr>
                        <w:rFonts w:hint="eastAsia"/>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rPr>
        <w:rFonts w:hint="default" w:eastAsia="Times New Roman"/>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3ZjE4ZTM3YTIwZDA1YWZlY2EyMmE2MmZmM2VmYzAifQ=="/>
  </w:docVars>
  <w:rsids>
    <w:rsidRoot w:val="1B8422F8"/>
    <w:rsid w:val="002779F3"/>
    <w:rsid w:val="0A52477F"/>
    <w:rsid w:val="0AA63B93"/>
    <w:rsid w:val="0E1D05AB"/>
    <w:rsid w:val="0E443851"/>
    <w:rsid w:val="0F7B72A4"/>
    <w:rsid w:val="10D91587"/>
    <w:rsid w:val="110E6AAF"/>
    <w:rsid w:val="122E1304"/>
    <w:rsid w:val="168D433A"/>
    <w:rsid w:val="197D6A2E"/>
    <w:rsid w:val="19A62DCB"/>
    <w:rsid w:val="1A016E9D"/>
    <w:rsid w:val="1B8422F8"/>
    <w:rsid w:val="1D754F1D"/>
    <w:rsid w:val="1F343672"/>
    <w:rsid w:val="20391B6E"/>
    <w:rsid w:val="208643BB"/>
    <w:rsid w:val="215E2217"/>
    <w:rsid w:val="2580694A"/>
    <w:rsid w:val="268C7126"/>
    <w:rsid w:val="26E53821"/>
    <w:rsid w:val="27A737F3"/>
    <w:rsid w:val="27F549C7"/>
    <w:rsid w:val="281D0F12"/>
    <w:rsid w:val="2B657F54"/>
    <w:rsid w:val="2D2C086E"/>
    <w:rsid w:val="2DA670DD"/>
    <w:rsid w:val="2F521E14"/>
    <w:rsid w:val="318A0E4C"/>
    <w:rsid w:val="32803F4D"/>
    <w:rsid w:val="33DC47DE"/>
    <w:rsid w:val="34B6254D"/>
    <w:rsid w:val="362F36E3"/>
    <w:rsid w:val="36B36F82"/>
    <w:rsid w:val="36E558F1"/>
    <w:rsid w:val="3845774C"/>
    <w:rsid w:val="3A10210A"/>
    <w:rsid w:val="3B511CDA"/>
    <w:rsid w:val="3CB2674E"/>
    <w:rsid w:val="3CCF1033"/>
    <w:rsid w:val="3D012E69"/>
    <w:rsid w:val="3DDA1D27"/>
    <w:rsid w:val="3DE24785"/>
    <w:rsid w:val="3EBF2AA0"/>
    <w:rsid w:val="42673CDD"/>
    <w:rsid w:val="43377438"/>
    <w:rsid w:val="43B81BB5"/>
    <w:rsid w:val="4476661A"/>
    <w:rsid w:val="47EE1E8B"/>
    <w:rsid w:val="49EE00B9"/>
    <w:rsid w:val="4F696AF5"/>
    <w:rsid w:val="4FD32752"/>
    <w:rsid w:val="50AB5AA1"/>
    <w:rsid w:val="52E96E27"/>
    <w:rsid w:val="56502DBC"/>
    <w:rsid w:val="57826BEB"/>
    <w:rsid w:val="58B4443B"/>
    <w:rsid w:val="601E0B77"/>
    <w:rsid w:val="62145144"/>
    <w:rsid w:val="630F6C53"/>
    <w:rsid w:val="63EC1411"/>
    <w:rsid w:val="65BB7654"/>
    <w:rsid w:val="66A57672"/>
    <w:rsid w:val="67EBF10D"/>
    <w:rsid w:val="686C50A3"/>
    <w:rsid w:val="693036B7"/>
    <w:rsid w:val="6B3E69A4"/>
    <w:rsid w:val="6CE41E85"/>
    <w:rsid w:val="6D121883"/>
    <w:rsid w:val="6DE7558D"/>
    <w:rsid w:val="6E5622DC"/>
    <w:rsid w:val="6FECC7FD"/>
    <w:rsid w:val="70597ADE"/>
    <w:rsid w:val="707D75DF"/>
    <w:rsid w:val="70D44415"/>
    <w:rsid w:val="72670B6F"/>
    <w:rsid w:val="72D9088E"/>
    <w:rsid w:val="73FB0A60"/>
    <w:rsid w:val="7A437C84"/>
    <w:rsid w:val="7B787A4F"/>
    <w:rsid w:val="7DCE61C6"/>
    <w:rsid w:val="7E087093"/>
    <w:rsid w:val="7E1F50C6"/>
    <w:rsid w:val="7F437F1D"/>
    <w:rsid w:val="7F8B4099"/>
    <w:rsid w:val="FD68B59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99"/>
    <w:pPr>
      <w:keepNext/>
      <w:keepLines/>
      <w:spacing w:before="100" w:after="100"/>
      <w:outlineLvl w:val="0"/>
    </w:pPr>
    <w:rPr>
      <w:rFonts w:eastAsia="方正粗雅宋_GBK"/>
      <w:kern w:val="44"/>
      <w:sz w:val="44"/>
      <w:szCs w:val="44"/>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uiPriority w:val="0"/>
    <w:pPr>
      <w:ind w:firstLine="100" w:firstLineChars="100"/>
    </w:pPr>
  </w:style>
  <w:style w:type="paragraph" w:styleId="3">
    <w:name w:val="Body Text"/>
    <w:basedOn w:val="1"/>
    <w:next w:val="1"/>
    <w:unhideWhenUsed/>
    <w:qFormat/>
    <w:uiPriority w:val="99"/>
    <w:pPr>
      <w:spacing w:before="100" w:beforeAutospacing="1" w:after="120"/>
    </w:pPr>
    <w:rPr>
      <w:rFonts w:ascii="Times New Roman" w:hAnsi="Times New Roman" w:eastAsia="宋体" w:cs="Times New Roman"/>
      <w:szCs w:val="21"/>
    </w:rPr>
  </w:style>
  <w:style w:type="paragraph" w:styleId="4">
    <w:name w:val="toc 6"/>
    <w:basedOn w:val="1"/>
    <w:next w:val="1"/>
    <w:qFormat/>
    <w:uiPriority w:val="0"/>
    <w:pPr>
      <w:ind w:left="2100" w:leftChars="1000"/>
    </w:pPr>
  </w:style>
  <w:style w:type="paragraph" w:styleId="6">
    <w:name w:val="Date"/>
    <w:basedOn w:val="1"/>
    <w:next w:val="1"/>
    <w:qFormat/>
    <w:uiPriority w:val="0"/>
    <w:pPr>
      <w:ind w:left="100" w:leftChars="25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Title"/>
    <w:basedOn w:val="1"/>
    <w:next w:val="1"/>
    <w:qFormat/>
    <w:uiPriority w:val="0"/>
    <w:pPr>
      <w:spacing w:before="240" w:after="60"/>
      <w:jc w:val="center"/>
      <w:outlineLvl w:val="0"/>
    </w:pPr>
    <w:rPr>
      <w:rFonts w:ascii="Cambria" w:hAnsi="Cambria" w:eastAsia="宋体"/>
      <w:b/>
      <w:bC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uiPriority w:val="0"/>
  </w:style>
  <w:style w:type="character" w:customStyle="1" w:styleId="15">
    <w:name w:val="font91"/>
    <w:basedOn w:val="13"/>
    <w:qFormat/>
    <w:uiPriority w:val="0"/>
    <w:rPr>
      <w:rFonts w:hint="eastAsia" w:ascii="宋体" w:hAnsi="宋体" w:eastAsia="宋体" w:cs="宋体"/>
      <w:b/>
      <w:color w:val="000000"/>
      <w:sz w:val="20"/>
      <w:szCs w:val="20"/>
      <w:u w:val="none"/>
    </w:rPr>
  </w:style>
  <w:style w:type="character" w:customStyle="1" w:styleId="16">
    <w:name w:val="font21"/>
    <w:basedOn w:val="13"/>
    <w:qFormat/>
    <w:uiPriority w:val="0"/>
    <w:rPr>
      <w:rFonts w:hint="eastAsia" w:ascii="宋体" w:hAnsi="宋体" w:eastAsia="宋体" w:cs="宋体"/>
      <w:color w:val="000000"/>
      <w:sz w:val="20"/>
      <w:szCs w:val="20"/>
      <w:u w:val="none"/>
    </w:rPr>
  </w:style>
  <w:style w:type="character" w:customStyle="1" w:styleId="17">
    <w:name w:val="font31"/>
    <w:basedOn w:val="13"/>
    <w:qFormat/>
    <w:uiPriority w:val="0"/>
    <w:rPr>
      <w:rFonts w:hint="eastAsia" w:ascii="宋体" w:hAnsi="宋体" w:eastAsia="宋体" w:cs="宋体"/>
      <w:b/>
      <w:color w:val="000000"/>
      <w:sz w:val="20"/>
      <w:szCs w:val="20"/>
      <w:u w:val="none"/>
    </w:rPr>
  </w:style>
  <w:style w:type="character" w:customStyle="1" w:styleId="18">
    <w:name w:val="font81"/>
    <w:basedOn w:val="13"/>
    <w:qFormat/>
    <w:uiPriority w:val="0"/>
    <w:rPr>
      <w:rFonts w:hint="eastAsia" w:ascii="宋体" w:hAnsi="宋体" w:eastAsia="宋体" w:cs="宋体"/>
      <w:color w:val="000000"/>
      <w:sz w:val="20"/>
      <w:szCs w:val="20"/>
      <w:u w:val="none"/>
    </w:rPr>
  </w:style>
  <w:style w:type="character" w:customStyle="1" w:styleId="19">
    <w:name w:val="font41"/>
    <w:basedOn w:val="13"/>
    <w:qFormat/>
    <w:uiPriority w:val="0"/>
    <w:rPr>
      <w:rFonts w:hint="eastAsia" w:ascii="宋体" w:hAnsi="宋体" w:eastAsia="宋体" w:cs="宋体"/>
      <w:color w:val="000000"/>
      <w:sz w:val="12"/>
      <w:szCs w:val="12"/>
      <w:u w:val="none"/>
    </w:rPr>
  </w:style>
  <w:style w:type="character" w:customStyle="1" w:styleId="20">
    <w:name w:val="font61"/>
    <w:basedOn w:val="13"/>
    <w:qFormat/>
    <w:uiPriority w:val="0"/>
    <w:rPr>
      <w:rFonts w:hint="eastAsia" w:ascii="宋体" w:hAnsi="宋体" w:eastAsia="宋体" w:cs="宋体"/>
      <w:b/>
      <w:color w:val="000000"/>
      <w:sz w:val="20"/>
      <w:szCs w:val="20"/>
      <w:u w:val="none"/>
    </w:rPr>
  </w:style>
  <w:style w:type="character" w:customStyle="1" w:styleId="21">
    <w:name w:val="font101"/>
    <w:basedOn w:val="13"/>
    <w:qFormat/>
    <w:uiPriority w:val="0"/>
    <w:rPr>
      <w:rFonts w:hint="eastAsia" w:ascii="宋体" w:hAnsi="宋体" w:eastAsia="宋体" w:cs="宋体"/>
      <w:color w:val="000000"/>
      <w:sz w:val="20"/>
      <w:szCs w:val="20"/>
      <w:u w:val="none"/>
    </w:rPr>
  </w:style>
  <w:style w:type="character" w:customStyle="1" w:styleId="22">
    <w:name w:val="font71"/>
    <w:basedOn w:val="13"/>
    <w:qFormat/>
    <w:uiPriority w:val="0"/>
    <w:rPr>
      <w:rFonts w:hint="eastAsia" w:ascii="宋体" w:hAnsi="宋体" w:eastAsia="宋体" w:cs="宋体"/>
      <w:b/>
      <w:color w:val="000000"/>
      <w:sz w:val="20"/>
      <w:szCs w:val="20"/>
      <w:u w:val="none"/>
    </w:rPr>
  </w:style>
  <w:style w:type="character" w:customStyle="1" w:styleId="23">
    <w:name w:val="font51"/>
    <w:basedOn w:val="13"/>
    <w:qFormat/>
    <w:uiPriority w:val="0"/>
    <w:rPr>
      <w:rFonts w:hint="eastAsia" w:ascii="宋体" w:hAnsi="宋体" w:eastAsia="宋体" w:cs="宋体"/>
      <w:color w:val="000000"/>
      <w:sz w:val="20"/>
      <w:szCs w:val="20"/>
      <w:u w:val="none"/>
    </w:rPr>
  </w:style>
  <w:style w:type="character" w:customStyle="1" w:styleId="24">
    <w:name w:val="font01"/>
    <w:basedOn w:val="13"/>
    <w:qFormat/>
    <w:uiPriority w:val="0"/>
    <w:rPr>
      <w:rFonts w:hint="eastAsia" w:ascii="宋体" w:hAnsi="宋体" w:eastAsia="宋体" w:cs="宋体"/>
      <w:color w:val="000000"/>
      <w:sz w:val="12"/>
      <w:szCs w:val="12"/>
      <w:u w:val="none"/>
    </w:rPr>
  </w:style>
  <w:style w:type="paragraph" w:customStyle="1" w:styleId="25">
    <w:name w:val="È¡ÀÊ¡ÎÄ¡À¾"/>
    <w:basedOn w:val="1"/>
    <w:qFormat/>
    <w:uiPriority w:val="99"/>
    <w:pPr>
      <w:widowControl/>
      <w:overflowPunct w:val="0"/>
      <w:autoSpaceDE w:val="0"/>
      <w:autoSpaceDN w:val="0"/>
      <w:adjustRightInd w:val="0"/>
      <w:jc w:val="left"/>
      <w:textAlignment w:val="baseline"/>
    </w:pPr>
    <w:rPr>
      <w:rFonts w:ascii="Times New Roman" w:hAnsi="Times New Roman"/>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1044</Words>
  <Characters>1138</Characters>
  <Lines>0</Lines>
  <Paragraphs>0</Paragraphs>
  <TotalTime>8</TotalTime>
  <ScaleCrop>false</ScaleCrop>
  <LinksUpToDate>false</LinksUpToDate>
  <CharactersWithSpaces>1152</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2023-12-08T03:06:00Z</dcterms:created>
  <dc:creator>张彩虹</dc:creator>
  <cp:lastModifiedBy>jr</cp:lastModifiedBy>
  <cp:lastPrinted>2026-04-13T03:01:00Z</cp:lastPrinted>
  <dcterms:modified xsi:type="dcterms:W3CDTF">2026-04-14T01:51:02Z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85808B9C1FE34A21AD1C1EE9F21A9ECE_13</vt:lpwstr>
  </property>
  <property fmtid="{D5CDD505-2E9C-101B-9397-08002B2CF9AE}" pid="4" name="woSyncTypoMode" linkTarget="0">
    <vt:bool>true</vt:bool>
  </property>
  <property fmtid="{D5CDD505-2E9C-101B-9397-08002B2CF9AE}" pid="5" name="woTypoMode" linkTarget="0">
    <vt:lpwstr/>
  </property>
  <property fmtid="{D5CDD505-2E9C-101B-9397-08002B2CF9AE}" pid="6" name="KSOTemplateDocerSaveRecord">
    <vt:lpwstr>eyJoZGlkIjoiNmJjZmRlMzE4ZTg0YzEwODczZGFmYmU5MGY2YWVlMTMiLCJ1c2VySWQiOiI0ODgyNzAzODYifQ==</vt:lpwstr>
  </property>
</Properties>
</file>