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1" w:rightFromText="181" w:horzAnchor="margin" w:tblpXSpec="center" w:tblpYSpec="top"/>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90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sz w:val="32"/>
                <w:szCs w:val="32"/>
              </w:rPr>
            </w:pPr>
            <w:bookmarkStart w:id="0" w:name="zw1"/>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903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黑体_GBK"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3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黑体_GBK" w:cs="Times New Roman"/>
                <w:color w:val="00000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9038" w:type="dxa"/>
            <w:noWrap w:val="0"/>
            <w:vAlign w:val="center"/>
          </w:tcPr>
          <w:p>
            <w:pPr>
              <w:jc w:val="center"/>
              <w:rPr>
                <w:rFonts w:hint="default" w:ascii="Times New Roman" w:hAnsi="Times New Roman" w:eastAsia="方正小标宋_GBK" w:cs="Times New Roman"/>
                <w:b/>
                <w:color w:val="FF0000"/>
                <w:w w:val="60"/>
                <w:sz w:val="130"/>
                <w:szCs w:val="130"/>
                <w:lang w:eastAsia="zh-CN"/>
              </w:rPr>
            </w:pPr>
            <w:r>
              <w:rPr>
                <w:rFonts w:hint="default" w:ascii="Times New Roman" w:hAnsi="Times New Roman" w:eastAsia="方正小标宋_GBK" w:cs="Times New Roman"/>
                <w:b/>
                <w:color w:val="FF0000"/>
                <w:w w:val="48"/>
                <w:sz w:val="112"/>
                <w:szCs w:val="112"/>
              </w:rPr>
              <w:t>重庆市渝中区</w:t>
            </w:r>
            <w:r>
              <w:rPr>
                <w:rFonts w:hint="default" w:ascii="Times New Roman" w:hAnsi="Times New Roman" w:eastAsia="方正小标宋_GBK" w:cs="Times New Roman"/>
                <w:b/>
                <w:color w:val="FF0000"/>
                <w:w w:val="48"/>
                <w:sz w:val="112"/>
                <w:szCs w:val="112"/>
                <w:lang w:eastAsia="zh-CN"/>
              </w:rPr>
              <w:t>发展和改革</w:t>
            </w:r>
            <w:r>
              <w:rPr>
                <w:rFonts w:hint="default" w:ascii="Times New Roman" w:hAnsi="Times New Roman" w:eastAsia="方正小标宋_GBK" w:cs="Times New Roman"/>
                <w:b/>
                <w:color w:val="FF0000"/>
                <w:w w:val="48"/>
                <w:sz w:val="112"/>
                <w:szCs w:val="112"/>
              </w:rPr>
              <w:t>委员会</w:t>
            </w:r>
            <w:r>
              <w:rPr>
                <w:rFonts w:hint="default" w:ascii="Times New Roman" w:hAnsi="Times New Roman" w:eastAsia="方正小标宋_GBK" w:cs="Times New Roman"/>
                <w:b/>
                <w:color w:val="FF0000"/>
                <w:w w:val="48"/>
                <w:sz w:val="112"/>
                <w:szCs w:val="112"/>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038" w:type="dxa"/>
            <w:noWrap/>
            <w:vAlign w:val="bottom"/>
          </w:tcPr>
          <w:p>
            <w:pPr>
              <w:pStyle w:val="6"/>
              <w:keepNext w:val="0"/>
              <w:keepLines w:val="0"/>
              <w:pageBreakBefore w:val="0"/>
              <w:widowControl w:val="0"/>
              <w:kinsoku/>
              <w:wordWrap/>
              <w:overflowPunct/>
              <w:topLinePunct w:val="0"/>
              <w:autoSpaceDE/>
              <w:autoSpaceDN/>
              <w:bidi w:val="0"/>
              <w:adjustRightInd w:val="0"/>
              <w:snapToGrid/>
              <w:spacing w:line="800" w:lineRule="exact"/>
              <w:ind w:left="0" w:leftChars="0" w:firstLine="0" w:firstLineChars="0"/>
              <w:jc w:val="center"/>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渝中</w:t>
            </w:r>
            <w:r>
              <w:rPr>
                <w:rFonts w:hint="default" w:ascii="Times New Roman" w:hAnsi="Times New Roman" w:eastAsia="方正仿宋_GBK" w:cs="Times New Roman"/>
                <w:b w:val="0"/>
                <w:bCs w:val="0"/>
                <w:sz w:val="32"/>
                <w:szCs w:val="32"/>
                <w:lang w:eastAsia="zh-CN"/>
              </w:rPr>
              <w:t>发改</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61</w:t>
            </w:r>
            <w:r>
              <w:rPr>
                <w:rFonts w:hint="default" w:ascii="Times New Roman" w:hAnsi="Times New Roman" w:eastAsia="方正仿宋_GBK" w:cs="Times New Roman"/>
                <w:b w:val="0"/>
                <w:bCs w:val="0"/>
                <w:sz w:val="32"/>
                <w:szCs w:val="32"/>
              </w:rPr>
              <w:t>号</w:t>
            </w:r>
          </w:p>
          <w:p>
            <w:pPr>
              <w:spacing w:line="540" w:lineRule="exact"/>
              <w:rPr>
                <w:rFonts w:hint="default" w:ascii="Times New Roman" w:hAnsi="Times New Roman" w:cs="Times New Roman"/>
                <w:color w:val="FFFFFF"/>
                <w:sz w:val="52"/>
                <w:szCs w:val="5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6985</wp:posOffset>
                      </wp:positionV>
                      <wp:extent cx="5748655" cy="10160"/>
                      <wp:effectExtent l="0" t="13970" r="4445" b="33020"/>
                      <wp:wrapNone/>
                      <wp:docPr id="2" name="直接连接符 2"/>
                      <wp:cNvGraphicFramePr/>
                      <a:graphic xmlns:a="http://schemas.openxmlformats.org/drawingml/2006/main">
                        <a:graphicData uri="http://schemas.microsoft.com/office/word/2010/wordprocessingShape">
                          <wps:wsp>
                            <wps:cNvCnPr/>
                            <wps:spPr>
                              <a:xfrm>
                                <a:off x="0" y="0"/>
                                <a:ext cx="5748655" cy="101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15pt;margin-top:0.55pt;height:0.8pt;width:452.65pt;z-index:251659264;mso-width-relative:page;mso-height-relative:page;" filled="f" stroked="t" coordsize="21600,21600" o:gfxdata="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BTw21QAAAAYBAAAPAAAAAAAAAAEAIAAAACIAAABkcnMvZG93bnJl&#10;di54bWxQSwECFAAUAAAACACHTuJAOKZzAwACAAD3AwAADgAAAAAAAAABACAAAAAkAQAAZHJzL2Uy&#10;b0RvYy54bWxQSwUGAAAAAAYABgBZAQAAlgUAAAAA&#10;">
                      <v:fill on="f" focussize="0,0"/>
                      <v:stroke weight="2.25pt" color="#FF0000" joinstyle="round"/>
                      <v:imagedata o:title=""/>
                      <o:lock v:ext="edit" aspectratio="f"/>
                    </v:line>
                  </w:pict>
                </mc:Fallback>
              </mc:AlternateContent>
            </w:r>
            <w:r>
              <w:rPr>
                <w:rFonts w:hint="default" w:ascii="Times New Roman" w:hAnsi="Times New Roman" w:cs="Times New Roman"/>
                <w:color w:val="FFFFFF"/>
                <w:sz w:val="52"/>
                <w:szCs w:val="52"/>
              </w:rPr>
              <w:t xml:space="preserve">           </w:t>
            </w:r>
          </w:p>
        </w:tc>
      </w:tr>
    </w:tbl>
    <w:p>
      <w:pPr>
        <w:pStyle w:val="25"/>
        <w:keepNext w:val="0"/>
        <w:keepLines w:val="0"/>
        <w:pageBreakBefore w:val="0"/>
        <w:widowControl/>
        <w:kinsoku/>
        <w:wordWrap/>
        <w:overflowPunct w:val="0"/>
        <w:topLinePunct w:val="0"/>
        <w:autoSpaceDE w:val="0"/>
        <w:autoSpaceDN w:val="0"/>
        <w:bidi w:val="0"/>
        <w:adjustRightInd w:val="0"/>
        <w:snapToGrid/>
        <w:spacing w:line="600" w:lineRule="exact"/>
        <w:ind w:left="1260" w:leftChars="600"/>
        <w:jc w:val="both"/>
        <w:textAlignment w:val="baseline"/>
        <w:rPr>
          <w:rFonts w:hint="default"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重庆市</w:t>
      </w:r>
      <w:r>
        <w:rPr>
          <w:rFonts w:hint="default" w:ascii="方正小标宋_GBK" w:hAnsi="方正小标宋_GBK" w:eastAsia="方正小标宋_GBK" w:cs="方正小标宋_GBK"/>
          <w:b w:val="0"/>
          <w:bCs w:val="0"/>
          <w:sz w:val="44"/>
          <w:szCs w:val="44"/>
          <w:lang w:val="en-US" w:eastAsia="zh-CN"/>
        </w:rPr>
        <w:t>渝中</w:t>
      </w:r>
      <w:r>
        <w:rPr>
          <w:rFonts w:hint="default" w:ascii="方正小标宋_GBK" w:hAnsi="方正小标宋_GBK" w:eastAsia="方正小标宋_GBK" w:cs="方正小标宋_GBK"/>
          <w:b w:val="0"/>
          <w:bCs w:val="0"/>
          <w:sz w:val="44"/>
          <w:szCs w:val="44"/>
        </w:rPr>
        <w:t>区发展和改革委员会</w:t>
      </w:r>
    </w:p>
    <w:p>
      <w:pPr>
        <w:pStyle w:val="25"/>
        <w:keepNext w:val="0"/>
        <w:keepLines w:val="0"/>
        <w:pageBreakBefore w:val="0"/>
        <w:widowControl/>
        <w:kinsoku/>
        <w:wordWrap/>
        <w:overflowPunct w:val="0"/>
        <w:topLinePunct w:val="0"/>
        <w:autoSpaceDE w:val="0"/>
        <w:autoSpaceDN w:val="0"/>
        <w:bidi w:val="0"/>
        <w:adjustRightInd w:val="0"/>
        <w:snapToGrid/>
        <w:spacing w:line="600" w:lineRule="exact"/>
        <w:ind w:left="1260" w:leftChars="600"/>
        <w:jc w:val="both"/>
        <w:textAlignment w:val="baseline"/>
        <w:rPr>
          <w:rFonts w:hint="default" w:ascii="方正小标宋_GBK" w:hAnsi="方正小标宋_GBK" w:eastAsia="方正小标宋_GBK" w:cs="方正小标宋_GBK"/>
          <w:b w:val="0"/>
          <w:bCs w:val="0"/>
          <w:sz w:val="44"/>
          <w:szCs w:val="44"/>
          <w:lang w:eastAsia="zh-CN"/>
        </w:rPr>
      </w:pPr>
      <w:r>
        <w:rPr>
          <w:rFonts w:hint="default" w:ascii="方正小标宋_GBK" w:hAnsi="方正小标宋_GBK" w:eastAsia="方正小标宋_GBK" w:cs="方正小标宋_GBK"/>
          <w:b w:val="0"/>
          <w:bCs w:val="0"/>
          <w:spacing w:val="136"/>
          <w:sz w:val="44"/>
          <w:szCs w:val="44"/>
        </w:rPr>
        <w:t>重庆市</w:t>
      </w:r>
      <w:r>
        <w:rPr>
          <w:rFonts w:hint="default" w:ascii="方正小标宋_GBK" w:hAnsi="方正小标宋_GBK" w:eastAsia="方正小标宋_GBK" w:cs="方正小标宋_GBK"/>
          <w:b w:val="0"/>
          <w:bCs w:val="0"/>
          <w:spacing w:val="136"/>
          <w:sz w:val="44"/>
          <w:szCs w:val="44"/>
          <w:lang w:val="en-US" w:eastAsia="zh-CN"/>
        </w:rPr>
        <w:t>渝中</w:t>
      </w:r>
      <w:r>
        <w:rPr>
          <w:rFonts w:hint="default" w:ascii="方正小标宋_GBK" w:hAnsi="方正小标宋_GBK" w:eastAsia="方正小标宋_GBK" w:cs="方正小标宋_GBK"/>
          <w:b w:val="0"/>
          <w:bCs w:val="0"/>
          <w:spacing w:val="136"/>
          <w:sz w:val="44"/>
          <w:szCs w:val="44"/>
        </w:rPr>
        <w:t>区民政局</w:t>
      </w:r>
    </w:p>
    <w:p>
      <w:pPr>
        <w:pStyle w:val="25"/>
        <w:keepNext w:val="0"/>
        <w:keepLines w:val="0"/>
        <w:pageBreakBefore w:val="0"/>
        <w:widowControl/>
        <w:kinsoku/>
        <w:wordWrap/>
        <w:topLinePunct w:val="0"/>
        <w:bidi w:val="0"/>
        <w:snapToGrid/>
        <w:spacing w:line="600" w:lineRule="exact"/>
        <w:jc w:val="center"/>
        <w:rPr>
          <w:rFonts w:hint="eastAsia"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重庆市渝中区七星岗街道社区卫生服务</w:t>
      </w:r>
    </w:p>
    <w:p>
      <w:pPr>
        <w:pStyle w:val="25"/>
        <w:keepNext w:val="0"/>
        <w:keepLines w:val="0"/>
        <w:pageBreakBefore w:val="0"/>
        <w:widowControl/>
        <w:kinsoku/>
        <w:wordWrap/>
        <w:topLinePunct w:val="0"/>
        <w:bidi w:val="0"/>
        <w:snapToGrid/>
        <w:spacing w:line="600" w:lineRule="exact"/>
        <w:jc w:val="center"/>
        <w:rPr>
          <w:rFonts w:hint="default"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中心</w:t>
      </w:r>
      <w:r>
        <w:rPr>
          <w:rFonts w:hint="default" w:ascii="方正小标宋_GBK" w:hAnsi="方正小标宋_GBK" w:eastAsia="方正小标宋_GBK" w:cs="方正小标宋_GBK"/>
          <w:b w:val="0"/>
          <w:bCs w:val="0"/>
          <w:sz w:val="44"/>
          <w:szCs w:val="44"/>
        </w:rPr>
        <w:t>养老服务收费及有关事项的通知</w:t>
      </w:r>
    </w:p>
    <w:p>
      <w:pPr>
        <w:pStyle w:val="25"/>
        <w:keepNext w:val="0"/>
        <w:keepLines w:val="0"/>
        <w:pageBreakBefore w:val="0"/>
        <w:widowControl/>
        <w:kinsoku/>
        <w:wordWrap/>
        <w:topLinePunct w:val="0"/>
        <w:bidi w:val="0"/>
        <w:snapToGrid/>
        <w:spacing w:line="600" w:lineRule="exact"/>
        <w:jc w:val="center"/>
        <w:rPr>
          <w:rFonts w:hint="eastAsia" w:ascii="Times New Roman" w:hAnsi="Times New Roman" w:eastAsia="方正仿宋_GBK" w:cs="Times New Roman"/>
          <w:color w:val="auto"/>
          <w:kern w:val="2"/>
          <w:sz w:val="32"/>
          <w:szCs w:val="32"/>
          <w:lang w:val="en-US" w:eastAsia="zh-CN" w:bidi="ar-SA"/>
        </w:rPr>
      </w:pPr>
    </w:p>
    <w:p>
      <w:pPr>
        <w:pStyle w:val="25"/>
        <w:keepNext w:val="0"/>
        <w:keepLines w:val="0"/>
        <w:pageBreakBefore w:val="0"/>
        <w:widowControl/>
        <w:kinsoku/>
        <w:wordWrap/>
        <w:topLinePunct w:val="0"/>
        <w:bidi w:val="0"/>
        <w:snapToGrid/>
        <w:spacing w:line="600" w:lineRule="exact"/>
        <w:jc w:val="both"/>
        <w:rPr>
          <w:rFonts w:hint="eastAsia" w:ascii="Times New Roman" w:hAnsi="Times New Roman" w:eastAsia="方正仿宋_GBK" w:cs="Times New Roman"/>
          <w:color w:val="auto"/>
          <w:kern w:val="2"/>
          <w:sz w:val="32"/>
          <w:szCs w:val="32"/>
          <w:lang w:val="en-US" w:eastAsia="zh-CN" w:bidi="ar-SA"/>
        </w:rPr>
      </w:pPr>
      <w:bookmarkStart w:id="1" w:name="zs"/>
      <w:bookmarkEnd w:id="1"/>
      <w:r>
        <w:rPr>
          <w:rFonts w:hint="eastAsia" w:ascii="Times New Roman" w:hAnsi="Times New Roman" w:eastAsia="方正仿宋_GBK" w:cs="Times New Roman"/>
          <w:color w:val="auto"/>
          <w:kern w:val="2"/>
          <w:sz w:val="32"/>
          <w:szCs w:val="32"/>
          <w:lang w:val="en-US" w:eastAsia="zh-CN" w:bidi="ar-SA"/>
        </w:rPr>
        <w:t>重庆市渝中区七星岗街道社区卫生服务中心：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重庆市人民政府办公厅关于建立健全养老服务综合监管制度促进养老服务高质量发展的实施意见》（渝府办发〔2021〕66号）和《重庆市定价目录》（渝发改规范〔2021〕15号）的规定，经研究，现将重庆市渝中区七星岗街道社区卫生服务中心养老服务收费及有关事项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一、基本养老服务收费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一）基本养老服务收费包括床位费、护理费，实行政府指导价管理，按“新人新办法、老人老办法”原则执行。2026年5月1日前已入住的休养老人，在其养老服务合同有效期内，继续按照原合同约定的收费标准执行。5月1日（含当日）起，新签订养老服务合同的，基本养老服务收费按不高于本文件规定的最高限价标准执行。具体最高限价标准详见下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jc w:val="center"/>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重庆市渝中区七星岗街道社区卫生服务中心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jc w:val="center"/>
        <w:rPr>
          <w:rFonts w:hint="eastAsia" w:ascii="Times New Roman" w:hAnsi="Times New Roman" w:eastAsia="方正仿宋_GBK" w:cs="Times New Roman"/>
          <w:b/>
          <w:bCs/>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基本养老服务收费标准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right="0" w:firstLine="6720" w:firstLineChars="21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单位：元/月/人</w:t>
      </w:r>
    </w:p>
    <w:tbl>
      <w:tblPr>
        <w:tblStyle w:val="12"/>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center"/>
              <w:rPr>
                <w:rFonts w:hint="eastAsia" w:ascii="Times New Roman" w:hAnsi="Times New Roman" w:eastAsia="方正仿宋_GBK" w:cs="Times New Roman"/>
                <w:b/>
                <w:bCs/>
                <w:color w:val="auto"/>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房间类型</w:t>
            </w:r>
          </w:p>
        </w:tc>
        <w:tc>
          <w:tcPr>
            <w:tcW w:w="2265" w:type="dxa"/>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center"/>
              <w:rPr>
                <w:rFonts w:hint="eastAsia" w:ascii="Times New Roman" w:hAnsi="Times New Roman" w:eastAsia="方正仿宋_GBK" w:cs="Times New Roman"/>
                <w:b/>
                <w:bCs/>
                <w:color w:val="auto"/>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床位费</w:t>
            </w:r>
          </w:p>
        </w:tc>
        <w:tc>
          <w:tcPr>
            <w:tcW w:w="4677" w:type="dxa"/>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center"/>
              <w:rPr>
                <w:rFonts w:hint="eastAsia" w:ascii="Times New Roman" w:hAnsi="Times New Roman" w:eastAsia="方正仿宋_GBK" w:cs="Times New Roman"/>
                <w:b/>
                <w:bCs/>
                <w:color w:val="auto"/>
                <w:kern w:val="2"/>
                <w:sz w:val="32"/>
                <w:szCs w:val="32"/>
                <w:vertAlign w:val="baseline"/>
                <w:lang w:val="en-US" w:eastAsia="zh-CN" w:bidi="ar-SA"/>
              </w:rPr>
            </w:pPr>
            <w:r>
              <w:rPr>
                <w:rFonts w:hint="eastAsia" w:ascii="Times New Roman" w:hAnsi="Times New Roman" w:eastAsia="方正仿宋_GBK" w:cs="Times New Roman"/>
                <w:b/>
                <w:bCs/>
                <w:color w:val="auto"/>
                <w:kern w:val="2"/>
                <w:sz w:val="32"/>
                <w:szCs w:val="32"/>
                <w:lang w:val="en-US" w:eastAsia="zh-CN" w:bidi="ar-SA"/>
              </w:rPr>
              <w:t>护理费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265"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单人间</w:t>
            </w:r>
          </w:p>
        </w:tc>
        <w:tc>
          <w:tcPr>
            <w:tcW w:w="2265" w:type="dxa"/>
            <w:vAlign w:val="center"/>
          </w:tcPr>
          <w:p>
            <w:pPr>
              <w:keepNext w:val="0"/>
              <w:keepLines w:val="0"/>
              <w:pageBreakBefore w:val="0"/>
              <w:widowControl/>
              <w:suppressLineNumbers w:val="0"/>
              <w:kinsoku/>
              <w:wordWrap/>
              <w:topLinePunct w:val="0"/>
              <w:bidi w:val="0"/>
              <w:snapToGrid/>
              <w:spacing w:line="600" w:lineRule="exact"/>
              <w:jc w:val="center"/>
              <w:textAlignment w:val="center"/>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1900</w:t>
            </w:r>
          </w:p>
        </w:tc>
        <w:tc>
          <w:tcPr>
            <w:tcW w:w="4677" w:type="dxa"/>
            <w:vMerge w:val="restart"/>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介助（轻度失能）：1200</w:t>
            </w:r>
            <w:r>
              <w:rPr>
                <w:rFonts w:hint="eastAsia" w:ascii="Times New Roman" w:hAnsi="Times New Roman" w:eastAsia="方正仿宋_GBK" w:cs="Times New Roman"/>
                <w:color w:val="auto"/>
                <w:kern w:val="2"/>
                <w:sz w:val="32"/>
                <w:szCs w:val="32"/>
                <w:lang w:val="en-US" w:eastAsia="zh-CN" w:bidi="ar-SA"/>
              </w:rPr>
              <w:br w:type="textWrapping"/>
            </w:r>
            <w:r>
              <w:rPr>
                <w:rFonts w:hint="eastAsia" w:ascii="Times New Roman" w:hAnsi="Times New Roman" w:eastAsia="方正仿宋_GBK" w:cs="Times New Roman"/>
                <w:color w:val="auto"/>
                <w:kern w:val="2"/>
                <w:sz w:val="32"/>
                <w:szCs w:val="32"/>
                <w:lang w:val="en-US" w:eastAsia="zh-CN" w:bidi="ar-SA"/>
              </w:rPr>
              <w:t>介护一级（中度失能）：2500</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介护二级（重度失能）：3500</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介护三级（完全失能）：4500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265"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两</w:t>
            </w:r>
            <w:r>
              <w:rPr>
                <w:rFonts w:hint="default" w:ascii="Times New Roman" w:hAnsi="Times New Roman" w:eastAsia="方正仿宋_GBK" w:cs="Times New Roman"/>
                <w:color w:val="auto"/>
                <w:kern w:val="2"/>
                <w:sz w:val="32"/>
                <w:szCs w:val="32"/>
                <w:lang w:val="en-US" w:eastAsia="zh-CN" w:bidi="ar-SA"/>
              </w:rPr>
              <w:t>人间</w:t>
            </w:r>
          </w:p>
        </w:tc>
        <w:tc>
          <w:tcPr>
            <w:tcW w:w="2265" w:type="dxa"/>
            <w:vAlign w:val="center"/>
          </w:tcPr>
          <w:p>
            <w:pPr>
              <w:keepNext w:val="0"/>
              <w:keepLines w:val="0"/>
              <w:pageBreakBefore w:val="0"/>
              <w:widowControl/>
              <w:suppressLineNumbers w:val="0"/>
              <w:kinsoku/>
              <w:wordWrap/>
              <w:topLinePunct w:val="0"/>
              <w:bidi w:val="0"/>
              <w:snapToGrid/>
              <w:spacing w:line="600" w:lineRule="exact"/>
              <w:jc w:val="center"/>
              <w:textAlignment w:val="center"/>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1200</w:t>
            </w:r>
          </w:p>
        </w:tc>
        <w:tc>
          <w:tcPr>
            <w:tcW w:w="4677" w:type="dxa"/>
            <w:vMerge w:val="continue"/>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right"/>
              <w:rPr>
                <w:rFonts w:hint="eastAsia" w:ascii="Times New Roman" w:hAnsi="Times New Roman" w:eastAsia="方正仿宋_GBK" w:cs="Times New Roman"/>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bottom"/>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三人间</w:t>
            </w:r>
          </w:p>
        </w:tc>
        <w:tc>
          <w:tcPr>
            <w:tcW w:w="2265" w:type="dxa"/>
            <w:vAlign w:val="center"/>
          </w:tcPr>
          <w:p>
            <w:pPr>
              <w:keepNext w:val="0"/>
              <w:keepLines w:val="0"/>
              <w:pageBreakBefore w:val="0"/>
              <w:widowControl/>
              <w:suppressLineNumbers w:val="0"/>
              <w:kinsoku/>
              <w:wordWrap/>
              <w:topLinePunct w:val="0"/>
              <w:bidi w:val="0"/>
              <w:snapToGrid/>
              <w:spacing w:line="600" w:lineRule="exact"/>
              <w:jc w:val="center"/>
              <w:textAlignment w:val="center"/>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900</w:t>
            </w:r>
          </w:p>
        </w:tc>
        <w:tc>
          <w:tcPr>
            <w:tcW w:w="4677" w:type="dxa"/>
            <w:vMerge w:val="continue"/>
          </w:tcPr>
          <w:p>
            <w:pPr>
              <w:pStyle w:val="9"/>
              <w:keepNext w:val="0"/>
              <w:keepLines w:val="0"/>
              <w:pageBreakBefore w:val="0"/>
              <w:widowControl/>
              <w:suppressLineNumbers w:val="0"/>
              <w:kinsoku/>
              <w:wordWrap/>
              <w:topLinePunct w:val="0"/>
              <w:bidi w:val="0"/>
              <w:snapToGrid/>
              <w:spacing w:before="0" w:beforeAutospacing="0" w:after="0" w:afterAutospacing="0" w:line="600" w:lineRule="exact"/>
              <w:ind w:right="0"/>
              <w:jc w:val="right"/>
              <w:rPr>
                <w:rFonts w:hint="eastAsia" w:ascii="Times New Roman" w:hAnsi="Times New Roman" w:eastAsia="方正仿宋_GBK" w:cs="Times New Roman"/>
                <w:color w:val="auto"/>
                <w:kern w:val="2"/>
                <w:sz w:val="32"/>
                <w:szCs w:val="32"/>
                <w:lang w:val="en-US" w:eastAsia="zh-CN" w:bidi="ar-SA"/>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right="0" w:firstLine="640" w:firstLineChars="20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说明：1.以上为最高收费标准，可根据市场情况适当下浮。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4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2.休养老人能力等级与护理等级未能对应时，按实际护理等级确定的护理费价格执行。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（二）床位费、护理费原则上按月收取，特殊情况可以预收，预收期不得超过6个月。入</w:t>
      </w:r>
      <w:r>
        <w:rPr>
          <w:rFonts w:hint="eastAsia" w:ascii="Times New Roman" w:hAnsi="Times New Roman" w:eastAsia="方正仿宋_GB2312" w:cs="Times New Roman"/>
          <w:color w:val="auto"/>
          <w:kern w:val="2"/>
          <w:sz w:val="32"/>
          <w:szCs w:val="32"/>
          <w:lang w:val="en-US" w:eastAsia="zh-CN" w:bidi="ar-SA"/>
        </w:rPr>
        <w:t>院（中心）</w:t>
      </w:r>
      <w:r>
        <w:rPr>
          <w:rFonts w:hint="default" w:ascii="Times New Roman" w:hAnsi="Times New Roman" w:eastAsia="方正仿宋_GB2312" w:cs="Times New Roman"/>
          <w:color w:val="auto"/>
          <w:kern w:val="2"/>
          <w:sz w:val="32"/>
          <w:szCs w:val="32"/>
          <w:lang w:val="en-US" w:eastAsia="zh-CN" w:bidi="ar-SA"/>
        </w:rPr>
        <w:t>当月按实际入住天数计收。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（三）除床位费、护理费以外，不得另行收取其他基本养老服务费。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二、其他服务收费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（一）伙食费标准按照非营利原则由你院</w:t>
      </w:r>
      <w:r>
        <w:rPr>
          <w:rFonts w:hint="eastAsia" w:ascii="Times New Roman" w:hAnsi="Times New Roman" w:eastAsia="方正仿宋_GB2312" w:cs="Times New Roman"/>
          <w:color w:val="auto"/>
          <w:kern w:val="2"/>
          <w:sz w:val="32"/>
          <w:szCs w:val="32"/>
          <w:lang w:val="en-US" w:eastAsia="zh-CN" w:bidi="ar-SA"/>
        </w:rPr>
        <w:t>（中心）</w:t>
      </w:r>
      <w:r>
        <w:rPr>
          <w:rFonts w:hint="default" w:ascii="Times New Roman" w:hAnsi="Times New Roman" w:eastAsia="方正仿宋_GB2312" w:cs="Times New Roman"/>
          <w:color w:val="auto"/>
          <w:kern w:val="2"/>
          <w:sz w:val="32"/>
          <w:szCs w:val="32"/>
          <w:lang w:val="en-US" w:eastAsia="zh-CN" w:bidi="ar-SA"/>
        </w:rPr>
        <w:t>自主确定，伙食费标准制定或调整前应向</w:t>
      </w:r>
      <w:r>
        <w:rPr>
          <w:rFonts w:hint="eastAsia" w:ascii="Times New Roman" w:hAnsi="Times New Roman" w:eastAsia="方正仿宋_GB2312" w:cs="Times New Roman"/>
          <w:color w:val="auto"/>
          <w:kern w:val="2"/>
          <w:sz w:val="32"/>
          <w:szCs w:val="32"/>
          <w:lang w:val="en-US" w:eastAsia="zh-CN" w:bidi="ar-SA"/>
        </w:rPr>
        <w:t>区</w:t>
      </w:r>
      <w:r>
        <w:rPr>
          <w:rFonts w:hint="default" w:ascii="Times New Roman" w:hAnsi="Times New Roman" w:eastAsia="方正仿宋_GB2312" w:cs="Times New Roman"/>
          <w:color w:val="auto"/>
          <w:kern w:val="2"/>
          <w:sz w:val="32"/>
          <w:szCs w:val="32"/>
          <w:lang w:val="en-US" w:eastAsia="zh-CN" w:bidi="ar-SA"/>
        </w:rPr>
        <w:t>民政局备案。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（二）基本养老服务以外的特约服务收费按照自愿、非强制的原则，由休养老人自主选择，具体收费项目和收费标准由你院</w:t>
      </w:r>
      <w:r>
        <w:rPr>
          <w:rFonts w:hint="eastAsia" w:ascii="Times New Roman" w:hAnsi="Times New Roman" w:eastAsia="方正仿宋_GB2312" w:cs="Times New Roman"/>
          <w:color w:val="auto"/>
          <w:kern w:val="2"/>
          <w:sz w:val="32"/>
          <w:szCs w:val="32"/>
          <w:lang w:val="en-US" w:eastAsia="zh-CN" w:bidi="ar-SA"/>
        </w:rPr>
        <w:t>（中心）</w:t>
      </w:r>
      <w:r>
        <w:rPr>
          <w:rFonts w:hint="default" w:ascii="Times New Roman" w:hAnsi="Times New Roman" w:eastAsia="方正仿宋_GB2312" w:cs="Times New Roman"/>
          <w:color w:val="auto"/>
          <w:kern w:val="2"/>
          <w:sz w:val="32"/>
          <w:szCs w:val="32"/>
          <w:lang w:val="en-US" w:eastAsia="zh-CN" w:bidi="ar-SA"/>
        </w:rPr>
        <w:t>自主确定。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（三）养老服务之外的医疗、康复等费用按规定的医疗服务收费项目和收费标准收取。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三、服务质量标准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jc w:val="both"/>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对休养老人按照《老年人能力评估规范》（GB/T 42195—2022）开展评估，根据评估报告结论确定相应的护理等级。自理、介助、介护的服务质量按照《养老机构自理老人服务规范》（DB50/T 1124—2021）、《养老机构介助老人服务规范》（DB50/T 1123—2021）、《养老机构老年人介护服务规范》（DB50/T 590—2015）三项重庆市地方标准执行。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四、明码标价规定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你院</w:t>
      </w:r>
      <w:r>
        <w:rPr>
          <w:rFonts w:hint="eastAsia" w:ascii="Times New Roman" w:hAnsi="Times New Roman" w:eastAsia="方正仿宋_GB2312" w:cs="Times New Roman"/>
          <w:color w:val="auto"/>
          <w:kern w:val="2"/>
          <w:sz w:val="32"/>
          <w:szCs w:val="32"/>
          <w:lang w:val="en-US" w:eastAsia="zh-CN" w:bidi="ar-SA"/>
        </w:rPr>
        <w:t>（中心）</w:t>
      </w:r>
      <w:r>
        <w:rPr>
          <w:rFonts w:hint="default" w:ascii="Times New Roman" w:hAnsi="Times New Roman" w:eastAsia="方正仿宋_GB2312" w:cs="Times New Roman"/>
          <w:color w:val="auto"/>
          <w:kern w:val="2"/>
          <w:sz w:val="32"/>
          <w:szCs w:val="32"/>
          <w:lang w:val="en-US" w:eastAsia="zh-CN" w:bidi="ar-SA"/>
        </w:rPr>
        <w:t>应按照明码标价的相关规定，在缴费处醒目位置公示收费项目、收费标准等信息，自觉接受发展改革、民政、审计、市场监管等部门以及社会的监督。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64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本通知自2026年</w:t>
      </w:r>
      <w:r>
        <w:rPr>
          <w:rFonts w:hint="eastAsia" w:ascii="Times New Roman" w:hAnsi="Times New Roman" w:eastAsia="方正仿宋_GB2312" w:cs="Times New Roman"/>
          <w:color w:val="auto"/>
          <w:kern w:val="2"/>
          <w:sz w:val="32"/>
          <w:szCs w:val="32"/>
          <w:lang w:val="en-US" w:eastAsia="zh-CN" w:bidi="ar-SA"/>
        </w:rPr>
        <w:t>5</w:t>
      </w:r>
      <w:r>
        <w:rPr>
          <w:rFonts w:hint="default" w:ascii="Times New Roman" w:hAnsi="Times New Roman" w:eastAsia="方正仿宋_GB2312" w:cs="Times New Roman"/>
          <w:color w:val="auto"/>
          <w:kern w:val="2"/>
          <w:sz w:val="32"/>
          <w:szCs w:val="32"/>
          <w:lang w:val="en-US" w:eastAsia="zh-CN" w:bidi="ar-SA"/>
        </w:rPr>
        <w:t>月1日起执行。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12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12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128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right="0"/>
        <w:jc w:val="both"/>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重庆市</w:t>
      </w:r>
      <w:r>
        <w:rPr>
          <w:rFonts w:hint="eastAsia" w:ascii="Times New Roman" w:hAnsi="Times New Roman" w:eastAsia="方正仿宋_GB2312" w:cs="Times New Roman"/>
          <w:color w:val="auto"/>
          <w:kern w:val="2"/>
          <w:sz w:val="32"/>
          <w:szCs w:val="32"/>
          <w:lang w:val="en-US" w:eastAsia="zh-CN" w:bidi="ar-SA"/>
        </w:rPr>
        <w:t>渝中区</w:t>
      </w:r>
      <w:r>
        <w:rPr>
          <w:rFonts w:hint="default" w:ascii="Times New Roman" w:hAnsi="Times New Roman" w:eastAsia="方正仿宋_GB2312" w:cs="Times New Roman"/>
          <w:color w:val="auto"/>
          <w:kern w:val="2"/>
          <w:sz w:val="32"/>
          <w:szCs w:val="32"/>
          <w:lang w:val="en-US" w:eastAsia="zh-CN" w:bidi="ar-SA"/>
        </w:rPr>
        <w:t>发展和改革委员会  </w:t>
      </w:r>
      <w:r>
        <w:rPr>
          <w:rFonts w:hint="eastAsia" w:ascii="Times New Roman" w:hAnsi="Times New Roman" w:eastAsia="方正仿宋_GB2312" w:cs="Times New Roman"/>
          <w:color w:val="auto"/>
          <w:kern w:val="2"/>
          <w:sz w:val="32"/>
          <w:szCs w:val="32"/>
          <w:lang w:val="en-US" w:eastAsia="zh-CN" w:bidi="ar-SA"/>
        </w:rPr>
        <w:t xml:space="preserve">    </w:t>
      </w:r>
      <w:r>
        <w:rPr>
          <w:rFonts w:hint="default" w:ascii="Times New Roman" w:hAnsi="Times New Roman" w:eastAsia="方正仿宋_GB2312" w:cs="Times New Roman"/>
          <w:color w:val="auto"/>
          <w:kern w:val="2"/>
          <w:sz w:val="32"/>
          <w:szCs w:val="32"/>
          <w:lang w:val="en-US" w:eastAsia="zh-CN" w:bidi="ar-SA"/>
        </w:rPr>
        <w:t>重庆市</w:t>
      </w:r>
      <w:r>
        <w:rPr>
          <w:rFonts w:hint="eastAsia" w:ascii="Times New Roman" w:hAnsi="Times New Roman" w:eastAsia="方正仿宋_GB2312" w:cs="Times New Roman"/>
          <w:color w:val="auto"/>
          <w:kern w:val="2"/>
          <w:sz w:val="32"/>
          <w:szCs w:val="32"/>
          <w:lang w:val="en-US" w:eastAsia="zh-CN" w:bidi="ar-SA"/>
        </w:rPr>
        <w:t>渝中区</w:t>
      </w:r>
      <w:r>
        <w:rPr>
          <w:rFonts w:hint="default" w:ascii="Times New Roman" w:hAnsi="Times New Roman" w:eastAsia="方正仿宋_GB2312" w:cs="Times New Roman"/>
          <w:color w:val="auto"/>
          <w:kern w:val="2"/>
          <w:sz w:val="32"/>
          <w:szCs w:val="32"/>
          <w:lang w:val="en-US" w:eastAsia="zh-CN" w:bidi="ar-SA"/>
        </w:rPr>
        <w:t>民政局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600" w:lineRule="exact"/>
        <w:ind w:left="0" w:right="0" w:firstLine="5280"/>
        <w:jc w:val="center"/>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2026年</w:t>
      </w:r>
      <w:r>
        <w:rPr>
          <w:rFonts w:hint="eastAsia" w:ascii="Times New Roman" w:hAnsi="Times New Roman" w:eastAsia="方正仿宋_GB2312" w:cs="Times New Roman"/>
          <w:color w:val="auto"/>
          <w:kern w:val="2"/>
          <w:sz w:val="32"/>
          <w:szCs w:val="32"/>
          <w:lang w:val="en-US" w:eastAsia="zh-CN" w:bidi="ar-SA"/>
        </w:rPr>
        <w:t>4</w:t>
      </w:r>
      <w:r>
        <w:rPr>
          <w:rFonts w:hint="default" w:ascii="Times New Roman" w:hAnsi="Times New Roman" w:eastAsia="方正仿宋_GB2312" w:cs="Times New Roman"/>
          <w:color w:val="auto"/>
          <w:kern w:val="2"/>
          <w:sz w:val="32"/>
          <w:szCs w:val="32"/>
          <w:lang w:val="en-US" w:eastAsia="zh-CN" w:bidi="ar-SA"/>
        </w:rPr>
        <w:t>月</w:t>
      </w:r>
      <w:r>
        <w:rPr>
          <w:rFonts w:hint="eastAsia" w:ascii="Times New Roman" w:hAnsi="Times New Roman" w:eastAsia="方正仿宋_GB2312" w:cs="Times New Roman"/>
          <w:color w:val="auto"/>
          <w:kern w:val="2"/>
          <w:sz w:val="32"/>
          <w:szCs w:val="32"/>
          <w:lang w:val="en-US" w:eastAsia="zh-CN" w:bidi="ar-SA"/>
        </w:rPr>
        <w:t>13</w:t>
      </w:r>
      <w:r>
        <w:rPr>
          <w:rFonts w:hint="default" w:ascii="Times New Roman" w:hAnsi="Times New Roman" w:eastAsia="方正仿宋_GB2312" w:cs="Times New Roman"/>
          <w:color w:val="auto"/>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bookmarkStart w:id="2" w:name="_GoBack"/>
      <w:bookmarkEnd w:id="2"/>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rPr>
          <w:rFonts w:hint="default" w:ascii="方正仿宋_GBK" w:hAnsi="方正仿宋_GBK" w:eastAsia="方正仿宋_GBK" w:cs="方正仿宋_GBK"/>
          <w:sz w:val="32"/>
          <w:szCs w:val="32"/>
          <w:lang w:val="en-US" w:eastAsia="zh-CN"/>
        </w:rPr>
      </w:pPr>
    </w:p>
    <w:p>
      <w:pPr>
        <w:pStyle w:val="10"/>
        <w:rPr>
          <w:rFonts w:hint="default" w:ascii="方正仿宋_GBK" w:hAnsi="方正仿宋_GBK" w:eastAsia="方正仿宋_GBK" w:cs="方正仿宋_GBK"/>
          <w:sz w:val="32"/>
          <w:szCs w:val="32"/>
          <w:lang w:val="en-US" w:eastAsia="zh-CN"/>
        </w:rPr>
      </w:pPr>
    </w:p>
    <w:p>
      <w:pPr>
        <w:pStyle w:val="2"/>
        <w:ind w:left="0" w:leftChars="0" w:firstLine="0" w:firstLineChars="0"/>
        <w:rPr>
          <w:rFonts w:hint="default"/>
          <w:lang w:val="en-US" w:eastAsia="zh-CN"/>
        </w:rPr>
      </w:pPr>
    </w:p>
    <w:p>
      <w:pPr>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280" w:firstLineChars="100"/>
        <w:rPr>
          <w:rFonts w:hint="default"/>
          <w:lang w:val="en-US" w:eastAsia="zh-CN"/>
        </w:rPr>
      </w:pP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408940</wp:posOffset>
                </wp:positionV>
                <wp:extent cx="5866130" cy="10795"/>
                <wp:effectExtent l="0" t="4445" r="1270" b="13335"/>
                <wp:wrapNone/>
                <wp:docPr id="1" name="直接箭头连接符 1"/>
                <wp:cNvGraphicFramePr/>
                <a:graphic xmlns:a="http://schemas.openxmlformats.org/drawingml/2006/main">
                  <a:graphicData uri="http://schemas.microsoft.com/office/word/2010/wordprocessingShape">
                    <wps:wsp>
                      <wps:cNvCnPr/>
                      <wps:spPr>
                        <a:xfrm>
                          <a:off x="0" y="0"/>
                          <a:ext cx="5866130" cy="1079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45pt;margin-top:32.2pt;height:0.85pt;width:461.9pt;z-index:251661312;mso-width-relative:page;mso-height-relative:page;" filled="f" stroked="t" coordsize="21600,21600" o:gfxdata="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8uJNUAAAAHAQAADwAAAAAAAAABACAAAAAiAAAAZHJzL2Rv&#10;d25yZXYueG1sUEsBAhQAFAAAAAgAh07iQD1TmssEAgAA+gMAAA4AAAAAAAAAAQAgAAAAJAEAAGRy&#10;cy9lMm9Eb2MueG1sUEsFBgAAAAAGAAYAWQEAAJoFAAAAAA==&#10;">
                <v:fill on="f" focussize="0,0"/>
                <v:stroke color="#000000" joinstyle="round"/>
                <v:imagedata o:title=""/>
                <o:lock v:ext="edit" aspectratio="f"/>
              </v:shape>
            </w:pict>
          </mc:Fallback>
        </mc:AlternateContent>
      </w:r>
      <w:r>
        <w:rPr>
          <w:rFonts w:hint="eastAsia" w:ascii="方正仿宋_GBK" w:hAnsi="方正仿宋_GBK" w:eastAsia="方正仿宋_GBK" w:cs="方正仿宋_GBK"/>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62230</wp:posOffset>
                </wp:positionV>
                <wp:extent cx="58293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4.9pt;height:0pt;width:459pt;z-index:251660288;mso-width-relative:page;mso-height-relative:page;" filled="f" stroked="t" coordsize="21600,21600" o:gfxdata="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3x/9AAAAAFAQAADwAAAAAAAAABACAAAAAiAAAAZHJzL2Rvd25yZXYueG1sUEsBAhQA&#10;FAAAAAgAh07iQD4qGE76AQAA8gMAAA4AAAAAAAAAAQAgAAAAHw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highlight w:val="none"/>
          <w:lang w:eastAsia="zh-CN"/>
        </w:rPr>
        <w:t>重庆市</w:t>
      </w:r>
      <w:r>
        <w:rPr>
          <w:rFonts w:hint="eastAsia" w:ascii="方正仿宋_GBK" w:hAnsi="方正仿宋_GBK" w:eastAsia="方正仿宋_GBK" w:cs="方正仿宋_GBK"/>
          <w:sz w:val="28"/>
          <w:szCs w:val="28"/>
          <w:highlight w:val="none"/>
        </w:rPr>
        <w:t xml:space="preserve">渝中区发展和改革委员会办公室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 xml:space="preserve"> </w:t>
      </w:r>
      <w:r>
        <w:rPr>
          <w:rFonts w:hint="default" w:ascii="Times New Roman" w:hAnsi="Times New Roman" w:eastAsia="方正仿宋_GBK" w:cs="Times New Roman"/>
          <w:sz w:val="28"/>
          <w:szCs w:val="28"/>
          <w:highlight w:val="none"/>
        </w:rPr>
        <w:t xml:space="preserve">   20</w:t>
      </w:r>
      <w:r>
        <w:rPr>
          <w:rFonts w:hint="default" w:ascii="Times New Roman" w:hAnsi="Times New Roman" w:eastAsia="方正仿宋_GBK" w:cs="Times New Roman"/>
          <w:sz w:val="28"/>
          <w:szCs w:val="28"/>
          <w:highlight w:val="none"/>
          <w:lang w:val="en-US" w:eastAsia="zh-CN"/>
        </w:rPr>
        <w:t>26</w:t>
      </w:r>
      <w:r>
        <w:rPr>
          <w:rFonts w:hint="default"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rPr>
        <w:t>月</w:t>
      </w:r>
      <w:r>
        <w:rPr>
          <w:rFonts w:hint="eastAsia" w:ascii="Times New Roman" w:hAnsi="Times New Roman" w:eastAsia="方正仿宋_GBK" w:cs="Times New Roman"/>
          <w:sz w:val="28"/>
          <w:szCs w:val="28"/>
          <w:highlight w:val="none"/>
          <w:lang w:val="en-US" w:eastAsia="zh-CN"/>
        </w:rPr>
        <w:t>13</w:t>
      </w:r>
      <w:r>
        <w:rPr>
          <w:rFonts w:hint="default" w:ascii="Times New Roman" w:hAnsi="Times New Roman" w:eastAsia="方正仿宋_GBK" w:cs="Times New Roman"/>
          <w:sz w:val="28"/>
          <w:szCs w:val="28"/>
          <w:highlight w:val="none"/>
        </w:rPr>
        <w:t>日印发</w:t>
      </w: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雅宋_GBK">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embedRegular r:id="rId1" w:fontKey="{C85EA56C-BD59-4AD1-BC7D-AF98F1355B29}"/>
  </w:font>
  <w:font w:name="方正小标宋_GBK">
    <w:panose1 w:val="03000509000000000000"/>
    <w:charset w:val="86"/>
    <w:family w:val="auto"/>
    <w:pitch w:val="default"/>
    <w:sig w:usb0="00000001" w:usb1="080E0000" w:usb2="00000000" w:usb3="00000000" w:csb0="00040000" w:csb1="00000000"/>
    <w:embedRegular r:id="rId2" w:fontKey="{AFD13324-CE98-4102-8DC8-5B624CF5891F}"/>
  </w:font>
  <w:font w:name="方正仿宋_GBK">
    <w:panose1 w:val="03000509000000000000"/>
    <w:charset w:val="86"/>
    <w:family w:val="auto"/>
    <w:pitch w:val="default"/>
    <w:sig w:usb0="00000001" w:usb1="080E0000" w:usb2="00000000" w:usb3="00000000" w:csb0="00040000" w:csb1="00000000"/>
    <w:embedRegular r:id="rId3" w:fontKey="{77E7B75D-0738-4749-BD2C-C711A54BF5D9}"/>
  </w:font>
  <w:font w:name="方正仿宋_GB2312">
    <w:altName w:val="仿宋"/>
    <w:panose1 w:val="02000000000000000000"/>
    <w:charset w:val="86"/>
    <w:family w:val="auto"/>
    <w:pitch w:val="default"/>
    <w:sig w:usb0="00000000" w:usb1="00000000" w:usb2="00000012" w:usb3="00000000" w:csb0="00040001" w:csb1="00000000"/>
    <w:embedRegular r:id="rId4" w:fontKey="{3CDBBBC8-D9B4-46EF-A950-11E7A57034B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ZjE4ZTM3YTIwZDA1YWZlY2EyMmE2MmZmM2VmYzAifQ=="/>
  </w:docVars>
  <w:rsids>
    <w:rsidRoot w:val="1B8422F8"/>
    <w:rsid w:val="002779F3"/>
    <w:rsid w:val="0A52477F"/>
    <w:rsid w:val="0AA63B93"/>
    <w:rsid w:val="0E1D05AB"/>
    <w:rsid w:val="0E443851"/>
    <w:rsid w:val="0F7B72A4"/>
    <w:rsid w:val="10D91587"/>
    <w:rsid w:val="110E6AAF"/>
    <w:rsid w:val="122E1304"/>
    <w:rsid w:val="168D433A"/>
    <w:rsid w:val="197D6A2E"/>
    <w:rsid w:val="19A62DCB"/>
    <w:rsid w:val="1A016E9D"/>
    <w:rsid w:val="1B8422F8"/>
    <w:rsid w:val="1D754F1D"/>
    <w:rsid w:val="1F343672"/>
    <w:rsid w:val="20391B6E"/>
    <w:rsid w:val="208643BB"/>
    <w:rsid w:val="215E2217"/>
    <w:rsid w:val="21CC49CF"/>
    <w:rsid w:val="2580694A"/>
    <w:rsid w:val="268C7126"/>
    <w:rsid w:val="26E53821"/>
    <w:rsid w:val="27A737F3"/>
    <w:rsid w:val="27F549C7"/>
    <w:rsid w:val="281D0F12"/>
    <w:rsid w:val="2B657F54"/>
    <w:rsid w:val="2D2C086E"/>
    <w:rsid w:val="2DA670DD"/>
    <w:rsid w:val="2F521E14"/>
    <w:rsid w:val="318A0E4C"/>
    <w:rsid w:val="32803F4D"/>
    <w:rsid w:val="33DC47DE"/>
    <w:rsid w:val="34B6254D"/>
    <w:rsid w:val="362F36E3"/>
    <w:rsid w:val="36B36F82"/>
    <w:rsid w:val="36E558F1"/>
    <w:rsid w:val="3845774C"/>
    <w:rsid w:val="3A10210A"/>
    <w:rsid w:val="3B511CDA"/>
    <w:rsid w:val="3CB2674E"/>
    <w:rsid w:val="3CCF1033"/>
    <w:rsid w:val="3D012E69"/>
    <w:rsid w:val="3DDA1D27"/>
    <w:rsid w:val="3DE24785"/>
    <w:rsid w:val="3EBF2AA0"/>
    <w:rsid w:val="42673CDD"/>
    <w:rsid w:val="43B81BB5"/>
    <w:rsid w:val="4476661A"/>
    <w:rsid w:val="47EE1E8B"/>
    <w:rsid w:val="49EE00B9"/>
    <w:rsid w:val="4F696AF5"/>
    <w:rsid w:val="4FD32752"/>
    <w:rsid w:val="50AB5AA1"/>
    <w:rsid w:val="52E96E27"/>
    <w:rsid w:val="56502DBC"/>
    <w:rsid w:val="57826BEB"/>
    <w:rsid w:val="58B4443B"/>
    <w:rsid w:val="601E0B77"/>
    <w:rsid w:val="62145144"/>
    <w:rsid w:val="630F6C53"/>
    <w:rsid w:val="63EC1411"/>
    <w:rsid w:val="65BB7654"/>
    <w:rsid w:val="66A57672"/>
    <w:rsid w:val="67EBF10D"/>
    <w:rsid w:val="686C50A3"/>
    <w:rsid w:val="693036B7"/>
    <w:rsid w:val="6B3E69A4"/>
    <w:rsid w:val="6CE41E85"/>
    <w:rsid w:val="6D121883"/>
    <w:rsid w:val="6DE7558D"/>
    <w:rsid w:val="6E5622DC"/>
    <w:rsid w:val="6FECC7FD"/>
    <w:rsid w:val="70597ADE"/>
    <w:rsid w:val="707D75DF"/>
    <w:rsid w:val="70D44415"/>
    <w:rsid w:val="72670B6F"/>
    <w:rsid w:val="72D9088E"/>
    <w:rsid w:val="73FB0A60"/>
    <w:rsid w:val="7A437C84"/>
    <w:rsid w:val="7B787A4F"/>
    <w:rsid w:val="7DCE61C6"/>
    <w:rsid w:val="7E087093"/>
    <w:rsid w:val="7E1F50C6"/>
    <w:rsid w:val="7F437F1D"/>
    <w:rsid w:val="7F8B4099"/>
    <w:rsid w:val="FD68B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9"/>
    <w:pPr>
      <w:keepNext/>
      <w:keepLines/>
      <w:spacing w:before="100" w:after="100"/>
      <w:outlineLvl w:val="0"/>
    </w:pPr>
    <w:rPr>
      <w:rFonts w:eastAsia="方正粗雅宋_GBK"/>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style>
  <w:style w:type="paragraph" w:styleId="3">
    <w:name w:val="Body Text"/>
    <w:basedOn w:val="1"/>
    <w:next w:val="1"/>
    <w:unhideWhenUsed/>
    <w:qFormat/>
    <w:uiPriority w:val="99"/>
    <w:pPr>
      <w:spacing w:before="100" w:beforeAutospacing="1" w:after="120"/>
    </w:pPr>
    <w:rPr>
      <w:rFonts w:ascii="Times New Roman" w:hAnsi="Times New Roman" w:eastAsia="宋体" w:cs="Times New Roman"/>
      <w:szCs w:val="21"/>
    </w:rPr>
  </w:style>
  <w:style w:type="paragraph" w:styleId="4">
    <w:name w:val="toc 6"/>
    <w:basedOn w:val="1"/>
    <w:next w:val="1"/>
    <w:qFormat/>
    <w:uiPriority w:val="0"/>
    <w:pPr>
      <w:ind w:left="2100" w:leftChars="100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eastAsia="宋体"/>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font91"/>
    <w:basedOn w:val="13"/>
    <w:qFormat/>
    <w:uiPriority w:val="0"/>
    <w:rPr>
      <w:rFonts w:hint="eastAsia" w:ascii="宋体" w:hAnsi="宋体" w:eastAsia="宋体" w:cs="宋体"/>
      <w:b/>
      <w:color w:val="000000"/>
      <w:sz w:val="20"/>
      <w:szCs w:val="20"/>
      <w:u w:val="none"/>
    </w:rPr>
  </w:style>
  <w:style w:type="character" w:customStyle="1" w:styleId="16">
    <w:name w:val="font21"/>
    <w:basedOn w:val="13"/>
    <w:qFormat/>
    <w:uiPriority w:val="0"/>
    <w:rPr>
      <w:rFonts w:hint="eastAsia" w:ascii="宋体" w:hAnsi="宋体" w:eastAsia="宋体" w:cs="宋体"/>
      <w:color w:val="000000"/>
      <w:sz w:val="20"/>
      <w:szCs w:val="20"/>
      <w:u w:val="none"/>
    </w:rPr>
  </w:style>
  <w:style w:type="character" w:customStyle="1" w:styleId="17">
    <w:name w:val="font31"/>
    <w:basedOn w:val="13"/>
    <w:qFormat/>
    <w:uiPriority w:val="0"/>
    <w:rPr>
      <w:rFonts w:hint="eastAsia" w:ascii="宋体" w:hAnsi="宋体" w:eastAsia="宋体" w:cs="宋体"/>
      <w:b/>
      <w:color w:val="000000"/>
      <w:sz w:val="20"/>
      <w:szCs w:val="20"/>
      <w:u w:val="none"/>
    </w:rPr>
  </w:style>
  <w:style w:type="character" w:customStyle="1" w:styleId="18">
    <w:name w:val="font81"/>
    <w:basedOn w:val="13"/>
    <w:qFormat/>
    <w:uiPriority w:val="0"/>
    <w:rPr>
      <w:rFonts w:hint="eastAsia" w:ascii="宋体" w:hAnsi="宋体" w:eastAsia="宋体" w:cs="宋体"/>
      <w:color w:val="000000"/>
      <w:sz w:val="20"/>
      <w:szCs w:val="20"/>
      <w:u w:val="none"/>
    </w:rPr>
  </w:style>
  <w:style w:type="character" w:customStyle="1" w:styleId="19">
    <w:name w:val="font41"/>
    <w:basedOn w:val="13"/>
    <w:qFormat/>
    <w:uiPriority w:val="0"/>
    <w:rPr>
      <w:rFonts w:hint="eastAsia" w:ascii="宋体" w:hAnsi="宋体" w:eastAsia="宋体" w:cs="宋体"/>
      <w:color w:val="000000"/>
      <w:sz w:val="12"/>
      <w:szCs w:val="12"/>
      <w:u w:val="none"/>
    </w:rPr>
  </w:style>
  <w:style w:type="character" w:customStyle="1" w:styleId="20">
    <w:name w:val="font61"/>
    <w:basedOn w:val="13"/>
    <w:qFormat/>
    <w:uiPriority w:val="0"/>
    <w:rPr>
      <w:rFonts w:hint="eastAsia" w:ascii="宋体" w:hAnsi="宋体" w:eastAsia="宋体" w:cs="宋体"/>
      <w:b/>
      <w:color w:val="000000"/>
      <w:sz w:val="20"/>
      <w:szCs w:val="20"/>
      <w:u w:val="none"/>
    </w:rPr>
  </w:style>
  <w:style w:type="character" w:customStyle="1" w:styleId="21">
    <w:name w:val="font101"/>
    <w:basedOn w:val="13"/>
    <w:qFormat/>
    <w:uiPriority w:val="0"/>
    <w:rPr>
      <w:rFonts w:hint="eastAsia" w:ascii="宋体" w:hAnsi="宋体" w:eastAsia="宋体" w:cs="宋体"/>
      <w:color w:val="000000"/>
      <w:sz w:val="20"/>
      <w:szCs w:val="20"/>
      <w:u w:val="none"/>
    </w:rPr>
  </w:style>
  <w:style w:type="character" w:customStyle="1" w:styleId="22">
    <w:name w:val="font71"/>
    <w:basedOn w:val="13"/>
    <w:qFormat/>
    <w:uiPriority w:val="0"/>
    <w:rPr>
      <w:rFonts w:hint="eastAsia" w:ascii="宋体" w:hAnsi="宋体" w:eastAsia="宋体" w:cs="宋体"/>
      <w:b/>
      <w:color w:val="000000"/>
      <w:sz w:val="20"/>
      <w:szCs w:val="20"/>
      <w:u w:val="none"/>
    </w:rPr>
  </w:style>
  <w:style w:type="character" w:customStyle="1" w:styleId="23">
    <w:name w:val="font51"/>
    <w:basedOn w:val="13"/>
    <w:qFormat/>
    <w:uiPriority w:val="0"/>
    <w:rPr>
      <w:rFonts w:hint="eastAsia" w:ascii="宋体" w:hAnsi="宋体" w:eastAsia="宋体" w:cs="宋体"/>
      <w:color w:val="000000"/>
      <w:sz w:val="20"/>
      <w:szCs w:val="20"/>
      <w:u w:val="none"/>
    </w:rPr>
  </w:style>
  <w:style w:type="character" w:customStyle="1" w:styleId="24">
    <w:name w:val="font01"/>
    <w:basedOn w:val="13"/>
    <w:qFormat/>
    <w:uiPriority w:val="0"/>
    <w:rPr>
      <w:rFonts w:hint="eastAsia" w:ascii="宋体" w:hAnsi="宋体" w:eastAsia="宋体" w:cs="宋体"/>
      <w:color w:val="000000"/>
      <w:sz w:val="12"/>
      <w:szCs w:val="12"/>
      <w:u w:val="none"/>
    </w:rPr>
  </w:style>
  <w:style w:type="paragraph" w:customStyle="1" w:styleId="25">
    <w:name w:val="È¡ÀÊ¡ÎÄ¡À¾"/>
    <w:basedOn w:val="1"/>
    <w:qFormat/>
    <w:uiPriority w:val="99"/>
    <w:pPr>
      <w:widowControl/>
      <w:overflowPunct w:val="0"/>
      <w:autoSpaceDE w:val="0"/>
      <w:autoSpaceDN w:val="0"/>
      <w:adjustRightInd w:val="0"/>
      <w:jc w:val="left"/>
      <w:textAlignment w:val="baseline"/>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1044</Words>
  <Characters>1138</Characters>
  <Lines>0</Lines>
  <Paragraphs>0</Paragraphs>
  <TotalTime>0</TotalTime>
  <ScaleCrop>false</ScaleCrop>
  <LinksUpToDate>false</LinksUpToDate>
  <CharactersWithSpaces>1152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2023-12-08T03:06:00Z</dcterms:created>
  <dc:creator>张彩虹</dc:creator>
  <cp:lastModifiedBy>jr</cp:lastModifiedBy>
  <cp:lastPrinted>2026-04-13T03:01:00Z</cp:lastPrinted>
  <dcterms:modified xsi:type="dcterms:W3CDTF">2026-04-29T09:56:40Z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85808B9C1FE34A21AD1C1EE9F21A9ECE_13</vt:lpwstr>
  </property>
  <property fmtid="{D5CDD505-2E9C-101B-9397-08002B2CF9AE}" pid="4" name="woSyncTypoMode" linkTarget="0">
    <vt:bool>true</vt:bool>
  </property>
  <property fmtid="{D5CDD505-2E9C-101B-9397-08002B2CF9AE}" pid="5" name="woTypoMode" linkTarget="0">
    <vt:lpwstr/>
  </property>
  <property fmtid="{D5CDD505-2E9C-101B-9397-08002B2CF9AE}" pid="6" name="KSOTemplateDocerSaveRecord">
    <vt:lpwstr>eyJoZGlkIjoiNmJjZmRlMzE4ZTg0YzEwODczZGFmYmU5MGY2YWVlMTMiLCJ1c2VySWQiOiI0ODgyNzAzODYifQ==</vt:lpwstr>
  </property>
</Properties>
</file>