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uNDJ1gAAAAsBAAAPAAAAAAAAAAEAIAAAACIAAABkcnMvZG93&#10;bnJldi54bWxQSwECFAAUAAAACACHTuJAvmQXjDsCAABLBAAADgAAAAAAAAABACAAAAAlAQAAZHJz&#10;L2Uyb0RvYy54bWxQSwUGAAAAAAYABgBZAQAA0gU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小标宋_GBK" w:cs="Times New Roman"/>
          <w:sz w:val="44"/>
          <w:szCs w:val="44"/>
        </w:rPr>
        <w:t>重庆市渝中区发展和改革委员会</w:t>
      </w:r>
    </w:p>
    <w:p>
      <w:pPr>
        <w:spacing w:line="594" w:lineRule="exact"/>
        <w:jc w:val="center"/>
        <w:rPr>
          <w:rFonts w:hint="default" w:ascii="Times New Roman" w:hAnsi="Times New Roman" w:eastAsia="方正小标宋_GBK" w:cs="Times New Roman"/>
          <w:w w:val="155"/>
          <w:kern w:val="0"/>
          <w:sz w:val="44"/>
          <w:szCs w:val="44"/>
        </w:rPr>
      </w:pPr>
      <w:r>
        <w:rPr>
          <w:rFonts w:hint="default" w:ascii="Times New Roman" w:hAnsi="Times New Roman" w:eastAsia="方正小标宋_GBK" w:cs="Times New Roman"/>
          <w:w w:val="155"/>
          <w:kern w:val="0"/>
          <w:sz w:val="44"/>
          <w:szCs w:val="44"/>
        </w:rPr>
        <w:t>重庆市渝中区财政局</w:t>
      </w:r>
    </w:p>
    <w:p>
      <w:pPr>
        <w:spacing w:line="594" w:lineRule="exact"/>
        <w:jc w:val="center"/>
        <w:rPr>
          <w:rFonts w:hint="default" w:ascii="Times New Roman" w:hAnsi="Times New Roman" w:eastAsia="方正小标宋_GBK" w:cs="Times New Roman"/>
          <w:w w:val="130"/>
          <w:sz w:val="44"/>
          <w:szCs w:val="44"/>
        </w:rPr>
      </w:pPr>
      <w:r>
        <w:rPr>
          <w:rFonts w:hint="default" w:ascii="Times New Roman" w:hAnsi="Times New Roman" w:eastAsia="方正小标宋_GBK" w:cs="Times New Roman"/>
          <w:w w:val="130"/>
          <w:kern w:val="0"/>
          <w:sz w:val="44"/>
          <w:szCs w:val="44"/>
        </w:rPr>
        <w:t>重庆市渝中区教育委员会</w:t>
      </w:r>
    </w:p>
    <w:p>
      <w:pPr>
        <w:spacing w:line="580" w:lineRule="exact"/>
        <w:jc w:val="center"/>
        <w:textAlignment w:val="baseline"/>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关于调整公办幼儿园保育教育费收费标准的通知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渝中发改〔2021〕227号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区内各公办幼儿园：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重庆市人民政府关于第三期学前教育行动计划的实施意见》（渝府发〔2017〕48号），完善学前教育成本分担机制，根据《重庆市发展和改革委员会、重庆市财政局、重庆市教育委员会关于调整公办幼儿园保育教育费及增设延时保育费项目的通知》（渝发改规范〔2021〕1号），经区政府同意，决定调整我区公办幼儿园保育教育费收费标准。现将有关问题通知如下:</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一、调整公办幼儿园保育教育费收费标准</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公办幼儿园保育教育费收费标准</w:t>
      </w:r>
    </w:p>
    <w:tbl>
      <w:tblPr>
        <w:tblStyle w:val="9"/>
        <w:tblW w:w="8900"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157"/>
        <w:gridCol w:w="1296"/>
        <w:gridCol w:w="544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blHeader/>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办学等级</w:t>
            </w:r>
          </w:p>
        </w:tc>
        <w:tc>
          <w:tcPr>
            <w:tcW w:w="1296" w:type="dxa"/>
            <w:tcMar>
              <w:left w:w="28" w:type="dxa"/>
              <w:right w:w="28" w:type="dxa"/>
            </w:tcMar>
            <w:vAlign w:val="center"/>
          </w:tcPr>
          <w:p>
            <w:pPr>
              <w:spacing w:line="320" w:lineRule="exact"/>
              <w:jc w:val="center"/>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办 学</w:t>
            </w:r>
          </w:p>
          <w:p>
            <w:pPr>
              <w:spacing w:line="320" w:lineRule="exact"/>
              <w:jc w:val="center"/>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形 式</w:t>
            </w:r>
          </w:p>
        </w:tc>
        <w:tc>
          <w:tcPr>
            <w:tcW w:w="5447" w:type="dxa"/>
            <w:tcMar>
              <w:left w:w="28" w:type="dxa"/>
              <w:right w:w="28" w:type="dxa"/>
            </w:tcMar>
            <w:vAlign w:val="center"/>
          </w:tcPr>
          <w:p>
            <w:pPr>
              <w:spacing w:line="320" w:lineRule="exact"/>
              <w:jc w:val="center"/>
              <w:textAlignment w:val="baseline"/>
              <w:rPr>
                <w:rFonts w:hint="default" w:ascii="Times New Roman" w:hAnsi="Times New Roman" w:eastAsia="方正黑体_GBK" w:cs="Times New Roman"/>
                <w:sz w:val="24"/>
              </w:rPr>
            </w:pPr>
            <w:r>
              <w:rPr>
                <w:rFonts w:hint="default" w:ascii="Times New Roman" w:hAnsi="Times New Roman" w:eastAsia="方正黑体_GBK" w:cs="Times New Roman"/>
                <w:sz w:val="24"/>
              </w:rPr>
              <w:t>收  费  标  准</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一级幼儿园</w:t>
            </w:r>
          </w:p>
        </w:tc>
        <w:tc>
          <w:tcPr>
            <w:tcW w:w="1296"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全日制</w:t>
            </w:r>
          </w:p>
        </w:tc>
        <w:tc>
          <w:tcPr>
            <w:tcW w:w="544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600元/生·月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二级幼儿园</w:t>
            </w:r>
          </w:p>
        </w:tc>
        <w:tc>
          <w:tcPr>
            <w:tcW w:w="1296"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全日制</w:t>
            </w:r>
          </w:p>
        </w:tc>
        <w:tc>
          <w:tcPr>
            <w:tcW w:w="544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500元/生·月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三级幼儿园</w:t>
            </w:r>
          </w:p>
        </w:tc>
        <w:tc>
          <w:tcPr>
            <w:tcW w:w="1296"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全日制</w:t>
            </w:r>
          </w:p>
        </w:tc>
        <w:tc>
          <w:tcPr>
            <w:tcW w:w="544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400元/生·月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未定级或未达等级</w:t>
            </w:r>
          </w:p>
        </w:tc>
        <w:tc>
          <w:tcPr>
            <w:tcW w:w="1296"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全日制</w:t>
            </w:r>
          </w:p>
        </w:tc>
        <w:tc>
          <w:tcPr>
            <w:tcW w:w="544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200元/生·月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157" w:type="dxa"/>
            <w:tcMar>
              <w:left w:w="28" w:type="dxa"/>
              <w:right w:w="28" w:type="dxa"/>
            </w:tcMar>
            <w:vAlign w:val="center"/>
          </w:tcPr>
          <w:p>
            <w:pPr>
              <w:spacing w:line="320" w:lineRule="exact"/>
              <w:jc w:val="center"/>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备    注</w:t>
            </w:r>
          </w:p>
        </w:tc>
        <w:tc>
          <w:tcPr>
            <w:tcW w:w="6743" w:type="dxa"/>
            <w:gridSpan w:val="2"/>
            <w:tcMar>
              <w:left w:w="28" w:type="dxa"/>
              <w:right w:w="28" w:type="dxa"/>
            </w:tcMar>
            <w:vAlign w:val="center"/>
          </w:tcPr>
          <w:p>
            <w:pPr>
              <w:spacing w:line="32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1．未提供午餐午睡的收费标准，按照同等级全日制收费标准的70%收取；</w:t>
            </w:r>
          </w:p>
          <w:p>
            <w:pPr>
              <w:spacing w:line="32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2．寄宿制（含住宿费）收费标准在同等级全日制收费标准基础上上浮不超过30%；</w:t>
            </w:r>
          </w:p>
          <w:p>
            <w:pPr>
              <w:spacing w:line="320" w:lineRule="exact"/>
              <w:textAlignment w:val="baseline"/>
              <w:rPr>
                <w:rFonts w:hint="default" w:ascii="Times New Roman" w:hAnsi="Times New Roman" w:eastAsia="方正仿宋_GBK" w:cs="Times New Roman"/>
                <w:sz w:val="24"/>
              </w:rPr>
            </w:pPr>
            <w:r>
              <w:rPr>
                <w:rFonts w:hint="default" w:ascii="Times New Roman" w:hAnsi="Times New Roman" w:eastAsia="方正仿宋_GBK" w:cs="Times New Roman"/>
                <w:sz w:val="24"/>
              </w:rPr>
              <w:t>3．市级示范幼儿园可在一级幼儿园收费标准基础上上浮不超过25%。</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各幼儿园应严格执行明码标价制度，按规定在收费场所显著位置公示收费项目、收费依据、收费标准、服务内容、监督投诉电话等信息，主动接受家长和社会的监督。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三、执行时间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本通知从2021年秋季学期开始执行。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重庆市渝中区发展和改革委员会      重庆市渝中区财政局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重庆市渝中区教育委员会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2021年7月19日</w:t>
      </w:r>
      <w:bookmarkStart w:id="0" w:name="SealFile"/>
      <w:bookmarkEnd w:id="0"/>
      <w:bookmarkStart w:id="1" w:name="e"/>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kern w:val="0"/>
          <w:sz w:val="32"/>
          <w:szCs w:val="32"/>
          <w:shd w:val="clear" w:color="auto" w:fill="FFFFFF"/>
          <w:lang w:val="en-US" w:eastAsia="zh-CN" w:bidi="ar-SA"/>
        </w:rPr>
        <w:t>（此件公开发布）</w:t>
      </w:r>
      <w:bookmarkStart w:id="2" w:name="_GoBack"/>
      <w:bookmarkEnd w:id="2"/>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6el0dQAAAAGAQAADwAAAAAAAAABACAAAAAiAAAAZHJz&#10;L2Rvd25yZXYueG1sUEsBAhQAFAAAAAgAh07iQKvolQrPAQAAaQMAAA4AAAAAAAAAAQAgAAAAIw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eastAsia="zh-CN"/>
      </w:rPr>
      <w:t>重庆市渝中区发展和改革委员会</w:t>
    </w:r>
    <w:r>
      <w:rPr>
        <w:rFonts w:hint="eastAsia" w:ascii="宋体" w:hAnsi="宋体" w:eastAsia="宋体" w:cs="宋体"/>
        <w:b/>
        <w:bCs/>
        <w:color w:val="005192"/>
        <w:sz w:val="32"/>
        <w:szCs w:val="32"/>
        <w:lang w:val="en-US" w:eastAsia="zh-CN"/>
      </w:rPr>
      <w:t>发布</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center"/>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FvjXq9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重庆市渝中区发展和改革委员会行政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D8D2E1"/>
    <w:multiLevelType w:val="singleLevel"/>
    <w:tmpl w:val="93D8D2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TUxM2FmNzZlNDkyODllNDQ1ZjUzNzIyNjE3Zm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CD2D67"/>
    <w:rsid w:val="22440422"/>
    <w:rsid w:val="22BB4BBB"/>
    <w:rsid w:val="25EB1AF4"/>
    <w:rsid w:val="2DD05FE1"/>
    <w:rsid w:val="2EAE3447"/>
    <w:rsid w:val="2EE02756"/>
    <w:rsid w:val="31A15F24"/>
    <w:rsid w:val="34BD105F"/>
    <w:rsid w:val="36FB1DF0"/>
    <w:rsid w:val="395347B5"/>
    <w:rsid w:val="39A232A0"/>
    <w:rsid w:val="39E745AA"/>
    <w:rsid w:val="3B5A6BBB"/>
    <w:rsid w:val="3CA154E3"/>
    <w:rsid w:val="3EDA13A6"/>
    <w:rsid w:val="3FF56C14"/>
    <w:rsid w:val="417B75E9"/>
    <w:rsid w:val="42430A63"/>
    <w:rsid w:val="42F058B7"/>
    <w:rsid w:val="436109F6"/>
    <w:rsid w:val="441A38D4"/>
    <w:rsid w:val="4504239D"/>
    <w:rsid w:val="451A208F"/>
    <w:rsid w:val="4BC77339"/>
    <w:rsid w:val="4C9236C5"/>
    <w:rsid w:val="4E250A85"/>
    <w:rsid w:val="4FFD4925"/>
    <w:rsid w:val="505C172E"/>
    <w:rsid w:val="506405EA"/>
    <w:rsid w:val="520F1A18"/>
    <w:rsid w:val="52F46F0B"/>
    <w:rsid w:val="532B6A10"/>
    <w:rsid w:val="539E4E99"/>
    <w:rsid w:val="53D8014D"/>
    <w:rsid w:val="550C209A"/>
    <w:rsid w:val="55E064E0"/>
    <w:rsid w:val="572C6D10"/>
    <w:rsid w:val="5DC34279"/>
    <w:rsid w:val="5FCD688E"/>
    <w:rsid w:val="5FF9BDAA"/>
    <w:rsid w:val="608816D1"/>
    <w:rsid w:val="60EF4E7F"/>
    <w:rsid w:val="620901F2"/>
    <w:rsid w:val="648B0A32"/>
    <w:rsid w:val="65802EBF"/>
    <w:rsid w:val="658F6764"/>
    <w:rsid w:val="665233C1"/>
    <w:rsid w:val="69AC0D42"/>
    <w:rsid w:val="6AD9688B"/>
    <w:rsid w:val="6B68303F"/>
    <w:rsid w:val="6D0E3F22"/>
    <w:rsid w:val="72CA2D5C"/>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578</Words>
  <Characters>611</Characters>
  <Lines>1</Lines>
  <Paragraphs>1</Paragraphs>
  <TotalTime>0</TotalTime>
  <ScaleCrop>false</ScaleCrop>
  <LinksUpToDate>false</LinksUpToDate>
  <CharactersWithSpaces>689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2023-11-22T02:56:53Z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A360400837BE46CE92201821FBE39993_13</vt:lpwstr>
  </property>
</Properties>
</file>