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5794">
      <w:pPr>
        <w:spacing w:line="578" w:lineRule="exact"/>
        <w:rPr>
          <w:rFonts w:eastAsia="方正黑体_GBK"/>
          <w:sz w:val="32"/>
        </w:rPr>
      </w:pPr>
      <w:r>
        <w:rPr>
          <w:rFonts w:hint="eastAsia" w:eastAsia="方正黑体_GBK"/>
          <w:sz w:val="32"/>
        </w:rPr>
        <w:t>附件2</w:t>
      </w:r>
    </w:p>
    <w:p w14:paraId="12F14EAD">
      <w:pPr>
        <w:spacing w:line="578" w:lineRule="exact"/>
        <w:rPr>
          <w:rFonts w:eastAsia="方正黑体_GBK"/>
          <w:sz w:val="32"/>
        </w:rPr>
      </w:pPr>
    </w:p>
    <w:p w14:paraId="7266DD67">
      <w:pPr>
        <w:spacing w:line="578" w:lineRule="exact"/>
        <w:jc w:val="center"/>
        <w:rPr>
          <w:rFonts w:eastAsia="方正小标宋_GBK"/>
          <w:sz w:val="44"/>
          <w:szCs w:val="44"/>
        </w:rPr>
      </w:pPr>
      <w:r>
        <w:rPr>
          <w:rFonts w:hint="eastAsia" w:eastAsia="方正小标宋_GBK"/>
          <w:sz w:val="44"/>
          <w:szCs w:val="44"/>
        </w:rPr>
        <w:t>重庆市渝中区国有资产服务中心2024年单位预算情况说明</w:t>
      </w:r>
    </w:p>
    <w:p w14:paraId="420A3B99">
      <w:pPr>
        <w:spacing w:line="578" w:lineRule="exact"/>
        <w:rPr>
          <w:rFonts w:eastAsia="方正仿宋_GBK"/>
          <w:sz w:val="32"/>
        </w:rPr>
      </w:pPr>
    </w:p>
    <w:p w14:paraId="58551239">
      <w:pPr>
        <w:spacing w:line="578" w:lineRule="exact"/>
        <w:ind w:firstLine="640" w:firstLineChars="200"/>
        <w:rPr>
          <w:rFonts w:ascii="方正黑体_GBK" w:eastAsia="方正黑体_GBK"/>
          <w:sz w:val="32"/>
        </w:rPr>
      </w:pPr>
      <w:r>
        <w:rPr>
          <w:rFonts w:hint="eastAsia" w:ascii="方正黑体_GBK" w:eastAsia="方正黑体_GBK"/>
          <w:sz w:val="32"/>
        </w:rPr>
        <w:t>一、单位基本情况</w:t>
      </w:r>
    </w:p>
    <w:p w14:paraId="5D61DDC0">
      <w:pPr>
        <w:pStyle w:val="4"/>
        <w:widowControl w:val="0"/>
        <w:shd w:val="clear" w:color="auto" w:fill="FFFFFF"/>
        <w:spacing w:before="0" w:beforeAutospacing="0" w:after="0" w:afterAutospacing="0" w:line="578" w:lineRule="exact"/>
        <w:ind w:firstLine="420"/>
        <w:jc w:val="both"/>
        <w:rPr>
          <w:rFonts w:ascii="方正楷体_GBK" w:hAnsi="方正楷体_GBK" w:eastAsia="方正楷体_GBK" w:cs="方正楷体_GBK"/>
          <w:kern w:val="2"/>
          <w:sz w:val="32"/>
          <w:szCs w:val="22"/>
        </w:rPr>
      </w:pPr>
      <w:r>
        <w:rPr>
          <w:rFonts w:hint="eastAsia" w:ascii="方正楷体_GBK" w:hAnsi="方正楷体_GBK" w:eastAsia="方正楷体_GBK" w:cs="方正楷体_GBK"/>
          <w:kern w:val="2"/>
          <w:sz w:val="32"/>
          <w:szCs w:val="22"/>
        </w:rPr>
        <w:t>（一）职能职责</w:t>
      </w:r>
    </w:p>
    <w:p w14:paraId="25CB83B9">
      <w:pPr>
        <w:pStyle w:val="4"/>
        <w:widowControl w:val="0"/>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kern w:val="2"/>
          <w:sz w:val="32"/>
          <w:szCs w:val="22"/>
        </w:rPr>
      </w:pPr>
      <w:r>
        <w:rPr>
          <w:rStyle w:val="7"/>
          <w:rFonts w:hint="default" w:ascii="方正仿宋_GBK" w:eastAsia="方正仿宋_GBK"/>
          <w:szCs w:val="32"/>
        </w:rPr>
        <w:t>负责协助国有资产管理行政主管部门开展区属国有一企业国有资产监督管理工作，促进国有资产保值增值。承担国有企业改革服务工作；承担国资大数据监督平台建设、维护工作，负责国有企业经济信息统计；承担国有资产的产权界定、登记、划转、处置及产权纠纷调处等具体事务性工作；承担国有企业国有资本收益上缴工作，参与国有企业投资备案、监管等具体事务性工作；承担国有企业在资产、人事、工程等方面服务工作，参与涉及重大国有资产流失调查工作，参与内部审计工作；负责国有企业法律宣传教育与咨询事务，参与国有企业剥离办社会职能和解决历史遗留问题，承担国有企业安全生产、信访稳定的协调服务工作；参与国有企业国有资产运营和重点项目建设的协调服务工作，联系国有企业招商服务工作；完成上级主管部门交办的其他工作任务。</w:t>
      </w:r>
      <w:r>
        <w:rPr>
          <w:rFonts w:hint="eastAsia" w:ascii="Times New Roman" w:hAnsi="Times New Roman" w:eastAsia="方正仿宋_GBK" w:cs="Times New Roman"/>
          <w:kern w:val="2"/>
          <w:sz w:val="32"/>
          <w:szCs w:val="22"/>
        </w:rPr>
        <w:t>（二）单位构成</w:t>
      </w:r>
    </w:p>
    <w:p w14:paraId="44BF052C">
      <w:pPr>
        <w:pStyle w:val="4"/>
        <w:widowControl w:val="0"/>
        <w:shd w:val="clear" w:color="auto" w:fill="FFFFFF"/>
        <w:spacing w:before="0" w:beforeAutospacing="0" w:after="0" w:afterAutospacing="0" w:line="578" w:lineRule="exact"/>
        <w:ind w:firstLine="420"/>
        <w:jc w:val="both"/>
        <w:rPr>
          <w:rFonts w:ascii="方正楷体_GBK" w:hAnsi="方正楷体_GBK" w:eastAsia="方正楷体_GBK" w:cs="方正楷体_GBK"/>
          <w:kern w:val="2"/>
          <w:sz w:val="32"/>
          <w:szCs w:val="22"/>
        </w:rPr>
      </w:pPr>
      <w:r>
        <w:rPr>
          <w:rFonts w:hint="eastAsia" w:ascii="方正楷体_GBK" w:hAnsi="方正楷体_GBK" w:eastAsia="方正楷体_GBK" w:cs="方正楷体_GBK"/>
          <w:kern w:val="2"/>
          <w:sz w:val="32"/>
          <w:szCs w:val="22"/>
        </w:rPr>
        <w:t>（二）单位构成</w:t>
      </w:r>
    </w:p>
    <w:p w14:paraId="72DC4FAA">
      <w:pPr>
        <w:spacing w:line="560" w:lineRule="exact"/>
        <w:ind w:firstLine="640" w:firstLineChars="200"/>
        <w:rPr>
          <w:rFonts w:eastAsia="方正仿宋_GBK"/>
          <w:sz w:val="32"/>
        </w:rPr>
      </w:pPr>
      <w:r>
        <w:rPr>
          <w:rFonts w:hint="eastAsia" w:eastAsia="方正仿宋_GBK"/>
          <w:sz w:val="32"/>
        </w:rPr>
        <w:t>区国资服务中心现设有</w:t>
      </w:r>
      <w:r>
        <w:rPr>
          <w:rFonts w:hint="eastAsia" w:eastAsia="方正仿宋_GBK"/>
          <w:sz w:val="32"/>
          <w:szCs w:val="32"/>
        </w:rPr>
        <w:t>管理岗位3名（七级1名、八级1名、九级1名），专技岗位3名（八级1名、九级1名、十一级1名）。</w:t>
      </w:r>
      <w:r>
        <w:rPr>
          <w:rFonts w:hint="eastAsia" w:eastAsia="方正仿宋_GBK"/>
          <w:sz w:val="32"/>
        </w:rPr>
        <w:t>现有管理9级事业编制人员1人。</w:t>
      </w:r>
    </w:p>
    <w:p w14:paraId="7F2BDE09">
      <w:pPr>
        <w:spacing w:line="578" w:lineRule="exact"/>
        <w:ind w:firstLine="640" w:firstLineChars="200"/>
        <w:rPr>
          <w:rFonts w:ascii="方正黑体_GBK" w:eastAsia="方正黑体_GBK"/>
          <w:sz w:val="32"/>
        </w:rPr>
      </w:pPr>
      <w:r>
        <w:rPr>
          <w:rFonts w:hint="eastAsia" w:ascii="方正黑体_GBK" w:eastAsia="方正黑体_GBK"/>
          <w:sz w:val="32"/>
        </w:rPr>
        <w:t>二、单位收支总体情况</w:t>
      </w:r>
    </w:p>
    <w:p w14:paraId="69B16C3B">
      <w:pPr>
        <w:spacing w:line="578" w:lineRule="exact"/>
        <w:ind w:firstLine="640" w:firstLineChars="200"/>
        <w:rPr>
          <w:rFonts w:eastAsia="方正仿宋_GBK"/>
          <w:sz w:val="32"/>
        </w:rPr>
      </w:pPr>
      <w:r>
        <w:rPr>
          <w:rFonts w:hint="eastAsia" w:ascii="方正楷体_GBK" w:hAnsi="方正楷体_GBK" w:eastAsia="方正楷体_GBK" w:cs="方正楷体_GBK"/>
          <w:sz w:val="32"/>
        </w:rPr>
        <w:t>（一）收入预算</w:t>
      </w:r>
      <w:r>
        <w:rPr>
          <w:rFonts w:hint="eastAsia" w:eastAsia="方正仿宋_GBK"/>
          <w:sz w:val="32"/>
        </w:rPr>
        <w:t>：2024年年初预算数17.39万元，其中：一般公共预算拨款17.39万元；收入较去年增加17.39元，主要是本单位为2022年新成立单位，2023年10月遴选一名事业编制人员，2024年为第一个预算年度。</w:t>
      </w:r>
    </w:p>
    <w:p w14:paraId="00BD530F">
      <w:pPr>
        <w:spacing w:line="578" w:lineRule="exact"/>
        <w:ind w:firstLine="640" w:firstLineChars="200"/>
        <w:rPr>
          <w:rFonts w:eastAsia="方正仿宋_GBK"/>
          <w:sz w:val="32"/>
        </w:rPr>
      </w:pPr>
      <w:r>
        <w:rPr>
          <w:rFonts w:hint="eastAsia" w:ascii="方正楷体_GBK" w:hAnsi="方正楷体_GBK" w:eastAsia="方正楷体_GBK" w:cs="方正楷体_GBK"/>
          <w:sz w:val="32"/>
        </w:rPr>
        <w:t>（二）支出预算</w:t>
      </w:r>
      <w:r>
        <w:rPr>
          <w:rFonts w:hint="eastAsia" w:eastAsia="方正仿宋_GBK"/>
          <w:sz w:val="32"/>
        </w:rPr>
        <w:t>：2024年年初预算数17.39万元，其中：资源勘探工业信息等支出17.39万元；支出较去年增加17.39元，主要是本单位为2022年新成立单位，2023年10月遴选一名事业编制人员，预计2024年支出单位人员及运行费用。</w:t>
      </w:r>
    </w:p>
    <w:p w14:paraId="6C285A29">
      <w:pPr>
        <w:spacing w:line="578" w:lineRule="exact"/>
        <w:ind w:firstLine="640" w:firstLineChars="200"/>
        <w:rPr>
          <w:rFonts w:ascii="方正黑体_GBK" w:eastAsia="方正黑体_GBK"/>
          <w:sz w:val="32"/>
        </w:rPr>
      </w:pPr>
      <w:r>
        <w:rPr>
          <w:rFonts w:hint="eastAsia" w:ascii="方正黑体_GBK" w:eastAsia="方正黑体_GBK"/>
          <w:sz w:val="32"/>
        </w:rPr>
        <w:t>三、单位预算情况说明</w:t>
      </w:r>
    </w:p>
    <w:p w14:paraId="22BA025D">
      <w:pPr>
        <w:spacing w:line="578" w:lineRule="exact"/>
        <w:ind w:firstLine="640" w:firstLineChars="200"/>
        <w:rPr>
          <w:rFonts w:eastAsia="方正仿宋_GBK"/>
          <w:sz w:val="32"/>
        </w:rPr>
      </w:pPr>
      <w:r>
        <w:rPr>
          <w:rFonts w:hint="eastAsia" w:eastAsia="方正仿宋_GBK"/>
          <w:sz w:val="32"/>
        </w:rPr>
        <w:t>2024年一般公共预算财政拨款收入17.39万元，一般公共预算财政拨款支出17.39万元，比2023年增加17.39元。其中：基本支出17.39万元，比2023年增加17.39万元，主要原因是人员公用经费增加，用于保障在职人员工资福利及社会保险缴费等，保障单位正常运转的各项商品服务支出；项目支出0万元。</w:t>
      </w:r>
    </w:p>
    <w:p w14:paraId="544351D5">
      <w:pPr>
        <w:spacing w:line="578" w:lineRule="exact"/>
        <w:ind w:firstLine="640" w:firstLineChars="200"/>
        <w:rPr>
          <w:rFonts w:ascii="方正黑体_GBK" w:eastAsia="方正黑体_GBK"/>
          <w:sz w:val="32"/>
        </w:rPr>
      </w:pPr>
      <w:r>
        <w:rPr>
          <w:rFonts w:hint="eastAsia" w:ascii="方正黑体_GBK" w:eastAsia="方正黑体_GBK"/>
          <w:sz w:val="32"/>
        </w:rPr>
        <w:t>四、“三公”经费情况说明</w:t>
      </w:r>
    </w:p>
    <w:p w14:paraId="281BD5C6">
      <w:pPr>
        <w:spacing w:line="578" w:lineRule="exact"/>
        <w:ind w:firstLine="640" w:firstLineChars="200"/>
        <w:rPr>
          <w:rFonts w:eastAsia="方正仿宋_GBK"/>
          <w:sz w:val="32"/>
        </w:rPr>
      </w:pPr>
      <w:r>
        <w:rPr>
          <w:rFonts w:hint="eastAsia" w:eastAsia="方正仿宋_GBK"/>
          <w:sz w:val="32"/>
        </w:rPr>
        <w:t>2024年“三公”经费预算0万元，较2023年增加0万元。其中：因公出国（境）费用0万元，</w:t>
      </w:r>
      <w:r>
        <w:rPr>
          <w:rFonts w:hint="eastAsia" w:eastAsia="方正仿宋_GBK"/>
          <w:color w:val="FF0000"/>
          <w:sz w:val="32"/>
        </w:rPr>
        <w:t>较2023年增加0万元</w:t>
      </w:r>
      <w:r>
        <w:rPr>
          <w:rFonts w:hint="eastAsia" w:eastAsia="方正仿宋_GBK"/>
          <w:sz w:val="32"/>
        </w:rPr>
        <w:t>；公务接待费0万元</w:t>
      </w:r>
      <w:r>
        <w:rPr>
          <w:rFonts w:hint="eastAsia" w:eastAsia="方正仿宋_GBK"/>
          <w:color w:val="FF0000"/>
          <w:sz w:val="32"/>
        </w:rPr>
        <w:t>，较2023年增加0万元</w:t>
      </w:r>
      <w:r>
        <w:rPr>
          <w:rFonts w:hint="eastAsia" w:eastAsia="方正仿宋_GBK"/>
          <w:sz w:val="32"/>
        </w:rPr>
        <w:t>；公务用车运行维护费0万元，</w:t>
      </w:r>
      <w:r>
        <w:rPr>
          <w:rFonts w:hint="eastAsia" w:eastAsia="方正仿宋_GBK"/>
          <w:color w:val="FF0000"/>
          <w:sz w:val="32"/>
        </w:rPr>
        <w:t>较2023年增加0万元</w:t>
      </w:r>
      <w:r>
        <w:rPr>
          <w:rFonts w:hint="eastAsia" w:eastAsia="方正仿宋_GBK"/>
          <w:sz w:val="32"/>
        </w:rPr>
        <w:t>；公务用车购置费0万元</w:t>
      </w:r>
      <w:r>
        <w:rPr>
          <w:rFonts w:hint="eastAsia" w:eastAsia="方正仿宋_GBK"/>
          <w:color w:val="FF0000"/>
          <w:sz w:val="32"/>
        </w:rPr>
        <w:t>，较2023年增加0万元</w:t>
      </w:r>
      <w:r>
        <w:rPr>
          <w:rFonts w:hint="eastAsia" w:eastAsia="方正仿宋_GBK"/>
          <w:sz w:val="32"/>
        </w:rPr>
        <w:t>。</w:t>
      </w:r>
    </w:p>
    <w:p w14:paraId="7014F072">
      <w:pPr>
        <w:spacing w:line="578" w:lineRule="exact"/>
        <w:ind w:firstLine="640" w:firstLineChars="200"/>
        <w:rPr>
          <w:rFonts w:ascii="方正黑体_GBK" w:eastAsia="方正黑体_GBK"/>
          <w:sz w:val="32"/>
        </w:rPr>
      </w:pPr>
      <w:r>
        <w:rPr>
          <w:rFonts w:hint="eastAsia" w:ascii="方正黑体_GBK" w:eastAsia="方正黑体_GBK"/>
          <w:sz w:val="32"/>
        </w:rPr>
        <w:t>五、其他重要事项的情况说明</w:t>
      </w:r>
    </w:p>
    <w:p w14:paraId="57294D5A">
      <w:pPr>
        <w:ind w:firstLine="640" w:firstLineChars="200"/>
        <w:rPr>
          <w:rFonts w:eastAsia="方正仿宋_GBK"/>
          <w:sz w:val="32"/>
        </w:rPr>
      </w:pPr>
      <w:r>
        <w:rPr>
          <w:rFonts w:hint="eastAsia" w:ascii="方正楷体_GBK" w:hAnsi="方正楷体_GBK" w:eastAsia="方正楷体_GBK" w:cs="方正楷体_GBK"/>
          <w:sz w:val="32"/>
        </w:rPr>
        <w:t>（一）机关运行经费</w:t>
      </w:r>
      <w:r>
        <w:rPr>
          <w:rFonts w:hint="eastAsia" w:eastAsia="方正仿宋_GBK"/>
          <w:sz w:val="32"/>
        </w:rPr>
        <w:t>。</w:t>
      </w:r>
      <w:r>
        <w:rPr>
          <w:rFonts w:hint="eastAsia" w:eastAsia="方正仿宋_GBK" w:cs="仿宋_GB2312"/>
          <w:sz w:val="32"/>
        </w:rPr>
        <w:t>本单位不在机关运行经费统计范围之内。</w:t>
      </w:r>
    </w:p>
    <w:p w14:paraId="41E03D6A">
      <w:pPr>
        <w:spacing w:line="578" w:lineRule="exact"/>
        <w:ind w:firstLine="640" w:firstLineChars="200"/>
        <w:rPr>
          <w:rFonts w:eastAsia="方正仿宋_GBK"/>
          <w:sz w:val="32"/>
        </w:rPr>
      </w:pPr>
      <w:r>
        <w:rPr>
          <w:rFonts w:hint="eastAsia" w:ascii="方正楷体_GBK" w:hAnsi="方正楷体_GBK" w:eastAsia="方正楷体_GBK" w:cs="方正楷体_GBK"/>
          <w:sz w:val="32"/>
        </w:rPr>
        <w:t>（二）政府采购情况</w:t>
      </w:r>
      <w:r>
        <w:rPr>
          <w:rFonts w:hint="eastAsia" w:eastAsia="方正仿宋_GBK"/>
          <w:sz w:val="32"/>
        </w:rPr>
        <w:t>。本单位政府采购预算总额0万元：政府采购货物预算0万元，政府采购服务预算0万元；其中一般公共预算拨款政府采购0万元：政府采购货物预算0万元、政府采购服务预算0万元。</w:t>
      </w:r>
    </w:p>
    <w:p w14:paraId="306EA715">
      <w:pPr>
        <w:spacing w:line="578" w:lineRule="exact"/>
        <w:ind w:firstLine="640" w:firstLineChars="200"/>
        <w:rPr>
          <w:rFonts w:eastAsia="方正仿宋_GBK"/>
          <w:sz w:val="32"/>
        </w:rPr>
      </w:pPr>
      <w:r>
        <w:rPr>
          <w:rFonts w:hint="eastAsia" w:ascii="方正楷体_GBK" w:hAnsi="方正楷体_GBK" w:eastAsia="方正楷体_GBK" w:cs="方正楷体_GBK"/>
          <w:sz w:val="32"/>
        </w:rPr>
        <w:t>（三）绩效目标设置情况</w:t>
      </w:r>
      <w:r>
        <w:rPr>
          <w:rFonts w:hint="eastAsia" w:eastAsia="方正仿宋_GBK"/>
          <w:sz w:val="32"/>
        </w:rPr>
        <w:t>。2024年项目支出均实行了绩效目标管理，涉及一般公共预算财政拨款0万元。</w:t>
      </w:r>
    </w:p>
    <w:p w14:paraId="05B1FB7D">
      <w:pPr>
        <w:spacing w:line="578" w:lineRule="exact"/>
        <w:ind w:firstLine="640" w:firstLineChars="200"/>
        <w:rPr>
          <w:rFonts w:eastAsia="方正仿宋_GBK"/>
          <w:sz w:val="32"/>
        </w:rPr>
      </w:pPr>
      <w:r>
        <w:rPr>
          <w:rFonts w:hint="eastAsia" w:ascii="方正楷体_GBK" w:hAnsi="方正楷体_GBK" w:eastAsia="方正楷体_GBK" w:cs="方正楷体_GBK"/>
          <w:sz w:val="32"/>
        </w:rPr>
        <w:t>（四）国有资产占有使用情况</w:t>
      </w:r>
      <w:r>
        <w:rPr>
          <w:rFonts w:hint="eastAsia" w:eastAsia="方正仿宋_GBK"/>
          <w:sz w:val="32"/>
        </w:rPr>
        <w:t>。截</w:t>
      </w:r>
      <w:r>
        <w:rPr>
          <w:rFonts w:hint="eastAsia" w:eastAsia="方正仿宋_GBK"/>
          <w:sz w:val="32"/>
          <w:lang w:eastAsia="zh-CN"/>
        </w:rPr>
        <w:t>至</w:t>
      </w:r>
      <w:bookmarkStart w:id="0" w:name="_GoBack"/>
      <w:bookmarkEnd w:id="0"/>
      <w:r>
        <w:rPr>
          <w:rFonts w:hint="eastAsia" w:eastAsia="方正仿宋_GBK"/>
          <w:sz w:val="32"/>
        </w:rPr>
        <w:t>2023年12月，本单位共有车辆0辆。</w:t>
      </w:r>
      <w:r>
        <w:rPr>
          <w:rFonts w:eastAsia="方正仿宋_GBK"/>
          <w:color w:val="FF0000"/>
          <w:sz w:val="32"/>
          <w:szCs w:val="32"/>
        </w:rPr>
        <w:t>2024年一般公共预算安排购置车辆0辆。</w:t>
      </w:r>
    </w:p>
    <w:p w14:paraId="3F30F5C7">
      <w:pPr>
        <w:spacing w:line="578" w:lineRule="exact"/>
        <w:ind w:firstLine="640" w:firstLineChars="200"/>
        <w:rPr>
          <w:rFonts w:ascii="方正黑体_GBK" w:eastAsia="方正黑体_GBK"/>
          <w:sz w:val="32"/>
        </w:rPr>
      </w:pPr>
      <w:r>
        <w:rPr>
          <w:rFonts w:hint="eastAsia" w:ascii="方正黑体_GBK" w:eastAsia="方正黑体_GBK"/>
          <w:sz w:val="32"/>
        </w:rPr>
        <w:t>六、专业性名词解释</w:t>
      </w:r>
    </w:p>
    <w:p w14:paraId="5E965DF2">
      <w:pPr>
        <w:spacing w:line="578" w:lineRule="exact"/>
        <w:ind w:firstLine="640" w:firstLineChars="200"/>
        <w:rPr>
          <w:rFonts w:eastAsia="方正仿宋_GBK"/>
          <w:sz w:val="32"/>
        </w:rPr>
      </w:pPr>
      <w:r>
        <w:rPr>
          <w:rFonts w:hint="eastAsia" w:ascii="方正楷体_GBK" w:hAnsi="方正楷体_GBK" w:eastAsia="方正楷体_GBK" w:cs="方正楷体_GBK"/>
          <w:sz w:val="32"/>
        </w:rPr>
        <w:t>（一）财政拨款收入</w:t>
      </w:r>
      <w:r>
        <w:rPr>
          <w:rFonts w:hint="eastAsia" w:eastAsia="方正仿宋_GBK"/>
          <w:sz w:val="32"/>
        </w:rPr>
        <w:t>：指本年度从本级财政单位取得的财政拨款，包括一般公共预算财政拨款和政府性基金预算财政拨款。</w:t>
      </w:r>
    </w:p>
    <w:p w14:paraId="7705E020">
      <w:pPr>
        <w:spacing w:line="578" w:lineRule="exact"/>
        <w:ind w:firstLine="640" w:firstLineChars="200"/>
        <w:rPr>
          <w:rFonts w:eastAsia="方正仿宋_GBK"/>
          <w:sz w:val="32"/>
        </w:rPr>
      </w:pPr>
      <w:r>
        <w:rPr>
          <w:rFonts w:hint="eastAsia" w:ascii="方正楷体_GBK" w:hAnsi="方正楷体_GBK" w:eastAsia="方正楷体_GBK" w:cs="方正楷体_GBK"/>
          <w:sz w:val="32"/>
        </w:rPr>
        <w:t>（二）其他收入</w:t>
      </w:r>
      <w:r>
        <w:rPr>
          <w:rFonts w:hint="eastAsia" w:eastAsia="方正仿宋_GBK"/>
          <w:sz w:val="32"/>
        </w:rPr>
        <w:t>：指单位取得的除“财政拨款收入”、“事业收入”、“经营收入”等以外的收入。</w:t>
      </w:r>
    </w:p>
    <w:p w14:paraId="7CB75E3F">
      <w:pPr>
        <w:spacing w:line="578" w:lineRule="exact"/>
        <w:ind w:firstLine="640" w:firstLineChars="200"/>
        <w:rPr>
          <w:rFonts w:eastAsia="方正仿宋_GBK"/>
          <w:sz w:val="32"/>
        </w:rPr>
      </w:pPr>
      <w:r>
        <w:rPr>
          <w:rFonts w:hint="eastAsia" w:ascii="方正楷体_GBK" w:hAnsi="方正楷体_GBK" w:eastAsia="方正楷体_GBK" w:cs="方正楷体_GBK"/>
          <w:sz w:val="32"/>
        </w:rPr>
        <w:t>（三）基本支出</w:t>
      </w:r>
      <w:r>
        <w:rPr>
          <w:rFonts w:hint="eastAsia" w:eastAsia="方正仿宋_GBK"/>
          <w:sz w:val="32"/>
        </w:rPr>
        <w:t>：指为保障机构正常运转、完成日常工作任务而发生的人员经费和公用经费。</w:t>
      </w:r>
    </w:p>
    <w:p w14:paraId="5E271313">
      <w:pPr>
        <w:spacing w:line="578" w:lineRule="exact"/>
        <w:ind w:firstLine="640" w:firstLineChars="200"/>
        <w:rPr>
          <w:rFonts w:eastAsia="方正仿宋_GBK"/>
          <w:sz w:val="32"/>
        </w:rPr>
      </w:pPr>
      <w:r>
        <w:rPr>
          <w:rFonts w:hint="eastAsia" w:ascii="方正楷体_GBK" w:hAnsi="方正楷体_GBK" w:eastAsia="方正楷体_GBK" w:cs="方正楷体_GBK"/>
          <w:sz w:val="32"/>
        </w:rPr>
        <w:t>（四）项目支出</w:t>
      </w:r>
      <w:r>
        <w:rPr>
          <w:rFonts w:hint="eastAsia" w:eastAsia="方正仿宋_GBK"/>
          <w:sz w:val="32"/>
        </w:rPr>
        <w:t>：指在基本支出之外为完成特定行政任务和事业发展目标所发生的支出。</w:t>
      </w:r>
    </w:p>
    <w:p w14:paraId="546E6835">
      <w:pPr>
        <w:spacing w:line="578" w:lineRule="exact"/>
        <w:ind w:firstLine="640" w:firstLineChars="200"/>
        <w:rPr>
          <w:rFonts w:eastAsia="方正仿宋_GBK"/>
          <w:sz w:val="32"/>
        </w:rPr>
      </w:pPr>
      <w:r>
        <w:rPr>
          <w:rFonts w:hint="eastAsia" w:ascii="方正楷体_GBK" w:hAnsi="方正楷体_GBK" w:eastAsia="方正楷体_GBK" w:cs="方正楷体_GBK"/>
          <w:sz w:val="32"/>
        </w:rPr>
        <w:t>（五）“三公”经费</w:t>
      </w:r>
      <w:r>
        <w:rPr>
          <w:rFonts w:hint="eastAsia" w:eastAsia="方正仿宋_GBK"/>
          <w:sz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1AA960">
      <w:pPr>
        <w:spacing w:line="578" w:lineRule="exact"/>
        <w:ind w:firstLine="643" w:firstLineChars="200"/>
        <w:rPr>
          <w:rFonts w:eastAsia="方正仿宋_GBK"/>
          <w:sz w:val="32"/>
        </w:rPr>
      </w:pPr>
      <w:r>
        <w:rPr>
          <w:rFonts w:hint="eastAsia" w:eastAsia="方正仿宋_GBK" w:cs="仿宋_GB2312"/>
          <w:b/>
          <w:sz w:val="32"/>
        </w:rPr>
        <w:t>单位预算公开联系人：黄曼            联系方式：</w:t>
      </w:r>
      <w:r>
        <w:rPr>
          <w:rFonts w:hint="eastAsia" w:eastAsia="方正仿宋_GBK"/>
          <w:b/>
          <w:sz w:val="32"/>
        </w:rPr>
        <w:t>023-63857693</w:t>
      </w:r>
    </w:p>
    <w:p w14:paraId="77FBAF35"/>
    <w:p w14:paraId="4A4AB006"/>
    <w:sectPr>
      <w:footerReference r:id="rId3" w:type="default"/>
      <w:footerReference r:id="rId4" w:type="even"/>
      <w:pgSz w:w="16838" w:h="11906" w:orient="landscape"/>
      <w:pgMar w:top="1531" w:right="2098" w:bottom="1531" w:left="1984" w:header="850"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B1D3">
    <w:pPr>
      <w:pStyle w:val="2"/>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924F">
    <w:pPr>
      <w:pStyle w:val="2"/>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JkNzdiZGM0M2NiMWI1OWY4ZmFjOTA1MDQ5MTZmMGYifQ=="/>
  </w:docVars>
  <w:rsids>
    <w:rsidRoot w:val="0CA60E10"/>
    <w:rsid w:val="00565CD4"/>
    <w:rsid w:val="00581056"/>
    <w:rsid w:val="00656AB2"/>
    <w:rsid w:val="00A97034"/>
    <w:rsid w:val="00EE7E2C"/>
    <w:rsid w:val="0CA60E10"/>
    <w:rsid w:val="0DCD2618"/>
    <w:rsid w:val="13683FE0"/>
    <w:rsid w:val="204F3B10"/>
    <w:rsid w:val="2CDD099E"/>
    <w:rsid w:val="5228519B"/>
    <w:rsid w:val="639606C7"/>
    <w:rsid w:val="64FF252E"/>
    <w:rsid w:val="66F81A11"/>
    <w:rsid w:val="6BDE3F06"/>
    <w:rsid w:val="70AB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nt51"/>
    <w:basedOn w:val="6"/>
    <w:qFormat/>
    <w:uiPriority w:val="0"/>
    <w:rPr>
      <w:rFonts w:hint="eastAsia" w:ascii="楷体_GB2312" w:eastAsia="楷体_GB2312"/>
      <w:sz w:val="32"/>
      <w:szCs w:val="24"/>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1556</Words>
  <Characters>1677</Characters>
  <Lines>12</Lines>
  <Paragraphs>3</Paragraphs>
  <TotalTime>3</TotalTime>
  <ScaleCrop>false</ScaleCrop>
  <LinksUpToDate>false</LinksUpToDate>
  <CharactersWithSpaces>1689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2024-02-22T08:15:00Z</dcterms:created>
  <dc:creator>Anymore</dc:creator>
  <cp:lastModifiedBy>张善清15123395500</cp:lastModifiedBy>
  <dcterms:modified xsi:type="dcterms:W3CDTF">2026-07-06T06:34:12Z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0ED7265ED0D746F2BDEF9338FF5185B4_11</vt:lpwstr>
  </property>
  <property fmtid="{D5CDD505-2E9C-101B-9397-08002B2CF9AE}" pid="4" name="KSOTemplateDocerSaveRecord">
    <vt:lpwstr>eyJoZGlkIjoiNDUwMGM4N2MzYWYzNmI5OWE0MjUyYjA0YWM5M2Q1ZTYiLCJ1c2VySWQiOiIyODMwNTE5NTYifQ==</vt:lpwstr>
  </property>
</Properties>
</file>