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方正小标宋_GBK"/>
          <w:sz w:val="44"/>
          <w:szCs w:val="32"/>
        </w:rPr>
      </w:pPr>
    </w:p>
    <w:p>
      <w:pPr>
        <w:spacing w:line="594" w:lineRule="exact"/>
        <w:jc w:val="center"/>
        <w:rPr>
          <w:rFonts w:eastAsia="方正小标宋_GBK"/>
          <w:sz w:val="44"/>
          <w:szCs w:val="32"/>
        </w:rPr>
      </w:pPr>
      <w:r>
        <w:rPr>
          <w:rFonts w:hint="eastAsia" w:eastAsia="方正小标宋_GBK"/>
          <w:sz w:val="44"/>
          <w:szCs w:val="32"/>
        </w:rPr>
        <w:t>渝中区民政局</w:t>
      </w:r>
      <w:r>
        <w:rPr>
          <w:rFonts w:eastAsia="方正小标宋_GBK"/>
          <w:sz w:val="44"/>
          <w:szCs w:val="32"/>
        </w:rPr>
        <w:t>整体支出绩效评价报告</w:t>
      </w:r>
    </w:p>
    <w:p>
      <w:pPr>
        <w:spacing w:line="594" w:lineRule="exact"/>
        <w:jc w:val="center"/>
        <w:rPr>
          <w:rFonts w:eastAsia="方正小标宋_GBK"/>
          <w:sz w:val="44"/>
          <w:szCs w:val="32"/>
        </w:rPr>
      </w:pPr>
    </w:p>
    <w:p>
      <w:pPr>
        <w:spacing w:line="594" w:lineRule="exact"/>
        <w:rPr>
          <w:rFonts w:ascii="方正仿宋_GBK" w:hAnsi="华文仿宋" w:eastAsia="方正仿宋_GBK"/>
          <w:sz w:val="32"/>
          <w:szCs w:val="32"/>
        </w:rPr>
      </w:pPr>
      <w:r>
        <w:rPr>
          <w:rFonts w:hint="eastAsia" w:ascii="方正仿宋_GBK" w:hAnsi="华文仿宋" w:eastAsia="方正仿宋_GBK"/>
          <w:sz w:val="32"/>
          <w:szCs w:val="32"/>
        </w:rPr>
        <w:t xml:space="preserve">渝中区财政局： </w:t>
      </w:r>
    </w:p>
    <w:p>
      <w:pPr>
        <w:spacing w:line="594" w:lineRule="exact"/>
        <w:ind w:firstLine="640" w:firstLineChars="200"/>
        <w:jc w:val="left"/>
        <w:rPr>
          <w:rFonts w:ascii="方正仿宋_GBK" w:hAnsi="华文仿宋" w:eastAsia="方正仿宋_GBK"/>
          <w:sz w:val="32"/>
          <w:szCs w:val="32"/>
        </w:rPr>
      </w:pPr>
      <w:r>
        <w:rPr>
          <w:rFonts w:hint="eastAsia" w:ascii="方正仿宋_GBK" w:hAnsi="华文仿宋" w:eastAsia="方正仿宋_GBK"/>
          <w:sz w:val="32"/>
          <w:szCs w:val="32"/>
        </w:rPr>
        <w:t>按照贵局通知（渝中财绩〔2020〕3号）要求，现将我局2019年整体支出绩效评价情况报告如下：</w:t>
      </w:r>
    </w:p>
    <w:p>
      <w:pPr>
        <w:spacing w:line="594" w:lineRule="exact"/>
        <w:ind w:firstLine="640" w:firstLineChars="200"/>
        <w:rPr>
          <w:rFonts w:eastAsia="方正黑体_GBK"/>
          <w:sz w:val="32"/>
          <w:szCs w:val="32"/>
        </w:rPr>
      </w:pPr>
      <w:r>
        <w:rPr>
          <w:rFonts w:eastAsia="方正黑体_GBK"/>
          <w:sz w:val="32"/>
          <w:szCs w:val="32"/>
        </w:rPr>
        <w:t>一、基本概况</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（一）部门概况</w:t>
      </w:r>
    </w:p>
    <w:p>
      <w:pPr>
        <w:spacing w:line="594"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渝中区民政局</w:t>
      </w:r>
      <w:r>
        <w:rPr>
          <w:rFonts w:ascii="方正仿宋_GBK" w:hAnsi="华文仿宋" w:eastAsia="方正仿宋_GBK"/>
          <w:sz w:val="32"/>
          <w:szCs w:val="32"/>
        </w:rPr>
        <w:t>贯彻执行民政工作法律、法规、规章和方针政策，拟订全区民政工作发展规划，并负责组织实施；承担全区养老服务工作；承担依法对区属社团、民办非企业单位进行登记管理和监察的责任；负责自然灾害生活救助工作，负责核实、上报灾情，管理分配救灾款物并监督使用，组织、指导社会捐赠工作；负责城乡居民最低生活保障、临时救助、生活无着人员救助工作；负责社区建设工作，指导居委会建设；负责全区行政区划和地名管理工作；负责全区婚姻登记、儿童收养、殡葬管理工作，推进殡葬改革；推进慈善事业发展；组织、指导社会捐助工作；管理本级社会福利资金；负责福利彩票发行工作；拟订全区社会工作发展规划，推进社会工作人才队伍建设和相关志愿者队伍建设；完成区委、区政府及市民政局交办的其他事项。</w:t>
      </w:r>
    </w:p>
    <w:p>
      <w:pPr>
        <w:spacing w:line="594" w:lineRule="exact"/>
        <w:ind w:firstLine="640" w:firstLineChars="200"/>
        <w:rPr>
          <w:rFonts w:ascii="方正楷体_GBK" w:eastAsia="方正楷体_GBK"/>
          <w:sz w:val="32"/>
          <w:szCs w:val="32"/>
        </w:rPr>
      </w:pPr>
      <w:r>
        <w:rPr>
          <w:rFonts w:ascii="方正楷体_GBK" w:eastAsia="方正楷体_GBK"/>
          <w:sz w:val="32"/>
          <w:szCs w:val="32"/>
        </w:rPr>
        <w:t>（二）整体支出绩效目标。</w:t>
      </w:r>
    </w:p>
    <w:p>
      <w:pPr>
        <w:spacing w:line="594" w:lineRule="exact"/>
        <w:ind w:firstLine="960" w:firstLineChars="300"/>
        <w:rPr>
          <w:rFonts w:ascii="方正仿宋_GBK" w:hAnsi="华文仿宋" w:eastAsia="方正仿宋_GBK"/>
          <w:sz w:val="32"/>
          <w:szCs w:val="32"/>
        </w:rPr>
      </w:pPr>
      <w:r>
        <w:rPr>
          <w:rFonts w:hint="eastAsia" w:ascii="方正仿宋_GBK" w:hAnsi="华文仿宋" w:eastAsia="方正仿宋_GBK"/>
          <w:sz w:val="32"/>
          <w:szCs w:val="32"/>
        </w:rPr>
        <w:t>1、强化精准救助。切实解决特殊困难群体生活困难，完善最低生活保障、特困人员供养、临时救助等社会救助体系。</w:t>
      </w:r>
    </w:p>
    <w:p>
      <w:pPr>
        <w:spacing w:line="594"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2、加快推进社会福利体系建设。建立养老服务三级管理责任机制、大力推动机构养老服务量质齐升、积极推进居家和社区养老服务体系建设、抓好特困人群福利工作。</w:t>
      </w:r>
    </w:p>
    <w:p>
      <w:pPr>
        <w:spacing w:line="594"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3、创新推进基层社会治理体系建设。深化社区建设工作、抓好深入推进社会工作发展。</w:t>
      </w:r>
    </w:p>
    <w:p>
      <w:pPr>
        <w:spacing w:line="594"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4、抓好民政公共服务体系建设。加强区划地名管理，加强婚姻收养管理服务和殡葬管理服务。</w:t>
      </w:r>
    </w:p>
    <w:p>
      <w:pPr>
        <w:spacing w:line="594"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5、保质保量完成人大、政协提案议案工作。</w:t>
      </w:r>
    </w:p>
    <w:p>
      <w:pPr>
        <w:spacing w:line="594" w:lineRule="exact"/>
        <w:ind w:firstLine="640" w:firstLineChars="200"/>
        <w:rPr>
          <w:rFonts w:eastAsia="方正仿宋_GBK"/>
          <w:sz w:val="32"/>
          <w:szCs w:val="32"/>
        </w:rPr>
      </w:pPr>
      <w:r>
        <w:rPr>
          <w:rFonts w:eastAsia="方正黑体_GBK"/>
          <w:sz w:val="32"/>
          <w:szCs w:val="32"/>
        </w:rPr>
        <w:t>二、绩效评价工作情况</w:t>
      </w:r>
    </w:p>
    <w:p>
      <w:pPr>
        <w:spacing w:line="594" w:lineRule="exact"/>
        <w:ind w:firstLine="640" w:firstLineChars="200"/>
        <w:rPr>
          <w:rFonts w:ascii="方正楷体_GBK" w:eastAsia="方正楷体_GBK"/>
          <w:sz w:val="32"/>
          <w:szCs w:val="32"/>
        </w:rPr>
      </w:pPr>
      <w:r>
        <w:rPr>
          <w:rFonts w:ascii="方正楷体_GBK" w:eastAsia="方正楷体_GBK"/>
          <w:sz w:val="32"/>
          <w:szCs w:val="32"/>
        </w:rPr>
        <w:t>（一）绩效评价目的</w:t>
      </w:r>
    </w:p>
    <w:p>
      <w:pPr>
        <w:spacing w:line="594"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贯彻落实《预算法》，严格执行市、区绩效管理工作有关规定，进一步规范财政资金管理，强化财政支出绩效理念，提升部门责任意识，提高资金使用效益，促进民政事业发展。</w:t>
      </w:r>
    </w:p>
    <w:p>
      <w:pPr>
        <w:spacing w:line="594" w:lineRule="exact"/>
        <w:ind w:firstLine="640" w:firstLineChars="200"/>
        <w:rPr>
          <w:rFonts w:ascii="方正楷体_GBK" w:eastAsia="方正楷体_GBK"/>
          <w:sz w:val="32"/>
          <w:szCs w:val="32"/>
        </w:rPr>
      </w:pPr>
      <w:r>
        <w:rPr>
          <w:rFonts w:ascii="方正楷体_GBK" w:eastAsia="方正楷体_GBK"/>
          <w:sz w:val="32"/>
          <w:szCs w:val="32"/>
        </w:rPr>
        <w:t>（二）绩效评价原则、评价指标体系、评价方法。</w:t>
      </w:r>
    </w:p>
    <w:p>
      <w:pPr>
        <w:spacing w:line="594" w:lineRule="exact"/>
        <w:ind w:firstLine="640" w:firstLineChars="200"/>
        <w:rPr>
          <w:rFonts w:ascii="方正仿宋_GBK" w:hAnsi="华文仿宋" w:eastAsia="方正仿宋_GBK"/>
          <w:sz w:val="32"/>
          <w:szCs w:val="32"/>
        </w:rPr>
      </w:pPr>
      <w:r>
        <w:rPr>
          <w:rFonts w:hint="eastAsia" w:ascii="方正仿宋_GBK" w:hAnsi="华文仿宋" w:eastAsia="方正仿宋_GBK"/>
          <w:sz w:val="32"/>
          <w:szCs w:val="32"/>
        </w:rPr>
        <w:t>根据绩效评价的要求，成立了局自评工作领导小组，对照自评方案进行研究部署</w:t>
      </w:r>
      <w:bookmarkStart w:id="0" w:name="_GoBack"/>
      <w:bookmarkEnd w:id="0"/>
      <w:r>
        <w:rPr>
          <w:rFonts w:hint="eastAsia" w:ascii="方正仿宋_GBK" w:hAnsi="华文仿宋" w:eastAsia="方正仿宋_GBK"/>
          <w:sz w:val="32"/>
          <w:szCs w:val="32"/>
        </w:rPr>
        <w:t>，相关科室全程参与，按照自评方案的要求，对照各实施项目的内容逐条逐项自评，撰写项目自评报告和得分情况并汇总，及时发现问题，查找原因，纠正偏差，为下一步工作夯实基础。</w:t>
      </w:r>
    </w:p>
    <w:p>
      <w:pPr>
        <w:spacing w:line="594" w:lineRule="exact"/>
        <w:ind w:firstLine="640" w:firstLineChars="200"/>
        <w:rPr>
          <w:rFonts w:eastAsia="方正仿宋_GBK"/>
          <w:sz w:val="32"/>
          <w:szCs w:val="32"/>
        </w:rPr>
      </w:pPr>
      <w:r>
        <w:rPr>
          <w:rFonts w:eastAsia="方正黑体_GBK"/>
          <w:sz w:val="32"/>
          <w:szCs w:val="32"/>
        </w:rPr>
        <w:t>三、综合评价情况及评价结论</w:t>
      </w:r>
    </w:p>
    <w:p>
      <w:pPr>
        <w:spacing w:line="594" w:lineRule="exact"/>
        <w:ind w:firstLine="640" w:firstLineChars="200"/>
        <w:rPr>
          <w:rFonts w:ascii="方正仿宋_GBK" w:hAnsi="华文仿宋" w:eastAsia="方正仿宋_GBK"/>
          <w:sz w:val="32"/>
          <w:szCs w:val="32"/>
        </w:rPr>
      </w:pPr>
      <w:r>
        <w:rPr>
          <w:rFonts w:ascii="方正仿宋_GBK" w:hAnsi="华文仿宋" w:eastAsia="方正仿宋_GBK"/>
          <w:sz w:val="32"/>
          <w:szCs w:val="32"/>
        </w:rPr>
        <w:t>2019年，我单位积极履职，强化管理，较好地完成了年度工作目标。通过加强预算收支管理，不断建立健全内部管理制度，梳理内部管理流程，部门整体支出管理水平得到提升。根据部门整体支出绩效评价指标体系，我单位2019年度评价得分</w:t>
      </w:r>
      <w:r>
        <w:rPr>
          <w:rFonts w:hint="eastAsia" w:ascii="方正仿宋_GBK" w:hAnsi="华文仿宋" w:eastAsia="方正仿宋_GBK"/>
          <w:sz w:val="32"/>
          <w:szCs w:val="32"/>
        </w:rPr>
        <w:t>为</w:t>
      </w:r>
      <w:r>
        <w:rPr>
          <w:rFonts w:ascii="方正仿宋_GBK" w:hAnsi="华文仿宋" w:eastAsia="方正仿宋_GBK"/>
          <w:sz w:val="32"/>
          <w:szCs w:val="32"/>
        </w:rPr>
        <w:t>100分。部门整体支出绩效</w:t>
      </w:r>
      <w:r>
        <w:rPr>
          <w:rFonts w:hint="eastAsia" w:ascii="方正仿宋_GBK" w:hAnsi="华文仿宋" w:eastAsia="方正仿宋_GBK"/>
          <w:sz w:val="32"/>
          <w:szCs w:val="32"/>
        </w:rPr>
        <w:t>评价</w:t>
      </w:r>
      <w:r>
        <w:rPr>
          <w:rFonts w:ascii="方正仿宋_GBK" w:hAnsi="华文仿宋" w:eastAsia="方正仿宋_GBK"/>
          <w:sz w:val="32"/>
          <w:szCs w:val="32"/>
        </w:rPr>
        <w:t>情况如下：</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（一）、目标设定</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rPr>
        <w:t xml:space="preserve"> </w:t>
      </w:r>
      <w:r>
        <w:rPr>
          <w:rFonts w:hint="eastAsia" w:ascii="方正仿宋_GBK" w:eastAsia="方正仿宋_GBK"/>
          <w:sz w:val="32"/>
          <w:szCs w:val="32"/>
        </w:rPr>
        <w:t>绩效目标合理性：符合国家法律法规、国民经济和社会发展总体规划；符合部门“三定”方案确定的职责；符合部门制定的中长期实施规划。得分1分。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rPr>
        <w:t xml:space="preserve"> </w:t>
      </w:r>
      <w:r>
        <w:rPr>
          <w:rFonts w:hint="eastAsia" w:ascii="方正仿宋_GBK" w:eastAsia="方正仿宋_GBK"/>
          <w:sz w:val="32"/>
          <w:szCs w:val="32"/>
        </w:rPr>
        <w:t>绩效指标明确性：已将部门整体的绩效目标细化分解为具体的工作任务；通过清晰、可衡量的指标值予以体现；并与部门年度的任务数或计划数相对应；与本年度部门预算资金相匹配。得分2分。</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（二）、预算配置</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 xml:space="preserve"> 在职人员控制率：在职人员控制率=100%；得分2分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 xml:space="preserve"> "三公经费"变动率：“三公经费”变动率=0</w:t>
      </w:r>
      <w:r>
        <w:rPr>
          <w:rFonts w:ascii="方正仿宋_GBK" w:eastAsia="方正仿宋_GBK"/>
          <w:sz w:val="32"/>
          <w:szCs w:val="32"/>
        </w:rPr>
        <w:t xml:space="preserve"> </w:t>
      </w:r>
      <w:r>
        <w:rPr>
          <w:rFonts w:hint="eastAsia" w:ascii="方正仿宋_GBK" w:eastAsia="方正仿宋_GBK"/>
          <w:sz w:val="32"/>
          <w:szCs w:val="32"/>
        </w:rPr>
        <w:t>；得分2分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（三）、预算执行</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 xml:space="preserve"> 预算完成率=</w:t>
      </w:r>
      <w:r>
        <w:rPr>
          <w:rFonts w:ascii="方正仿宋_GBK" w:eastAsia="方正仿宋_GBK"/>
          <w:sz w:val="32"/>
          <w:szCs w:val="32"/>
        </w:rPr>
        <w:t>99.9</w:t>
      </w:r>
      <w:r>
        <w:rPr>
          <w:rFonts w:hint="eastAsia" w:ascii="方正仿宋_GBK" w:eastAsia="方正仿宋_GBK"/>
          <w:sz w:val="32"/>
          <w:szCs w:val="32"/>
        </w:rPr>
        <w:t>%；得分</w:t>
      </w:r>
      <w:r>
        <w:rPr>
          <w:rFonts w:ascii="方正仿宋_GBK" w:eastAsia="方正仿宋_GBK"/>
          <w:sz w:val="32"/>
          <w:szCs w:val="32"/>
        </w:rPr>
        <w:t>1.5</w:t>
      </w:r>
      <w:r>
        <w:rPr>
          <w:rFonts w:hint="eastAsia" w:ascii="方正仿宋_GBK" w:eastAsia="方正仿宋_GBK"/>
          <w:sz w:val="32"/>
          <w:szCs w:val="32"/>
        </w:rPr>
        <w:t>分</w:t>
      </w:r>
    </w:p>
    <w:p>
      <w:pPr>
        <w:spacing w:line="594" w:lineRule="exact"/>
        <w:ind w:firstLine="640" w:firstLineChars="200"/>
        <w:rPr>
          <w:rFonts w:ascii="方正仿宋_GBK" w:eastAsia="方正仿宋_GBK"/>
          <w:sz w:val="32"/>
          <w:szCs w:val="32"/>
        </w:rPr>
      </w:pPr>
      <w:r>
        <w:rPr>
          <w:rFonts w:ascii="方正仿宋_GBK" w:eastAsia="方正仿宋_GBK"/>
          <w:sz w:val="32"/>
          <w:szCs w:val="32"/>
        </w:rPr>
        <w:t>2.</w:t>
      </w:r>
      <w:r>
        <w:rPr>
          <w:rFonts w:hint="eastAsia" w:ascii="方正仿宋_GBK" w:eastAsia="方正仿宋_GBK"/>
          <w:sz w:val="32"/>
          <w:szCs w:val="32"/>
        </w:rPr>
        <w:t xml:space="preserve"> 预算调整率（调增调减）=</w:t>
      </w:r>
      <w:r>
        <w:rPr>
          <w:rFonts w:ascii="方正仿宋_GBK" w:eastAsia="方正仿宋_GBK"/>
          <w:sz w:val="32"/>
          <w:szCs w:val="32"/>
        </w:rPr>
        <w:t>0</w:t>
      </w:r>
      <w:r>
        <w:rPr>
          <w:rFonts w:hint="eastAsia" w:ascii="方正仿宋_GBK" w:eastAsia="方正仿宋_GBK"/>
          <w:sz w:val="32"/>
          <w:szCs w:val="32"/>
        </w:rPr>
        <w:t>；得分</w:t>
      </w:r>
      <w:r>
        <w:rPr>
          <w:rFonts w:ascii="方正仿宋_GBK" w:eastAsia="方正仿宋_GBK"/>
          <w:sz w:val="32"/>
          <w:szCs w:val="32"/>
        </w:rPr>
        <w:t>1.5</w:t>
      </w:r>
      <w:r>
        <w:rPr>
          <w:rFonts w:hint="eastAsia" w:ascii="方正仿宋_GBK" w:eastAsia="方正仿宋_GBK"/>
          <w:sz w:val="32"/>
          <w:szCs w:val="32"/>
        </w:rPr>
        <w:t>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 xml:space="preserve"> 结转结余率=</w:t>
      </w:r>
      <w:r>
        <w:rPr>
          <w:rFonts w:ascii="方正仿宋_GBK" w:eastAsia="方正仿宋_GBK"/>
          <w:sz w:val="32"/>
          <w:szCs w:val="32"/>
        </w:rPr>
        <w:t>0.1</w:t>
      </w:r>
      <w:r>
        <w:rPr>
          <w:rFonts w:hint="eastAsia" w:ascii="方正仿宋_GBK" w:eastAsia="方正仿宋_GBK"/>
          <w:sz w:val="32"/>
          <w:szCs w:val="32"/>
        </w:rPr>
        <w:t>%；得分</w:t>
      </w:r>
      <w:r>
        <w:rPr>
          <w:rFonts w:ascii="方正仿宋_GBK" w:eastAsia="方正仿宋_GBK"/>
          <w:sz w:val="32"/>
          <w:szCs w:val="32"/>
        </w:rPr>
        <w:t>1.5</w:t>
      </w:r>
      <w:r>
        <w:rPr>
          <w:rFonts w:hint="eastAsia" w:ascii="方正仿宋_GBK" w:eastAsia="方正仿宋_GBK"/>
          <w:sz w:val="32"/>
          <w:szCs w:val="32"/>
        </w:rPr>
        <w:t>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 xml:space="preserve"> 公用经费控制率=</w:t>
      </w:r>
      <w:r>
        <w:rPr>
          <w:rFonts w:ascii="方正仿宋_GBK" w:eastAsia="方正仿宋_GBK"/>
          <w:sz w:val="32"/>
          <w:szCs w:val="32"/>
        </w:rPr>
        <w:t>100</w:t>
      </w:r>
      <w:r>
        <w:rPr>
          <w:rFonts w:hint="eastAsia" w:ascii="方正仿宋_GBK" w:eastAsia="方正仿宋_GBK"/>
          <w:sz w:val="32"/>
          <w:szCs w:val="32"/>
        </w:rPr>
        <w:t>%；得分</w:t>
      </w:r>
      <w:r>
        <w:rPr>
          <w:rFonts w:ascii="方正仿宋_GBK" w:eastAsia="方正仿宋_GBK"/>
          <w:sz w:val="32"/>
          <w:szCs w:val="32"/>
        </w:rPr>
        <w:t>1.5</w:t>
      </w:r>
      <w:r>
        <w:rPr>
          <w:rFonts w:hint="eastAsia" w:ascii="方正仿宋_GBK" w:eastAsia="方正仿宋_GBK"/>
          <w:sz w:val="32"/>
          <w:szCs w:val="32"/>
        </w:rPr>
        <w:t>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5</w:t>
      </w:r>
      <w:r>
        <w:rPr>
          <w:rFonts w:ascii="方正仿宋_GBK" w:eastAsia="方正仿宋_GBK"/>
          <w:sz w:val="32"/>
          <w:szCs w:val="32"/>
        </w:rPr>
        <w:t>.</w:t>
      </w:r>
      <w:r>
        <w:rPr>
          <w:rFonts w:hint="eastAsia" w:ascii="方正仿宋_GBK" w:eastAsia="方正仿宋_GBK"/>
          <w:sz w:val="32"/>
          <w:szCs w:val="32"/>
        </w:rPr>
        <w:t xml:space="preserve"> “三公经费”控制率=</w:t>
      </w:r>
      <w:r>
        <w:rPr>
          <w:rFonts w:ascii="方正仿宋_GBK" w:eastAsia="方正仿宋_GBK"/>
          <w:sz w:val="32"/>
          <w:szCs w:val="32"/>
        </w:rPr>
        <w:t>100</w:t>
      </w:r>
      <w:r>
        <w:rPr>
          <w:rFonts w:hint="eastAsia" w:ascii="方正仿宋_GBK" w:eastAsia="方正仿宋_GBK"/>
          <w:sz w:val="32"/>
          <w:szCs w:val="32"/>
        </w:rPr>
        <w:t>%；得分</w:t>
      </w:r>
      <w:r>
        <w:rPr>
          <w:rFonts w:ascii="方正仿宋_GBK" w:eastAsia="方正仿宋_GBK"/>
          <w:sz w:val="32"/>
          <w:szCs w:val="32"/>
        </w:rPr>
        <w:t>1.5</w:t>
      </w:r>
      <w:r>
        <w:rPr>
          <w:rFonts w:hint="eastAsia" w:ascii="方正仿宋_GBK" w:eastAsia="方正仿宋_GBK"/>
          <w:sz w:val="32"/>
          <w:szCs w:val="32"/>
        </w:rPr>
        <w:t>分</w:t>
      </w:r>
    </w:p>
    <w:p>
      <w:pPr>
        <w:spacing w:line="594" w:lineRule="exact"/>
        <w:ind w:firstLine="640" w:firstLineChars="200"/>
        <w:rPr>
          <w:rFonts w:ascii="方正仿宋_GBK" w:eastAsia="方正仿宋_GBK"/>
          <w:sz w:val="32"/>
          <w:szCs w:val="32"/>
        </w:rPr>
      </w:pPr>
      <w:r>
        <w:rPr>
          <w:rFonts w:ascii="方正仿宋_GBK" w:eastAsia="方正仿宋_GBK"/>
          <w:sz w:val="32"/>
          <w:szCs w:val="32"/>
        </w:rPr>
        <w:t>6.</w:t>
      </w:r>
      <w:r>
        <w:rPr>
          <w:rFonts w:hint="eastAsia" w:ascii="方正仿宋_GBK" w:eastAsia="方正仿宋_GBK"/>
          <w:sz w:val="32"/>
          <w:szCs w:val="32"/>
        </w:rPr>
        <w:t xml:space="preserve"> 政府采购执行率=</w:t>
      </w:r>
      <w:r>
        <w:rPr>
          <w:rFonts w:ascii="方正仿宋_GBK" w:eastAsia="方正仿宋_GBK"/>
          <w:sz w:val="32"/>
          <w:szCs w:val="32"/>
        </w:rPr>
        <w:t>100</w:t>
      </w:r>
      <w:r>
        <w:rPr>
          <w:rFonts w:hint="eastAsia" w:ascii="方正仿宋_GBK" w:eastAsia="方正仿宋_GBK"/>
          <w:sz w:val="32"/>
          <w:szCs w:val="32"/>
        </w:rPr>
        <w:t>%；得分</w:t>
      </w:r>
      <w:r>
        <w:rPr>
          <w:rFonts w:ascii="方正仿宋_GBK" w:eastAsia="方正仿宋_GBK"/>
          <w:sz w:val="32"/>
          <w:szCs w:val="32"/>
        </w:rPr>
        <w:t>1</w:t>
      </w:r>
      <w:r>
        <w:rPr>
          <w:rFonts w:hint="eastAsia" w:ascii="方正仿宋_GBK" w:eastAsia="方正仿宋_GBK"/>
          <w:sz w:val="32"/>
          <w:szCs w:val="32"/>
        </w:rPr>
        <w:t>分</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（四）、预算管理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rPr>
        <w:t xml:space="preserve"> </w:t>
      </w:r>
      <w:r>
        <w:rPr>
          <w:rFonts w:hint="eastAsia" w:ascii="方正仿宋_GBK" w:eastAsia="方正仿宋_GBK"/>
          <w:sz w:val="32"/>
          <w:szCs w:val="32"/>
        </w:rPr>
        <w:t>管理制度健全：①有内部财务管理制度、会计核算制度等管理制度；②有本部门厉行节约制度；③相关管理制度合法、合规、完整；④相关管理制度得到有效执行；得分1分。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rPr>
        <w:t xml:space="preserve"> </w:t>
      </w:r>
      <w:r>
        <w:rPr>
          <w:rFonts w:hint="eastAsia" w:ascii="方正仿宋_GBK" w:eastAsia="方正仿宋_GBK"/>
          <w:sz w:val="32"/>
          <w:szCs w:val="32"/>
        </w:rPr>
        <w:t>资金使用合规情况：①支出符合国家财经法规和财务管理制度规定以及有关专项资金管理办法的规定；②资金拨付有完整的审批程序和手续；③预算调整履行规定程序；④支出符合部门预算批复的用途；⑤资金使用无截留、挤占、挪用、虚列支出等情况；得分5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rPr>
        <w:t xml:space="preserve"> </w:t>
      </w:r>
      <w:r>
        <w:rPr>
          <w:rFonts w:hint="eastAsia" w:ascii="方正仿宋_GBK" w:eastAsia="方正仿宋_GBK"/>
          <w:sz w:val="32"/>
          <w:szCs w:val="32"/>
        </w:rPr>
        <w:t>预决算信息公开情况：①按规定内容公开预算信息；②按规定时限公开预算信息；③基础数据信息和会计信息资料真实；④基础数据信息和会计信息资料完整；⑤基础数据信息和汇集信息资料准确；得分1分。</w:t>
      </w:r>
    </w:p>
    <w:p>
      <w:pPr>
        <w:spacing w:line="594" w:lineRule="exact"/>
        <w:ind w:firstLine="640" w:firstLineChars="200"/>
        <w:rPr>
          <w:rFonts w:ascii="方正仿宋_GBK" w:eastAsia="方正仿宋_GBK"/>
          <w:sz w:val="32"/>
          <w:szCs w:val="32"/>
        </w:rPr>
      </w:pPr>
      <w:r>
        <w:rPr>
          <w:rFonts w:hint="eastAsia" w:eastAsia="方正仿宋_GBK"/>
          <w:sz w:val="32"/>
          <w:szCs w:val="32"/>
        </w:rPr>
        <w:t>4</w:t>
      </w:r>
      <w:r>
        <w:rPr>
          <w:rFonts w:eastAsia="方正仿宋_GBK"/>
          <w:sz w:val="32"/>
          <w:szCs w:val="32"/>
        </w:rPr>
        <w:t>.</w:t>
      </w:r>
      <w:r>
        <w:rPr>
          <w:rFonts w:hint="eastAsia" w:ascii="方正仿宋_GBK" w:eastAsia="方正仿宋_GBK"/>
          <w:sz w:val="32"/>
          <w:szCs w:val="32"/>
        </w:rPr>
        <w:t>工程项目管理情况：达到限额标准的项目均按照要求通过招投标或竞争性比选程序实施；中标单位与实际施工单位一致，项目经理与合同指派一致，人员变更按合同要求取得建设单位同意；得分3分。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5.</w:t>
      </w:r>
      <w:r>
        <w:rPr>
          <w:rFonts w:hint="eastAsia" w:ascii="方正仿宋_GBK" w:eastAsia="方正仿宋_GBK"/>
        </w:rPr>
        <w:t xml:space="preserve"> </w:t>
      </w:r>
      <w:r>
        <w:rPr>
          <w:rFonts w:hint="eastAsia" w:ascii="方正仿宋_GBK" w:eastAsia="方正仿宋_GBK"/>
          <w:sz w:val="32"/>
          <w:szCs w:val="32"/>
        </w:rPr>
        <w:t>基础信息完善情况：①基础数据信息和会计信息资料真实；</w:t>
      </w:r>
    </w:p>
    <w:p>
      <w:pPr>
        <w:spacing w:line="594" w:lineRule="exact"/>
        <w:rPr>
          <w:rFonts w:ascii="方正仿宋_GBK" w:eastAsia="方正仿宋_GBK"/>
          <w:sz w:val="32"/>
          <w:szCs w:val="32"/>
        </w:rPr>
      </w:pPr>
      <w:r>
        <w:rPr>
          <w:rFonts w:hint="eastAsia" w:ascii="方正仿宋_GBK" w:eastAsia="方正仿宋_GBK"/>
          <w:sz w:val="32"/>
          <w:szCs w:val="32"/>
        </w:rPr>
        <w:t>②基础数据信息和会计信息资料完整；③基础数据信息和会计信息资料准确无误；得分1分。</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（五）、资产管理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1.</w:t>
      </w:r>
      <w:r>
        <w:rPr>
          <w:rFonts w:hint="eastAsia" w:ascii="方正仿宋_GBK" w:eastAsia="方正仿宋_GBK"/>
        </w:rPr>
        <w:t xml:space="preserve"> </w:t>
      </w:r>
      <w:r>
        <w:rPr>
          <w:rFonts w:hint="eastAsia" w:ascii="方正仿宋_GBK" w:eastAsia="方正仿宋_GBK"/>
          <w:sz w:val="32"/>
          <w:szCs w:val="32"/>
        </w:rPr>
        <w:t>管理制度健全情况：①根据中央、市、区对资产管理的要求，具有资产管理制度；②相关资金管理制度合法、合规、完整；③相关资产管理制度已得到有效执行；得分1.5分。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2.</w:t>
      </w:r>
      <w:r>
        <w:rPr>
          <w:rFonts w:hint="eastAsia" w:ascii="方正仿宋_GBK" w:eastAsia="方正仿宋_GBK"/>
        </w:rPr>
        <w:t xml:space="preserve"> </w:t>
      </w:r>
      <w:r>
        <w:rPr>
          <w:rFonts w:hint="eastAsia" w:ascii="方正仿宋_GBK" w:eastAsia="方正仿宋_GBK"/>
          <w:sz w:val="32"/>
          <w:szCs w:val="32"/>
        </w:rPr>
        <w:t>资产管理安全情况：①资产保存完整；②资产处置规范；</w:t>
      </w:r>
    </w:p>
    <w:p>
      <w:pPr>
        <w:spacing w:line="594" w:lineRule="exact"/>
        <w:rPr>
          <w:rFonts w:ascii="方正仿宋_GBK" w:eastAsia="方正仿宋_GBK"/>
          <w:sz w:val="32"/>
          <w:szCs w:val="32"/>
        </w:rPr>
      </w:pPr>
      <w:r>
        <w:rPr>
          <w:rFonts w:hint="eastAsia" w:ascii="方正仿宋_GBK" w:eastAsia="方正仿宋_GBK"/>
          <w:sz w:val="32"/>
          <w:szCs w:val="32"/>
        </w:rPr>
        <w:t>③资产账务管理合规且帐实相符；④资产有偿使用且处置收入及时足额上缴；得分2分。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rPr>
        <w:t xml:space="preserve"> </w:t>
      </w:r>
      <w:r>
        <w:rPr>
          <w:rFonts w:hint="eastAsia" w:ascii="方正仿宋_GBK" w:eastAsia="方正仿宋_GBK"/>
          <w:sz w:val="32"/>
          <w:szCs w:val="32"/>
        </w:rPr>
        <w:t>固定资产利用率=100% ；得分1分。</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（六）、职责履行</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1.流浪乞讨人员救助率为100%达到目标，流浪乞讨救助4211人次，救助金额496.98万元；得分6分。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2.社会救助（城镇定救、临救、低保）救助覆盖率100%达到目标，2019年累计保障低保对象99559户次、127790人次，发放低保金7605.26万元；特困人员救助供养4155人次，发放基本生活费和护理补贴439.35万元；临时救助3805人次，发放临时救助金1708.85万元；得分6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3.</w:t>
      </w:r>
      <w:r>
        <w:rPr>
          <w:rFonts w:hint="eastAsia" w:ascii="方正仿宋_GBK" w:eastAsia="方正仿宋_GBK"/>
        </w:rPr>
        <w:t xml:space="preserve"> </w:t>
      </w:r>
      <w:r>
        <w:rPr>
          <w:rFonts w:hint="eastAsia" w:ascii="方正仿宋_GBK" w:eastAsia="方正仿宋_GBK"/>
          <w:sz w:val="32"/>
          <w:szCs w:val="32"/>
        </w:rPr>
        <w:t>贫困残疾人生活补贴和重度残疾人护理补贴覆盖率达到100%，残疾人“两项补贴”发放52389人次，发放金额367.36万元；完成目标得6分。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4.</w:t>
      </w:r>
      <w:r>
        <w:rPr>
          <w:rFonts w:hint="eastAsia" w:ascii="方正仿宋_GBK" w:eastAsia="方正仿宋_GBK"/>
        </w:rPr>
        <w:t xml:space="preserve"> </w:t>
      </w:r>
      <w:r>
        <w:rPr>
          <w:rFonts w:hint="eastAsia" w:ascii="方正仿宋_GBK" w:eastAsia="方正仿宋_GBK"/>
          <w:sz w:val="32"/>
          <w:szCs w:val="32"/>
        </w:rPr>
        <w:t>创新试点智慧社区建设：2019年具体工作目标为完成2个智慧社区建设。目前，依托石油路街道“智慧社区综合信息平台”，已完成石油路街道石油路社区和石油路街道煤建新村社区2个智慧社区建设；完成指标任务，应得满分6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5.</w:t>
      </w:r>
      <w:r>
        <w:rPr>
          <w:rFonts w:hint="eastAsia" w:ascii="方正仿宋_GBK" w:eastAsia="方正仿宋_GBK"/>
        </w:rPr>
        <w:t xml:space="preserve"> </w:t>
      </w:r>
      <w:r>
        <w:rPr>
          <w:rFonts w:hint="eastAsia" w:ascii="方正仿宋_GBK" w:eastAsia="方正仿宋_GBK"/>
          <w:sz w:val="32"/>
          <w:szCs w:val="32"/>
        </w:rPr>
        <w:t>新增社会工作专业人才数量：2019年，我区通过全国社会工作者职业水平资格考试复审人员，共计102人（其中社会工作师19人、助理社会工作师83人），超额完成指标任务，应得满分6分。</w:t>
      </w:r>
    </w:p>
    <w:p>
      <w:pPr>
        <w:spacing w:line="595" w:lineRule="exact"/>
        <w:ind w:firstLine="640" w:firstLineChars="200"/>
        <w:rPr>
          <w:rFonts w:ascii="方正仿宋_GBK" w:eastAsia="方正仿宋_GBK"/>
          <w:sz w:val="32"/>
          <w:szCs w:val="32"/>
        </w:rPr>
      </w:pPr>
      <w:r>
        <w:rPr>
          <w:rFonts w:hint="eastAsia" w:ascii="方正仿宋_GBK" w:eastAsia="方正仿宋_GBK"/>
          <w:sz w:val="32"/>
          <w:szCs w:val="32"/>
        </w:rPr>
        <w:t>6.</w:t>
      </w:r>
      <w:r>
        <w:rPr>
          <w:rFonts w:hint="eastAsia" w:ascii="方正仿宋_GBK" w:eastAsia="方正仿宋_GBK"/>
        </w:rPr>
        <w:t xml:space="preserve"> </w:t>
      </w:r>
      <w:r>
        <w:rPr>
          <w:rFonts w:hint="eastAsia" w:ascii="方正仿宋_GBK" w:eastAsia="方正仿宋_GBK"/>
          <w:sz w:val="32"/>
          <w:szCs w:val="32"/>
        </w:rPr>
        <w:t>养老关怀应补尽补率100%，按照文件规定时间和金额按时发放各项养老关怀补贴，做到养老关怀应补尽补，圆满完成绩效目标任务。2019年，我区共发放长寿补贴41051人次、1831.25万元，助养补贴2275人、51.82万元，养老服务补贴2072人次、41.44万元，居家养老服务补贴7782人次、121.7379万元。项目绩效评价指标实现程度优良，自评分为6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7.</w:t>
      </w:r>
      <w:r>
        <w:rPr>
          <w:rFonts w:hint="eastAsia" w:ascii="方正仿宋_GBK" w:eastAsia="方正仿宋_GBK"/>
        </w:rPr>
        <w:t xml:space="preserve"> </w:t>
      </w:r>
      <w:r>
        <w:rPr>
          <w:rFonts w:hint="eastAsia" w:ascii="方正仿宋_GBK" w:eastAsia="方正仿宋_GBK"/>
          <w:sz w:val="32"/>
          <w:szCs w:val="32"/>
        </w:rPr>
        <w:t>养老机构补贴及时发放率：2019年，我区发放民办养老服务机构新办补助3家、总金额63.6万元，发放2018年第四季度至2019年第1-3季度民办养老服务机构运营补助240.34万元，养老服务从业人员培训7.4825万元。区民政局按季度对民办养老机构的入住老年人人数、信息档案、满意率、员工社保缴纳情况等进行综合审查，符合条件的，及时发放运营补助。2019年，实现民办养老机构补贴及时发放准确率100%，项目自评得分6分。</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（七）服务对象满意度</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1.社会救助（城镇定救、临救、低保）救助满意率：2019年实现社会救助政策100%全覆盖，保障了全区困难群体基本生活，没有因救助政策保障不到位造成的困难群众群体性上访事件，顺利完成了绩效评价目标任务；服务对象满意度9分。</w:t>
      </w:r>
    </w:p>
    <w:p>
      <w:pPr>
        <w:spacing w:line="594" w:lineRule="exact"/>
        <w:ind w:firstLine="640" w:firstLineChars="200"/>
        <w:rPr>
          <w:rFonts w:ascii="方正楷体_GBK" w:eastAsia="方正楷体_GBK"/>
          <w:sz w:val="32"/>
          <w:szCs w:val="32"/>
        </w:rPr>
      </w:pPr>
      <w:r>
        <w:rPr>
          <w:rFonts w:hint="eastAsia" w:ascii="方正楷体_GBK" w:eastAsia="方正楷体_GBK"/>
          <w:sz w:val="32"/>
          <w:szCs w:val="32"/>
        </w:rPr>
        <w:t>（八）社会效益</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1.保障城市特殊困难群体基本生活-实现两不愁（无因救助政策保障不到位造成的困难群众群体性上访事件）：2019年实现社会救助政策100%全覆盖，保障了全区困难群体基本生活，没有因救助政策保障不到位造成的困难群众群体性上访事件，顺利完成了绩效评价目标任务；社会效益自评9分。</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2.养老服务监督检查全覆盖：2019年，我局牵头对全区20家养老机构、46家养老服务站进行监督检查，</w:t>
      </w:r>
      <w:r>
        <w:rPr>
          <w:rFonts w:hint="eastAsia" w:ascii="方正仿宋_GBK" w:hAnsi="方正仿宋_GBK" w:eastAsia="方正仿宋_GBK" w:cs="方正仿宋_GBK"/>
          <w:sz w:val="32"/>
          <w:szCs w:val="32"/>
        </w:rPr>
        <w:t>对照《全国养老院服务质量大检查指南》的</w:t>
      </w:r>
      <w:r>
        <w:rPr>
          <w:rFonts w:hint="eastAsia" w:ascii="方正仿宋_GBK" w:eastAsia="方正仿宋_GBK"/>
          <w:color w:val="000000"/>
          <w:sz w:val="32"/>
          <w:szCs w:val="32"/>
        </w:rPr>
        <w:t>28项涉及养老机构运营服务的重大风险隐患指标，</w:t>
      </w:r>
      <w:r>
        <w:rPr>
          <w:rFonts w:hint="eastAsia" w:ascii="方正仿宋_GBK" w:hAnsi="方正仿宋_GBK" w:eastAsia="方正仿宋_GBK" w:cs="方正仿宋_GBK"/>
          <w:sz w:val="32"/>
          <w:szCs w:val="32"/>
        </w:rPr>
        <w:t>对辖区内养老机构</w:t>
      </w:r>
      <w:r>
        <w:rPr>
          <w:rFonts w:hint="eastAsia" w:ascii="方正仿宋_GBK" w:eastAsia="方正仿宋_GBK"/>
          <w:color w:val="000000"/>
          <w:sz w:val="32"/>
          <w:szCs w:val="32"/>
        </w:rPr>
        <w:t>进行逐一检查，共检查出涉及消防、食品、内部安保等方面的问题139个；区消防救援支队对全区养老服务机构开展消防安全检查，共发现火灾隐患46处；</w:t>
      </w:r>
      <w:r>
        <w:rPr>
          <w:rFonts w:hint="eastAsia" w:ascii="方正仿宋_GBK" w:eastAsia="方正仿宋_GBK"/>
          <w:sz w:val="32"/>
          <w:szCs w:val="32"/>
        </w:rPr>
        <w:t>区卫生健康委对医养结合机构医疗卫生服务开展质量检查，暂未发现不符合规范和要求的风险隐患</w:t>
      </w:r>
      <w:r>
        <w:rPr>
          <w:rFonts w:hint="eastAsia" w:ascii="方正仿宋_GBK" w:eastAsia="方正仿宋_GBK"/>
          <w:color w:val="000000"/>
          <w:sz w:val="32"/>
          <w:szCs w:val="32"/>
        </w:rPr>
        <w:t>。对检查出的问题建立台账，指导养老机构认真分析问题原因，加强整改跟踪督查。</w:t>
      </w:r>
      <w:r>
        <w:rPr>
          <w:rFonts w:hint="eastAsia" w:ascii="方正仿宋_GBK" w:eastAsia="方正仿宋_GBK"/>
          <w:sz w:val="32"/>
          <w:szCs w:val="32"/>
        </w:rPr>
        <w:t>实现全年养老服务监督检查全覆盖100%；项目自评得分9分。</w:t>
      </w:r>
    </w:p>
    <w:p>
      <w:pPr>
        <w:spacing w:line="594" w:lineRule="exact"/>
        <w:ind w:firstLine="640" w:firstLineChars="200"/>
        <w:rPr>
          <w:rFonts w:eastAsia="方正黑体_GBK"/>
          <w:sz w:val="32"/>
          <w:szCs w:val="32"/>
        </w:rPr>
      </w:pPr>
      <w:r>
        <w:rPr>
          <w:rFonts w:eastAsia="方正黑体_GBK"/>
          <w:sz w:val="32"/>
          <w:szCs w:val="32"/>
        </w:rPr>
        <w:t>四、项目资金和组织管理情况</w:t>
      </w:r>
    </w:p>
    <w:p>
      <w:pPr>
        <w:spacing w:line="594" w:lineRule="exact"/>
        <w:ind w:firstLine="640" w:firstLineChars="200"/>
        <w:rPr>
          <w:rFonts w:ascii="方正楷体_GBK" w:eastAsia="方正楷体_GBK"/>
          <w:sz w:val="32"/>
          <w:szCs w:val="32"/>
        </w:rPr>
      </w:pPr>
      <w:r>
        <w:rPr>
          <w:rFonts w:ascii="方正楷体_GBK" w:eastAsia="方正楷体_GBK"/>
          <w:sz w:val="32"/>
          <w:szCs w:val="32"/>
        </w:rPr>
        <w:t>（一）整体支出资金情况分析</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1.整体支出资金安排落实、总投入等情况分析。</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整体支出资金总投入15500万元。</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2.整体支出资金实际使用情况分析。</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整体支出资金总支出合计15500万元，结余8.54万元的福彩销售发行经费；区民政局严格执行预算支出，专款专用，总支出与总预算基本一致，障民政事业的正常发展。</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3.整体支出资金管理情况：本年度支出的所有资金均由县财政局国库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pPr>
        <w:spacing w:line="594" w:lineRule="exact"/>
        <w:ind w:firstLine="640" w:firstLineChars="200"/>
        <w:rPr>
          <w:rFonts w:ascii="方正楷体_GBK" w:eastAsia="方正楷体_GBK"/>
          <w:sz w:val="32"/>
          <w:szCs w:val="32"/>
        </w:rPr>
      </w:pPr>
      <w:r>
        <w:rPr>
          <w:rFonts w:ascii="方正楷体_GBK" w:eastAsia="方正楷体_GBK"/>
          <w:sz w:val="32"/>
          <w:szCs w:val="32"/>
        </w:rPr>
        <w:t>（二）整体支出组织情况分析</w:t>
      </w:r>
    </w:p>
    <w:p>
      <w:pPr>
        <w:spacing w:line="594" w:lineRule="exact"/>
        <w:ind w:firstLine="640" w:firstLineChars="200"/>
        <w:rPr>
          <w:rFonts w:ascii="方正仿宋_GBK" w:eastAsia="方正仿宋_GBK"/>
          <w:sz w:val="32"/>
          <w:szCs w:val="32"/>
        </w:rPr>
      </w:pPr>
      <w:r>
        <w:rPr>
          <w:rFonts w:ascii="方正仿宋_GBK" w:eastAsia="方正仿宋_GBK"/>
          <w:sz w:val="32"/>
          <w:szCs w:val="32"/>
        </w:rPr>
        <w:t>1.</w:t>
      </w:r>
      <w:r>
        <w:rPr>
          <w:rFonts w:hint="eastAsia" w:ascii="方正仿宋_GBK" w:eastAsia="方正仿宋_GBK"/>
          <w:sz w:val="32"/>
          <w:szCs w:val="32"/>
        </w:rPr>
        <w:t>整体支出管理情况</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为了搞好部门整体支出管理工作，区民政局取了以下措施：（1）加强对财政预算资金管理方面制度的学习培训，不断提高各职能科室的业务工作能力。（2）建立了机关整体支出管理方面的内控制度，并不断进行完善和修订。严格制度执行，特别是“三公”经费的预算控制。（3）加强对公务用车的管理，严格招待费用审核审批程序，“三公”经费较好地控制在预算范围之内。（4）专项经费支出上，做到了专款专用，按项目实施计划的进度情况进行资金拨付，无截留、无挪用等现象。</w:t>
      </w:r>
    </w:p>
    <w:p>
      <w:pPr>
        <w:spacing w:line="594" w:lineRule="exact"/>
        <w:ind w:firstLine="640" w:firstLineChars="200"/>
        <w:rPr>
          <w:rFonts w:eastAsia="方正仿宋_GBK"/>
          <w:sz w:val="32"/>
          <w:szCs w:val="32"/>
        </w:rPr>
      </w:pPr>
      <w:r>
        <w:rPr>
          <w:rFonts w:eastAsia="方正黑体_GBK"/>
          <w:sz w:val="32"/>
          <w:szCs w:val="32"/>
        </w:rPr>
        <w:t>五、主要经验及做法、存在的问题和建议</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1. 问题：预算绩效目标不够精细，对于目标设定需要分科室部门分解，汇总后制定整体目标。目标设定后如何科学设定考核评价标准，特别是对于不能量化的目标如何评价。</w:t>
      </w:r>
    </w:p>
    <w:p>
      <w:pPr>
        <w:spacing w:line="594" w:lineRule="exact"/>
        <w:ind w:firstLine="640" w:firstLineChars="200"/>
        <w:rPr>
          <w:rFonts w:ascii="方正仿宋_GBK" w:eastAsia="方正仿宋_GBK"/>
          <w:sz w:val="32"/>
          <w:szCs w:val="32"/>
        </w:rPr>
      </w:pPr>
      <w:r>
        <w:rPr>
          <w:rFonts w:hint="eastAsia" w:ascii="方正仿宋_GBK" w:eastAsia="方正仿宋_GBK"/>
          <w:sz w:val="32"/>
          <w:szCs w:val="32"/>
        </w:rPr>
        <w:t>2.改进措施：细化预算编制工作，学习如何科学合理制定绩效目标及考核体系，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r>
        <w:rPr>
          <w:rFonts w:hint="eastAsia" w:ascii="方正仿宋_GBK" w:hAnsi="仿宋" w:eastAsia="方正仿宋_GBK"/>
          <w:sz w:val="32"/>
          <w:szCs w:val="32"/>
          <w:lang w:val="en"/>
        </w:rPr>
        <w:t>加强单位财务管理，健全单位财务管理制度体系，规范单位财务行为。在费用报账支付时，按照预算规定的费用项目和用途进行资金使用审核、列报支付、财务核算，杜绝超支现象的发生。</w:t>
      </w:r>
      <w:r>
        <w:rPr>
          <w:rFonts w:hint="eastAsia" w:ascii="方正仿宋_GBK" w:eastAsia="方正仿宋_GBK"/>
          <w:sz w:val="32"/>
          <w:szCs w:val="32"/>
        </w:rPr>
        <w:t xml:space="preserve"> </w:t>
      </w:r>
    </w:p>
    <w:p>
      <w:pPr>
        <w:spacing w:line="594" w:lineRule="exact"/>
        <w:ind w:firstLine="640" w:firstLineChars="200"/>
        <w:rPr>
          <w:rFonts w:eastAsia="方正黑体_GBK"/>
          <w:sz w:val="32"/>
          <w:szCs w:val="32"/>
        </w:rPr>
      </w:pPr>
      <w:r>
        <w:rPr>
          <w:rFonts w:eastAsia="方正黑体_GBK"/>
          <w:sz w:val="32"/>
          <w:szCs w:val="32"/>
        </w:rPr>
        <w:t>六、其他需说明的问题</w:t>
      </w:r>
    </w:p>
    <w:p>
      <w:pPr>
        <w:spacing w:line="594" w:lineRule="exact"/>
        <w:ind w:firstLine="640" w:firstLineChars="200"/>
        <w:rPr>
          <w:rFonts w:eastAsia="方正仿宋_GBK"/>
          <w:sz w:val="32"/>
          <w:szCs w:val="32"/>
        </w:rPr>
      </w:pPr>
      <w:r>
        <w:rPr>
          <w:rFonts w:hint="eastAsia" w:eastAsia="方正仿宋_GBK"/>
          <w:sz w:val="32"/>
          <w:szCs w:val="32"/>
        </w:rPr>
        <w:t>无</w:t>
      </w:r>
    </w:p>
    <w:p>
      <w:pPr>
        <w:spacing w:line="594" w:lineRule="exact"/>
        <w:ind w:firstLine="640" w:firstLineChars="200"/>
        <w:rPr>
          <w:rFonts w:eastAsia="方正仿宋_GBK"/>
          <w:sz w:val="32"/>
          <w:szCs w:val="32"/>
        </w:rPr>
      </w:pPr>
    </w:p>
    <w:p>
      <w:pPr>
        <w:spacing w:line="594" w:lineRule="exact"/>
        <w:ind w:firstLine="640" w:firstLineChars="200"/>
        <w:rPr>
          <w:rFonts w:eastAsia="方正仿宋_GBK"/>
          <w:sz w:val="32"/>
          <w:szCs w:val="32"/>
        </w:rPr>
      </w:pPr>
    </w:p>
    <w:sectPr>
      <w:pgSz w:w="11906" w:h="16838"/>
      <w:pgMar w:top="1985" w:right="1418" w:bottom="164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U2YzAxZjkyNjNmZWNiZTIxMGYwMWUwYTk5ZDhmMDYifQ=="/>
  </w:docVars>
  <w:rsids>
    <w:rsidRoot w:val="00806865"/>
    <w:rsid w:val="000274FE"/>
    <w:rsid w:val="000575E2"/>
    <w:rsid w:val="000B7C11"/>
    <w:rsid w:val="002D0AC4"/>
    <w:rsid w:val="003265DF"/>
    <w:rsid w:val="00361288"/>
    <w:rsid w:val="00381982"/>
    <w:rsid w:val="003D0E9A"/>
    <w:rsid w:val="00425EE4"/>
    <w:rsid w:val="00435470"/>
    <w:rsid w:val="004444B4"/>
    <w:rsid w:val="00482C5C"/>
    <w:rsid w:val="004C4F1F"/>
    <w:rsid w:val="005604D0"/>
    <w:rsid w:val="005B6247"/>
    <w:rsid w:val="00602BAB"/>
    <w:rsid w:val="00603274"/>
    <w:rsid w:val="00604FEB"/>
    <w:rsid w:val="00714A4C"/>
    <w:rsid w:val="00725E01"/>
    <w:rsid w:val="00763C68"/>
    <w:rsid w:val="007A5F7B"/>
    <w:rsid w:val="007F4210"/>
    <w:rsid w:val="00806865"/>
    <w:rsid w:val="0085019B"/>
    <w:rsid w:val="00853299"/>
    <w:rsid w:val="009108DF"/>
    <w:rsid w:val="009505C4"/>
    <w:rsid w:val="00A27343"/>
    <w:rsid w:val="00A47A45"/>
    <w:rsid w:val="00AD6CF0"/>
    <w:rsid w:val="00AF31FE"/>
    <w:rsid w:val="00B36A94"/>
    <w:rsid w:val="00BB4627"/>
    <w:rsid w:val="00BC3295"/>
    <w:rsid w:val="00BF4AF5"/>
    <w:rsid w:val="00CF68E2"/>
    <w:rsid w:val="00D24EBB"/>
    <w:rsid w:val="00D468A7"/>
    <w:rsid w:val="00DA4963"/>
    <w:rsid w:val="00E73351"/>
    <w:rsid w:val="00E90F57"/>
    <w:rsid w:val="00EA28DC"/>
    <w:rsid w:val="00EA6849"/>
    <w:rsid w:val="00EF2A45"/>
    <w:rsid w:val="00F74DB4"/>
    <w:rsid w:val="00F90A6C"/>
    <w:rsid w:val="00F93438"/>
    <w:rsid w:val="00FB6A3D"/>
    <w:rsid w:val="00FC0DB5"/>
    <w:rsid w:val="00FD3503"/>
    <w:rsid w:val="57016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7">
    <w:name w:val="页眉 字符"/>
    <w:basedOn w:val="5"/>
    <w:link w:val="3"/>
    <w:uiPriority w:val="99"/>
    <w:rPr>
      <w:rFonts w:ascii="Times New Roman" w:hAnsi="Times New Roman" w:eastAsia="宋体" w:cs="Times New Roman"/>
      <w:sz w:val="18"/>
      <w:szCs w:val="18"/>
    </w:rPr>
  </w:style>
  <w:style w:type="character" w:customStyle="1" w:styleId="8">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663</Words>
  <Characters>3783</Characters>
  <Lines>31</Lines>
  <Paragraphs>8</Paragraphs>
  <TotalTime>3</TotalTime>
  <ScaleCrop>false</ScaleCrop>
  <LinksUpToDate>false</LinksUpToDate>
  <CharactersWithSpaces>4438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2020-04-20T08:29:00Z</dcterms:created>
  <dc:creator>Administrator</dc:creator>
  <cp:lastModifiedBy>那个她</cp:lastModifiedBy>
  <dcterms:modified xsi:type="dcterms:W3CDTF">2023-08-28T02:36:23Z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57E8341C11A7472CB7D812A4C0C012D5_12</vt:lpwstr>
  </property>
</Properties>
</file>