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widowControl w:val="0"/>
        <w:adjustRightInd w:val="0"/>
        <w:snapToGrid w:val="0"/>
        <w:spacing w:beforeAutospacing="0" w:afterAutospacing="0" w:line="596" w:lineRule="exact"/>
        <w:ind w:firstLine="883" w:firstLineChars="200"/>
        <w:jc w:val="center"/>
        <w:rPr>
          <w:rFonts w:ascii="Times New Roman" w:hAnsi="Times New Roman" w:eastAsia="方正小标宋_GBK"/>
          <w:b/>
          <w:bCs/>
          <w:sz w:val="44"/>
        </w:rPr>
      </w:pPr>
      <w:r>
        <w:rPr>
          <w:rFonts w:hint="eastAsia" w:ascii="Times New Roman" w:hAnsi="Times New Roman" w:eastAsia="方正小标宋_GBK"/>
          <w:b/>
          <w:bCs/>
          <w:sz w:val="44"/>
        </w:rPr>
        <w:t>重庆市渝中区民政事务服务中心</w:t>
      </w:r>
    </w:p>
    <w:p>
      <w:pPr>
        <w:pStyle w:val="10"/>
        <w:widowControl w:val="0"/>
        <w:adjustRightInd w:val="0"/>
        <w:snapToGrid w:val="0"/>
        <w:spacing w:beforeAutospacing="0" w:afterAutospacing="0" w:line="596" w:lineRule="exact"/>
        <w:ind w:firstLine="883" w:firstLineChars="200"/>
        <w:jc w:val="center"/>
        <w:rPr>
          <w:rFonts w:ascii="Times New Roman" w:hAnsi="Times New Roman" w:eastAsia="方正小标宋_GBK"/>
          <w:b/>
          <w:bCs/>
          <w:sz w:val="44"/>
        </w:rPr>
      </w:pPr>
      <w:r>
        <w:rPr>
          <w:rFonts w:ascii="Times New Roman" w:hAnsi="Times New Roman" w:eastAsia="方正小标宋_GBK"/>
          <w:b/>
          <w:bCs/>
          <w:sz w:val="44"/>
        </w:rPr>
        <w:t>2021</w:t>
      </w:r>
      <w:r>
        <w:rPr>
          <w:rFonts w:hint="eastAsia" w:ascii="Times New Roman" w:hAnsi="Times New Roman" w:eastAsia="方正小标宋_GBK"/>
          <w:b/>
          <w:bCs/>
          <w:sz w:val="44"/>
        </w:rPr>
        <w:t>年度部门决算情况说明</w:t>
      </w:r>
    </w:p>
    <w:p>
      <w:pPr>
        <w:pStyle w:val="25"/>
        <w:widowControl w:val="0"/>
        <w:spacing w:beforeAutospacing="0" w:line="596" w:lineRule="exact"/>
        <w:ind w:firstLine="480" w:firstLineChars="200"/>
        <w:rPr>
          <w:rFonts w:ascii="Times New Roman" w:hAnsi="Times New Roman"/>
        </w:rPr>
      </w:pPr>
      <w:r>
        <w:rPr>
          <w:rFonts w:ascii="Times New Roman" w:hAnsi="Times New Roman"/>
          <w:shd w:val="clear" w:color="auto" w:fill="FFFFFF"/>
        </w:rPr>
        <w:t xml:space="preserve"> </w:t>
      </w:r>
    </w:p>
    <w:p>
      <w:pPr>
        <w:widowControl w:val="0"/>
        <w:snapToGrid w:val="0"/>
        <w:spacing w:line="596" w:lineRule="exact"/>
        <w:ind w:firstLine="200"/>
        <w:jc w:val="both"/>
        <w:rPr>
          <w:rFonts w:ascii="Times New Roman" w:hAnsi="Times New Roman" w:eastAsia="黑体"/>
          <w:sz w:val="32"/>
          <w:szCs w:val="32"/>
        </w:rPr>
      </w:pPr>
      <w:r>
        <w:rPr>
          <w:rFonts w:hint="eastAsia" w:ascii="Times New Roman" w:hAnsi="Times New Roman" w:eastAsia="黑体"/>
          <w:sz w:val="32"/>
          <w:szCs w:val="32"/>
        </w:rPr>
        <w:t>一、部门基本情况</w:t>
      </w:r>
    </w:p>
    <w:p>
      <w:pPr>
        <w:widowControl w:val="0"/>
        <w:adjustRightInd w:val="0"/>
        <w:snapToGrid w:val="0"/>
        <w:spacing w:line="596" w:lineRule="exact"/>
        <w:ind w:firstLine="200"/>
        <w:jc w:val="both"/>
        <w:rPr>
          <w:rFonts w:ascii="Times New Roman" w:hAnsi="Times New Roman" w:eastAsia="方正楷体_GBK"/>
          <w:kern w:val="2"/>
          <w:sz w:val="32"/>
          <w:szCs w:val="32"/>
        </w:rPr>
      </w:pPr>
      <w:r>
        <w:rPr>
          <w:rFonts w:hint="eastAsia" w:ascii="Times New Roman" w:hAnsi="Times New Roman" w:eastAsia="方正楷体_GBK"/>
          <w:kern w:val="2"/>
          <w:sz w:val="32"/>
          <w:szCs w:val="32"/>
        </w:rPr>
        <w:t>（一）职能职责</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负责辖区婚姻登记和收养服务工作；负责做好殡葬改革和殡葬管理相关事务性工作；负责辖区居民最低生活保障、临时救助等社会救助工作及救助家庭经济状况核查认定的经办工作；负责辖区社团和民办非企业单位服务工作；负责辖区地名管理相关事务性工作；负责辖区社会工作服务和志愿服务相关工作；负责未成年人救助保护相关职责；完成上级交办的其他工作任务。</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（二）机构设置</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渝中区民政事务服务中心为渝中区民政局下属公益一类、正科级事业单位，设有婚姻登记办事大厅。</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（三）单位构成</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本单位为二级预算单位。</w:t>
      </w:r>
    </w:p>
    <w:p>
      <w:pPr>
        <w:pStyle w:val="25"/>
        <w:widowControl w:val="0"/>
        <w:spacing w:beforeAutospacing="0" w:afterAutospacing="0" w:line="596" w:lineRule="exact"/>
        <w:ind w:firstLine="200"/>
        <w:rPr>
          <w:rFonts w:ascii="Times New Roman" w:hAnsi="Times New Roman" w:eastAsia="黑体"/>
          <w:kern w:val="2"/>
          <w:sz w:val="32"/>
          <w:szCs w:val="32"/>
        </w:rPr>
      </w:pPr>
      <w:r>
        <w:rPr>
          <w:rFonts w:hint="eastAsia" w:ascii="Times New Roman" w:hAnsi="Times New Roman" w:eastAsia="黑体"/>
          <w:kern w:val="2"/>
          <w:sz w:val="32"/>
          <w:szCs w:val="32"/>
        </w:rPr>
        <w:t>二、部门决算情况说明</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（一）收入支出决算总体情况说明</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1.</w:t>
      </w:r>
      <w:r>
        <w:rPr>
          <w:rFonts w:hint="eastAsia" w:ascii="Times New Roman" w:hAnsi="Times New Roman" w:eastAsia="方正仿宋_GBK"/>
          <w:b/>
          <w:kern w:val="2"/>
          <w:sz w:val="32"/>
          <w:szCs w:val="32"/>
        </w:rPr>
        <w:t>总体情况。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年度收入总计</w:t>
      </w:r>
      <w:r>
        <w:rPr>
          <w:rFonts w:ascii="Times New Roman" w:hAnsi="Times New Roman" w:eastAsia="方正仿宋_GBK"/>
          <w:kern w:val="2"/>
          <w:sz w:val="32"/>
          <w:szCs w:val="32"/>
        </w:rPr>
        <w:t>204.30</w:t>
      </w:r>
      <w:r>
        <w:rPr>
          <w:rFonts w:hint="eastAsia" w:ascii="Times New Roman" w:hAnsi="Times New Roman" w:eastAsia="方正仿宋_GBK"/>
          <w:kern w:val="2"/>
          <w:sz w:val="32"/>
          <w:szCs w:val="32"/>
        </w:rPr>
        <w:t>万元，支出总计</w:t>
      </w:r>
      <w:r>
        <w:rPr>
          <w:rFonts w:ascii="Times New Roman" w:hAnsi="Times New Roman" w:eastAsia="方正仿宋_GBK"/>
          <w:kern w:val="2"/>
          <w:sz w:val="32"/>
          <w:szCs w:val="32"/>
        </w:rPr>
        <w:t>204.30</w:t>
      </w:r>
      <w:r>
        <w:rPr>
          <w:rFonts w:hint="eastAsia" w:ascii="Times New Roman" w:hAnsi="Times New Roman" w:eastAsia="方正仿宋_GBK"/>
          <w:kern w:val="2"/>
          <w:sz w:val="32"/>
          <w:szCs w:val="32"/>
        </w:rPr>
        <w:t>万元。收支较上年决算数增加</w:t>
      </w:r>
      <w:r>
        <w:rPr>
          <w:rFonts w:ascii="Times New Roman" w:hAnsi="Times New Roman" w:eastAsia="方正仿宋_GBK"/>
          <w:kern w:val="2"/>
          <w:sz w:val="32"/>
          <w:szCs w:val="32"/>
        </w:rPr>
        <w:t>51.29</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33.5%</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2.</w:t>
      </w:r>
      <w:r>
        <w:rPr>
          <w:rFonts w:hint="eastAsia" w:ascii="Times New Roman" w:hAnsi="Times New Roman" w:eastAsia="方正仿宋_GBK"/>
          <w:b/>
          <w:kern w:val="2"/>
          <w:sz w:val="32"/>
          <w:szCs w:val="32"/>
        </w:rPr>
        <w:t>收入情况。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年度收入合计</w:t>
      </w:r>
      <w:r>
        <w:rPr>
          <w:rFonts w:ascii="Times New Roman" w:hAnsi="Times New Roman" w:eastAsia="方正仿宋_GBK"/>
          <w:kern w:val="2"/>
          <w:sz w:val="32"/>
          <w:szCs w:val="32"/>
        </w:rPr>
        <w:t>203.69</w:t>
      </w:r>
      <w:r>
        <w:rPr>
          <w:rFonts w:hint="eastAsia" w:ascii="Times New Roman" w:hAnsi="Times New Roman" w:eastAsia="方正仿宋_GBK"/>
          <w:kern w:val="2"/>
          <w:sz w:val="32"/>
          <w:szCs w:val="32"/>
        </w:rPr>
        <w:t>万元，较上年决算数增加</w:t>
      </w:r>
      <w:r>
        <w:rPr>
          <w:rFonts w:ascii="Times New Roman" w:hAnsi="Times New Roman" w:eastAsia="方正仿宋_GBK"/>
          <w:kern w:val="2"/>
          <w:sz w:val="32"/>
          <w:szCs w:val="32"/>
        </w:rPr>
        <w:t>50.68</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33.1%</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年新招录事业单位工作人员，人员增加。其中：财政拨款收入</w:t>
      </w:r>
      <w:r>
        <w:rPr>
          <w:rFonts w:ascii="Times New Roman" w:hAnsi="Times New Roman" w:eastAsia="方正仿宋_GBK"/>
          <w:kern w:val="2"/>
          <w:sz w:val="32"/>
          <w:szCs w:val="32"/>
        </w:rPr>
        <w:t>203.69</w:t>
      </w:r>
      <w:r>
        <w:rPr>
          <w:rFonts w:hint="eastAsia" w:ascii="Times New Roman" w:hAnsi="Times New Roman" w:eastAsia="方正仿宋_GBK"/>
          <w:kern w:val="2"/>
          <w:sz w:val="32"/>
          <w:szCs w:val="32"/>
        </w:rPr>
        <w:t>万元，占</w:t>
      </w:r>
      <w:r>
        <w:rPr>
          <w:rFonts w:ascii="Times New Roman" w:hAnsi="Times New Roman" w:eastAsia="方正仿宋_GBK"/>
          <w:kern w:val="2"/>
          <w:sz w:val="32"/>
          <w:szCs w:val="32"/>
        </w:rPr>
        <w:t>100%</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3.</w:t>
      </w:r>
      <w:r>
        <w:rPr>
          <w:rFonts w:hint="eastAsia" w:ascii="Times New Roman" w:hAnsi="Times New Roman" w:eastAsia="方正仿宋_GBK"/>
          <w:b/>
          <w:kern w:val="2"/>
          <w:sz w:val="32"/>
          <w:szCs w:val="32"/>
        </w:rPr>
        <w:t>支出情况。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年度支出合计</w:t>
      </w:r>
      <w:r>
        <w:rPr>
          <w:rFonts w:ascii="Times New Roman" w:hAnsi="Times New Roman" w:eastAsia="方正仿宋_GBK"/>
          <w:kern w:val="2"/>
          <w:sz w:val="32"/>
          <w:szCs w:val="32"/>
        </w:rPr>
        <w:t>204.30</w:t>
      </w:r>
      <w:r>
        <w:rPr>
          <w:rFonts w:hint="eastAsia" w:ascii="Times New Roman" w:hAnsi="Times New Roman" w:eastAsia="方正仿宋_GBK"/>
          <w:kern w:val="2"/>
          <w:sz w:val="32"/>
          <w:szCs w:val="32"/>
        </w:rPr>
        <w:t>万元，较上年决算数增加</w:t>
      </w:r>
      <w:r>
        <w:rPr>
          <w:rFonts w:ascii="Times New Roman" w:hAnsi="Times New Roman" w:eastAsia="方正仿宋_GBK"/>
          <w:kern w:val="2"/>
          <w:sz w:val="32"/>
          <w:szCs w:val="32"/>
        </w:rPr>
        <w:t>51.89</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34%</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年新招录事业单位工作人员，人员增加。其中：基本支出</w:t>
      </w:r>
      <w:r>
        <w:rPr>
          <w:rFonts w:ascii="Times New Roman" w:hAnsi="Times New Roman" w:eastAsia="方正仿宋_GBK"/>
          <w:kern w:val="2"/>
          <w:sz w:val="32"/>
          <w:szCs w:val="32"/>
        </w:rPr>
        <w:t>123.69</w:t>
      </w:r>
      <w:r>
        <w:rPr>
          <w:rFonts w:hint="eastAsia" w:ascii="Times New Roman" w:hAnsi="Times New Roman" w:eastAsia="方正仿宋_GBK"/>
          <w:kern w:val="2"/>
          <w:sz w:val="32"/>
          <w:szCs w:val="32"/>
        </w:rPr>
        <w:t>万元，占</w:t>
      </w:r>
      <w:r>
        <w:rPr>
          <w:rFonts w:ascii="Times New Roman" w:hAnsi="Times New Roman" w:eastAsia="方正仿宋_GBK"/>
          <w:kern w:val="2"/>
          <w:sz w:val="32"/>
          <w:szCs w:val="32"/>
        </w:rPr>
        <w:t>60.5%</w:t>
      </w:r>
      <w:r>
        <w:rPr>
          <w:rFonts w:hint="eastAsia" w:ascii="Times New Roman" w:hAnsi="Times New Roman" w:eastAsia="方正仿宋_GBK"/>
          <w:kern w:val="2"/>
          <w:sz w:val="32"/>
          <w:szCs w:val="32"/>
        </w:rPr>
        <w:t>；项目支出</w:t>
      </w:r>
      <w:r>
        <w:rPr>
          <w:rFonts w:ascii="Times New Roman" w:hAnsi="Times New Roman" w:eastAsia="方正仿宋_GBK"/>
          <w:kern w:val="2"/>
          <w:sz w:val="32"/>
          <w:szCs w:val="32"/>
        </w:rPr>
        <w:t>80.60</w:t>
      </w:r>
      <w:r>
        <w:rPr>
          <w:rFonts w:hint="eastAsia" w:ascii="Times New Roman" w:hAnsi="Times New Roman" w:eastAsia="方正仿宋_GBK"/>
          <w:kern w:val="2"/>
          <w:sz w:val="32"/>
          <w:szCs w:val="32"/>
        </w:rPr>
        <w:t>万元，占</w:t>
      </w:r>
      <w:r>
        <w:rPr>
          <w:rFonts w:ascii="Times New Roman" w:hAnsi="Times New Roman" w:eastAsia="方正仿宋_GBK"/>
          <w:kern w:val="2"/>
          <w:sz w:val="32"/>
          <w:szCs w:val="32"/>
        </w:rPr>
        <w:t>39.5%</w:t>
      </w:r>
      <w:r>
        <w:rPr>
          <w:rFonts w:hint="eastAsia" w:ascii="Times New Roman" w:hAnsi="Times New Roman" w:eastAsia="方正仿宋_GBK"/>
          <w:kern w:val="2"/>
          <w:sz w:val="32"/>
          <w:szCs w:val="32"/>
        </w:rPr>
        <w:t>。</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 4.</w:t>
      </w:r>
      <w:r>
        <w:rPr>
          <w:rFonts w:hint="eastAsia" w:ascii="Times New Roman" w:hAnsi="Times New Roman" w:eastAsia="方正仿宋_GBK"/>
          <w:b/>
          <w:kern w:val="2"/>
          <w:sz w:val="32"/>
          <w:szCs w:val="32"/>
        </w:rPr>
        <w:t>结转结余情况。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年度年末结转和结余</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万元，较上年决算数减少</w:t>
      </w:r>
      <w:r>
        <w:rPr>
          <w:rFonts w:ascii="Times New Roman" w:hAnsi="Times New Roman" w:eastAsia="方正仿宋_GBK"/>
          <w:kern w:val="2"/>
          <w:sz w:val="32"/>
          <w:szCs w:val="32"/>
        </w:rPr>
        <w:t>0.60</w:t>
      </w:r>
      <w:r>
        <w:rPr>
          <w:rFonts w:hint="eastAsia" w:ascii="Times New Roman" w:hAnsi="Times New Roman" w:eastAsia="方正仿宋_GBK"/>
          <w:kern w:val="2"/>
          <w:sz w:val="32"/>
          <w:szCs w:val="32"/>
        </w:rPr>
        <w:t>万元，下降</w:t>
      </w:r>
      <w:r>
        <w:rPr>
          <w:rFonts w:ascii="Times New Roman" w:hAnsi="Times New Roman" w:eastAsia="方正仿宋_GBK"/>
          <w:kern w:val="2"/>
          <w:sz w:val="32"/>
          <w:szCs w:val="32"/>
        </w:rPr>
        <w:t>100%</w:t>
      </w:r>
      <w:r>
        <w:rPr>
          <w:rFonts w:hint="eastAsia" w:ascii="Times New Roman" w:hAnsi="Times New Roman" w:eastAsia="方正仿宋_GBK"/>
          <w:kern w:val="2"/>
          <w:sz w:val="32"/>
          <w:szCs w:val="32"/>
        </w:rPr>
        <w:t>，主要原因是本年度不存在一般公共预算财政拨款结余。</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（二）财政拨款收入支出决算总体情况说明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年度财政拨款收、支总计</w:t>
      </w:r>
      <w:r>
        <w:rPr>
          <w:rFonts w:ascii="Times New Roman" w:hAnsi="Times New Roman" w:eastAsia="方正仿宋_GBK"/>
          <w:kern w:val="2"/>
          <w:sz w:val="32"/>
          <w:szCs w:val="32"/>
        </w:rPr>
        <w:t>204.30</w:t>
      </w:r>
      <w:r>
        <w:rPr>
          <w:rFonts w:hint="eastAsia" w:ascii="Times New Roman" w:hAnsi="Times New Roman" w:eastAsia="方正仿宋_GBK"/>
          <w:kern w:val="2"/>
          <w:sz w:val="32"/>
          <w:szCs w:val="32"/>
        </w:rPr>
        <w:t>万元。与</w:t>
      </w:r>
      <w:r>
        <w:rPr>
          <w:rFonts w:ascii="Times New Roman" w:hAnsi="Times New Roman" w:eastAsia="方正仿宋_GBK"/>
          <w:kern w:val="2"/>
          <w:sz w:val="32"/>
          <w:szCs w:val="32"/>
        </w:rPr>
        <w:t>2020</w:t>
      </w:r>
      <w:r>
        <w:rPr>
          <w:rFonts w:hint="eastAsia" w:ascii="Times New Roman" w:hAnsi="Times New Roman" w:eastAsia="方正仿宋_GBK"/>
          <w:kern w:val="2"/>
          <w:sz w:val="32"/>
          <w:szCs w:val="32"/>
        </w:rPr>
        <w:t>年相比，财政拨款收、支总计各增加</w:t>
      </w:r>
      <w:r>
        <w:rPr>
          <w:rFonts w:ascii="Times New Roman" w:hAnsi="Times New Roman" w:eastAsia="方正仿宋_GBK"/>
          <w:kern w:val="2"/>
          <w:sz w:val="32"/>
          <w:szCs w:val="32"/>
        </w:rPr>
        <w:t>51.29</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33.5%</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（三）一般公共预算财政拨款支出决算情况说明</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1.</w:t>
      </w:r>
      <w:r>
        <w:rPr>
          <w:rFonts w:hint="eastAsia" w:ascii="Times New Roman" w:hAnsi="Times New Roman" w:eastAsia="方正仿宋_GBK"/>
          <w:b/>
          <w:kern w:val="2"/>
          <w:sz w:val="32"/>
          <w:szCs w:val="32"/>
        </w:rPr>
        <w:t>收入情况。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年度一般公共预算财政拨款收入</w:t>
      </w:r>
      <w:r>
        <w:rPr>
          <w:rFonts w:ascii="Times New Roman" w:hAnsi="Times New Roman" w:eastAsia="方正仿宋_GBK"/>
          <w:kern w:val="2"/>
          <w:sz w:val="32"/>
          <w:szCs w:val="32"/>
        </w:rPr>
        <w:t>203.69</w:t>
      </w:r>
      <w:r>
        <w:rPr>
          <w:rFonts w:hint="eastAsia" w:ascii="Times New Roman" w:hAnsi="Times New Roman" w:eastAsia="方正仿宋_GBK"/>
          <w:kern w:val="2"/>
          <w:sz w:val="32"/>
          <w:szCs w:val="32"/>
        </w:rPr>
        <w:t>万元，较上年决算数增加</w:t>
      </w:r>
      <w:r>
        <w:rPr>
          <w:rFonts w:ascii="Times New Roman" w:hAnsi="Times New Roman" w:eastAsia="方正仿宋_GBK"/>
          <w:kern w:val="2"/>
          <w:sz w:val="32"/>
          <w:szCs w:val="32"/>
        </w:rPr>
        <w:t>50.68</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33.1%</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年新招录事业单位工作人员，人员增加。较年初预算数增加</w:t>
      </w:r>
      <w:r>
        <w:rPr>
          <w:rFonts w:ascii="Times New Roman" w:hAnsi="Times New Roman" w:eastAsia="方正仿宋_GBK"/>
          <w:kern w:val="2"/>
          <w:sz w:val="32"/>
          <w:szCs w:val="32"/>
        </w:rPr>
        <w:t>23.48</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13%</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年新招录事业单位工作人员，人员增加。此外，年初财政拨款结转和结余</w:t>
      </w:r>
      <w:r>
        <w:rPr>
          <w:rFonts w:ascii="Times New Roman" w:hAnsi="Times New Roman" w:eastAsia="方正仿宋_GBK"/>
          <w:kern w:val="2"/>
          <w:sz w:val="32"/>
          <w:szCs w:val="32"/>
        </w:rPr>
        <w:t>0.60</w:t>
      </w:r>
      <w:r>
        <w:rPr>
          <w:rFonts w:hint="eastAsia" w:ascii="Times New Roman" w:hAnsi="Times New Roman" w:eastAsia="方正仿宋_GBK"/>
          <w:kern w:val="2"/>
          <w:sz w:val="32"/>
          <w:szCs w:val="32"/>
        </w:rPr>
        <w:t>万元。</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2.</w:t>
      </w:r>
      <w:r>
        <w:rPr>
          <w:rFonts w:hint="eastAsia" w:ascii="Times New Roman" w:hAnsi="Times New Roman" w:eastAsia="方正仿宋_GBK"/>
          <w:b/>
          <w:kern w:val="2"/>
          <w:sz w:val="32"/>
          <w:szCs w:val="32"/>
        </w:rPr>
        <w:t>支出情况。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年度一般公共预算财政拨款支出</w:t>
      </w:r>
      <w:r>
        <w:rPr>
          <w:rFonts w:ascii="Times New Roman" w:hAnsi="Times New Roman" w:eastAsia="方正仿宋_GBK"/>
          <w:kern w:val="2"/>
          <w:sz w:val="32"/>
          <w:szCs w:val="32"/>
        </w:rPr>
        <w:t>204.30</w:t>
      </w:r>
      <w:r>
        <w:rPr>
          <w:rFonts w:hint="eastAsia" w:ascii="Times New Roman" w:hAnsi="Times New Roman" w:eastAsia="方正仿宋_GBK"/>
          <w:kern w:val="2"/>
          <w:sz w:val="32"/>
          <w:szCs w:val="32"/>
        </w:rPr>
        <w:t>万元，较上年决算数增加</w:t>
      </w:r>
      <w:r>
        <w:rPr>
          <w:rFonts w:ascii="Times New Roman" w:hAnsi="Times New Roman" w:eastAsia="方正仿宋_GBK"/>
          <w:kern w:val="2"/>
          <w:sz w:val="32"/>
          <w:szCs w:val="32"/>
        </w:rPr>
        <w:t>51.89</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34%</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年新招录事业单位工作人员，人员增加。较年初预算数增加</w:t>
      </w:r>
      <w:r>
        <w:rPr>
          <w:rFonts w:ascii="Times New Roman" w:hAnsi="Times New Roman" w:eastAsia="方正仿宋_GBK"/>
          <w:kern w:val="2"/>
          <w:sz w:val="32"/>
          <w:szCs w:val="32"/>
        </w:rPr>
        <w:t>24.09</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13.4%</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r>
        <w:rPr>
          <w:rFonts w:ascii="Times New Roman" w:hAnsi="Times New Roman" w:eastAsia="方正仿宋_GBK"/>
          <w:kern w:val="2"/>
          <w:sz w:val="32"/>
          <w:szCs w:val="32"/>
        </w:rPr>
        <w:t xml:space="preserve">  </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3.</w:t>
      </w:r>
      <w:r>
        <w:rPr>
          <w:rFonts w:hint="eastAsia" w:ascii="Times New Roman" w:hAnsi="Times New Roman" w:eastAsia="方正仿宋_GBK"/>
          <w:b/>
          <w:kern w:val="2"/>
          <w:sz w:val="32"/>
          <w:szCs w:val="32"/>
        </w:rPr>
        <w:t>结转结余情况。</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年度年末一般公共预算财政拨款结转和结余</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万元，较上年决算数减少</w:t>
      </w:r>
      <w:r>
        <w:rPr>
          <w:rFonts w:ascii="Times New Roman" w:hAnsi="Times New Roman" w:eastAsia="方正仿宋_GBK"/>
          <w:kern w:val="2"/>
          <w:sz w:val="32"/>
          <w:szCs w:val="32"/>
        </w:rPr>
        <w:t>0.60</w:t>
      </w:r>
      <w:r>
        <w:rPr>
          <w:rFonts w:hint="eastAsia" w:ascii="Times New Roman" w:hAnsi="Times New Roman" w:eastAsia="方正仿宋_GBK"/>
          <w:kern w:val="2"/>
          <w:sz w:val="32"/>
          <w:szCs w:val="32"/>
        </w:rPr>
        <w:t>万元，下降</w:t>
      </w:r>
      <w:r>
        <w:rPr>
          <w:rFonts w:ascii="Times New Roman" w:hAnsi="Times New Roman" w:eastAsia="方正仿宋_GBK"/>
          <w:kern w:val="2"/>
          <w:sz w:val="32"/>
          <w:szCs w:val="32"/>
        </w:rPr>
        <w:t>100%</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ascii="Times New Roman" w:hAnsi="Times New Roman" w:eastAsia="方正仿宋_GBK"/>
          <w:b/>
          <w:kern w:val="2"/>
          <w:sz w:val="32"/>
          <w:szCs w:val="32"/>
        </w:rPr>
        <w:t>4.</w:t>
      </w:r>
      <w:r>
        <w:rPr>
          <w:rFonts w:hint="eastAsia" w:ascii="Times New Roman" w:hAnsi="Times New Roman" w:eastAsia="方正仿宋_GBK"/>
          <w:b/>
          <w:kern w:val="2"/>
          <w:sz w:val="32"/>
          <w:szCs w:val="32"/>
        </w:rPr>
        <w:t>比较情况。</w:t>
      </w:r>
      <w:r>
        <w:rPr>
          <w:rFonts w:hint="eastAsia" w:ascii="Times New Roman" w:hAnsi="Times New Roman" w:eastAsia="方正仿宋_GBK"/>
          <w:kern w:val="2"/>
          <w:sz w:val="32"/>
          <w:szCs w:val="32"/>
        </w:rPr>
        <w:t>本部门</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年度一般公共预算财政拨款支出主要用于以下几个方面：</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1</w:t>
      </w:r>
      <w:r>
        <w:rPr>
          <w:rFonts w:hint="eastAsia" w:ascii="Times New Roman" w:hAnsi="Times New Roman" w:eastAsia="方正仿宋_GBK"/>
          <w:kern w:val="2"/>
          <w:sz w:val="32"/>
          <w:szCs w:val="32"/>
        </w:rPr>
        <w:t>）社会保障</w:t>
      </w:r>
      <w:r>
        <w:rPr>
          <w:rFonts w:hint="eastAsia" w:ascii="Times New Roman" w:hAnsi="Times New Roman" w:eastAsia="方正仿宋_GBK"/>
          <w:kern w:val="2"/>
          <w:sz w:val="32"/>
          <w:szCs w:val="32"/>
          <w:lang w:val="en-US" w:eastAsia="zh-CN"/>
        </w:rPr>
        <w:t>和</w:t>
      </w:r>
      <w:bookmarkStart w:id="0" w:name="_GoBack"/>
      <w:bookmarkEnd w:id="0"/>
      <w:r>
        <w:rPr>
          <w:rFonts w:hint="eastAsia" w:ascii="Times New Roman" w:hAnsi="Times New Roman" w:eastAsia="方正仿宋_GBK"/>
          <w:kern w:val="2"/>
          <w:sz w:val="32"/>
          <w:szCs w:val="32"/>
        </w:rPr>
        <w:t>就业支出</w:t>
      </w:r>
      <w:r>
        <w:rPr>
          <w:rFonts w:ascii="Times New Roman" w:hAnsi="Times New Roman" w:eastAsia="方正仿宋_GBK"/>
          <w:kern w:val="2"/>
          <w:sz w:val="32"/>
          <w:szCs w:val="32"/>
        </w:rPr>
        <w:t>174.40</w:t>
      </w:r>
      <w:r>
        <w:rPr>
          <w:rFonts w:hint="eastAsia" w:ascii="Times New Roman" w:hAnsi="Times New Roman" w:eastAsia="方正仿宋_GBK"/>
          <w:kern w:val="2"/>
          <w:sz w:val="32"/>
          <w:szCs w:val="32"/>
        </w:rPr>
        <w:t>万元，占</w:t>
      </w:r>
      <w:r>
        <w:rPr>
          <w:rFonts w:ascii="Times New Roman" w:hAnsi="Times New Roman" w:eastAsia="方正仿宋_GBK"/>
          <w:kern w:val="2"/>
          <w:sz w:val="32"/>
          <w:szCs w:val="32"/>
        </w:rPr>
        <w:t>85.4%</w:t>
      </w:r>
      <w:r>
        <w:rPr>
          <w:rFonts w:hint="eastAsia" w:ascii="Times New Roman" w:hAnsi="Times New Roman" w:eastAsia="方正仿宋_GBK"/>
          <w:kern w:val="2"/>
          <w:sz w:val="32"/>
          <w:szCs w:val="32"/>
        </w:rPr>
        <w:t>，较年初预算数增加</w:t>
      </w:r>
      <w:r>
        <w:rPr>
          <w:rFonts w:ascii="Times New Roman" w:hAnsi="Times New Roman" w:eastAsia="方正仿宋_GBK"/>
          <w:kern w:val="2"/>
          <w:sz w:val="32"/>
          <w:szCs w:val="32"/>
        </w:rPr>
        <w:t>4.56</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2.7%</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2</w:t>
      </w:r>
      <w:r>
        <w:rPr>
          <w:rFonts w:hint="eastAsia" w:ascii="Times New Roman" w:hAnsi="Times New Roman" w:eastAsia="方正仿宋_GBK"/>
          <w:kern w:val="2"/>
          <w:sz w:val="32"/>
          <w:szCs w:val="32"/>
        </w:rPr>
        <w:t>）卫生健康支出</w:t>
      </w:r>
      <w:r>
        <w:rPr>
          <w:rFonts w:ascii="Times New Roman" w:hAnsi="Times New Roman" w:eastAsia="方正仿宋_GBK"/>
          <w:kern w:val="2"/>
          <w:sz w:val="32"/>
          <w:szCs w:val="32"/>
        </w:rPr>
        <w:t>4.40</w:t>
      </w:r>
      <w:r>
        <w:rPr>
          <w:rFonts w:hint="eastAsia" w:ascii="Times New Roman" w:hAnsi="Times New Roman" w:eastAsia="方正仿宋_GBK"/>
          <w:kern w:val="2"/>
          <w:sz w:val="32"/>
          <w:szCs w:val="32"/>
        </w:rPr>
        <w:t>万元，占</w:t>
      </w:r>
      <w:r>
        <w:rPr>
          <w:rFonts w:ascii="Times New Roman" w:hAnsi="Times New Roman" w:eastAsia="方正仿宋_GBK"/>
          <w:kern w:val="2"/>
          <w:sz w:val="32"/>
          <w:szCs w:val="32"/>
        </w:rPr>
        <w:t>2.2%</w:t>
      </w:r>
      <w:r>
        <w:rPr>
          <w:rFonts w:hint="eastAsia" w:ascii="Times New Roman" w:hAnsi="Times New Roman" w:eastAsia="方正仿宋_GBK"/>
          <w:kern w:val="2"/>
          <w:sz w:val="32"/>
          <w:szCs w:val="32"/>
        </w:rPr>
        <w:t>，较年初预算数增加</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3</w:t>
      </w:r>
      <w:r>
        <w:rPr>
          <w:rFonts w:hint="eastAsia" w:ascii="Times New Roman" w:hAnsi="Times New Roman" w:eastAsia="方正仿宋_GBK"/>
          <w:kern w:val="2"/>
          <w:sz w:val="32"/>
          <w:szCs w:val="32"/>
        </w:rPr>
        <w:t>）住房保障支出</w:t>
      </w:r>
      <w:r>
        <w:rPr>
          <w:rFonts w:ascii="Times New Roman" w:hAnsi="Times New Roman" w:eastAsia="方正仿宋_GBK"/>
          <w:kern w:val="2"/>
          <w:sz w:val="32"/>
          <w:szCs w:val="32"/>
        </w:rPr>
        <w:t>25.49</w:t>
      </w:r>
      <w:r>
        <w:rPr>
          <w:rFonts w:hint="eastAsia" w:ascii="Times New Roman" w:hAnsi="Times New Roman" w:eastAsia="方正仿宋_GBK"/>
          <w:kern w:val="2"/>
          <w:sz w:val="32"/>
          <w:szCs w:val="32"/>
        </w:rPr>
        <w:t>万元，占</w:t>
      </w:r>
      <w:r>
        <w:rPr>
          <w:rFonts w:ascii="Times New Roman" w:hAnsi="Times New Roman" w:eastAsia="方正仿宋_GBK"/>
          <w:kern w:val="2"/>
          <w:sz w:val="32"/>
          <w:szCs w:val="32"/>
        </w:rPr>
        <w:t>12.5%</w:t>
      </w:r>
      <w:r>
        <w:rPr>
          <w:rFonts w:hint="eastAsia" w:ascii="Times New Roman" w:hAnsi="Times New Roman" w:eastAsia="方正仿宋_GBK"/>
          <w:kern w:val="2"/>
          <w:sz w:val="32"/>
          <w:szCs w:val="32"/>
        </w:rPr>
        <w:t>，较年初预算数增加</w:t>
      </w:r>
      <w:r>
        <w:rPr>
          <w:rFonts w:ascii="Times New Roman" w:hAnsi="Times New Roman" w:eastAsia="方正仿宋_GBK"/>
          <w:kern w:val="2"/>
          <w:sz w:val="32"/>
          <w:szCs w:val="32"/>
        </w:rPr>
        <w:t>19.52</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327%</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（四）一般公共预算财政拨款基本支出决算情况说明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年度一般公共财政拨款基本支出</w:t>
      </w:r>
      <w:r>
        <w:rPr>
          <w:rFonts w:ascii="Times New Roman" w:hAnsi="Times New Roman" w:eastAsia="方正仿宋_GBK"/>
          <w:kern w:val="2"/>
          <w:sz w:val="32"/>
          <w:szCs w:val="32"/>
        </w:rPr>
        <w:t>123.69</w:t>
      </w:r>
      <w:r>
        <w:rPr>
          <w:rFonts w:hint="eastAsia" w:ascii="Times New Roman" w:hAnsi="Times New Roman" w:eastAsia="方正仿宋_GBK"/>
          <w:kern w:val="2"/>
          <w:sz w:val="32"/>
          <w:szCs w:val="32"/>
        </w:rPr>
        <w:t>万元。其中：人员经费</w:t>
      </w:r>
      <w:r>
        <w:rPr>
          <w:rFonts w:ascii="Times New Roman" w:hAnsi="Times New Roman" w:eastAsia="方正仿宋_GBK"/>
          <w:kern w:val="2"/>
          <w:sz w:val="32"/>
          <w:szCs w:val="32"/>
        </w:rPr>
        <w:t>101.28</w:t>
      </w:r>
      <w:r>
        <w:rPr>
          <w:rFonts w:hint="eastAsia" w:ascii="Times New Roman" w:hAnsi="Times New Roman" w:eastAsia="方正仿宋_GBK"/>
          <w:kern w:val="2"/>
          <w:sz w:val="32"/>
          <w:szCs w:val="32"/>
        </w:rPr>
        <w:t>万元，较上年决算数增加</w:t>
      </w:r>
      <w:r>
        <w:rPr>
          <w:rFonts w:ascii="Times New Roman" w:hAnsi="Times New Roman" w:eastAsia="方正仿宋_GBK"/>
          <w:kern w:val="2"/>
          <w:sz w:val="32"/>
          <w:szCs w:val="32"/>
        </w:rPr>
        <w:t>36.64</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56.7%</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年新招录事业单位工作人员，人员增加。人员经费用途主要包括是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公用经费</w:t>
      </w:r>
      <w:r>
        <w:rPr>
          <w:rFonts w:ascii="Times New Roman" w:hAnsi="Times New Roman" w:eastAsia="方正仿宋_GBK"/>
          <w:kern w:val="2"/>
          <w:sz w:val="32"/>
          <w:szCs w:val="32"/>
        </w:rPr>
        <w:t>22.42</w:t>
      </w:r>
      <w:r>
        <w:rPr>
          <w:rFonts w:hint="eastAsia" w:ascii="Times New Roman" w:hAnsi="Times New Roman" w:eastAsia="方正仿宋_GBK"/>
          <w:kern w:val="2"/>
          <w:sz w:val="32"/>
          <w:szCs w:val="32"/>
        </w:rPr>
        <w:t>万元，较上年决算数增加</w:t>
      </w:r>
      <w:r>
        <w:rPr>
          <w:rFonts w:ascii="Times New Roman" w:hAnsi="Times New Roman" w:eastAsia="方正仿宋_GBK"/>
          <w:kern w:val="2"/>
          <w:sz w:val="32"/>
          <w:szCs w:val="32"/>
        </w:rPr>
        <w:t>11.77</w:t>
      </w:r>
      <w:r>
        <w:rPr>
          <w:rFonts w:hint="eastAsia" w:ascii="Times New Roman" w:hAnsi="Times New Roman" w:eastAsia="方正仿宋_GBK"/>
          <w:kern w:val="2"/>
          <w:sz w:val="32"/>
          <w:szCs w:val="32"/>
        </w:rPr>
        <w:t>万元，增长</w:t>
      </w:r>
      <w:r>
        <w:rPr>
          <w:rFonts w:ascii="Times New Roman" w:hAnsi="Times New Roman" w:eastAsia="方正仿宋_GBK"/>
          <w:kern w:val="2"/>
          <w:sz w:val="32"/>
          <w:szCs w:val="32"/>
        </w:rPr>
        <w:t>110.5%</w:t>
      </w:r>
      <w:r>
        <w:rPr>
          <w:rFonts w:hint="eastAsia" w:ascii="Times New Roman" w:hAnsi="Times New Roman" w:eastAsia="方正仿宋_GBK"/>
          <w:kern w:val="2"/>
          <w:sz w:val="32"/>
          <w:szCs w:val="32"/>
        </w:rPr>
        <w:t>，主要原因是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年新招录事业单位工作人员，人员增加。公用经费用途主要包括是</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年新招录事业单位工作人员，人员增加。</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（五）政府性基金预算收支决算情况说明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本部门</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年度无政府性基金预算财政拨款收支。较上年决算数和年初预算数持平。</w:t>
      </w:r>
    </w:p>
    <w:p>
      <w:pPr>
        <w:pStyle w:val="25"/>
        <w:widowControl w:val="0"/>
        <w:spacing w:beforeAutospacing="0" w:afterAutospacing="0" w:line="596" w:lineRule="exact"/>
        <w:ind w:firstLine="200"/>
        <w:rPr>
          <w:rFonts w:ascii="Times New Roman" w:hAnsi="Times New Roman" w:eastAsia="方正楷体_GBK"/>
          <w:kern w:val="2"/>
          <w:sz w:val="32"/>
          <w:szCs w:val="32"/>
        </w:rPr>
      </w:pPr>
      <w:r>
        <w:rPr>
          <w:rFonts w:hint="eastAsia" w:ascii="Times New Roman" w:hAnsi="Times New Roman" w:eastAsia="方正楷体_GBK"/>
          <w:kern w:val="2"/>
          <w:sz w:val="32"/>
          <w:szCs w:val="32"/>
        </w:rPr>
        <w:t>（六）国有资本经营预算财政拨款支出决算情况说明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本部门</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年度无国有资本经营预算财政拨款支出，较上年决算数和年初预算数持平。</w:t>
      </w:r>
    </w:p>
    <w:p>
      <w:pPr>
        <w:widowControl w:val="0"/>
        <w:snapToGrid w:val="0"/>
        <w:spacing w:line="596"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w:t>
      </w:r>
      <w:r>
        <w:rPr>
          <w:rFonts w:hint="eastAsia" w:ascii="Times New Roman" w:hAnsi="Times New Roman" w:eastAsia="黑体"/>
          <w:sz w:val="32"/>
          <w:szCs w:val="32"/>
        </w:rPr>
        <w:t>三公</w:t>
      </w:r>
      <w:r>
        <w:rPr>
          <w:rFonts w:ascii="Times New Roman" w:hAnsi="Times New Roman" w:eastAsia="黑体"/>
          <w:sz w:val="32"/>
          <w:szCs w:val="32"/>
        </w:rPr>
        <w:t>”</w:t>
      </w:r>
      <w:r>
        <w:rPr>
          <w:rFonts w:hint="eastAsia" w:ascii="Times New Roman" w:hAnsi="Times New Roman" w:eastAsia="黑体"/>
          <w:sz w:val="32"/>
          <w:szCs w:val="32"/>
        </w:rPr>
        <w:t>经费情况说明</w:t>
      </w:r>
    </w:p>
    <w:p>
      <w:pPr>
        <w:widowControl w:val="0"/>
        <w:adjustRightInd w:val="0"/>
        <w:snapToGrid w:val="0"/>
        <w:spacing w:line="596" w:lineRule="exact"/>
        <w:ind w:firstLine="200"/>
        <w:jc w:val="both"/>
        <w:rPr>
          <w:rFonts w:ascii="Times New Roman" w:hAnsi="Times New Roman" w:eastAsia="方正楷体_GBK"/>
          <w:kern w:val="2"/>
          <w:sz w:val="32"/>
          <w:szCs w:val="32"/>
        </w:rPr>
      </w:pPr>
      <w:r>
        <w:rPr>
          <w:rFonts w:hint="eastAsia" w:ascii="Times New Roman" w:hAnsi="Times New Roman" w:eastAsia="方正楷体_GBK"/>
          <w:kern w:val="2"/>
          <w:sz w:val="32"/>
          <w:szCs w:val="32"/>
        </w:rPr>
        <w:t>（一）</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三公</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经费支出总体情况说明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三公</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经费支出共计</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万元，主要原因是本单位</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年度未发生</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三公</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经费支出。</w:t>
      </w:r>
    </w:p>
    <w:p>
      <w:pPr>
        <w:widowControl w:val="0"/>
        <w:adjustRightInd w:val="0"/>
        <w:snapToGrid w:val="0"/>
        <w:spacing w:line="596" w:lineRule="exact"/>
        <w:ind w:firstLine="200"/>
        <w:jc w:val="both"/>
        <w:rPr>
          <w:rFonts w:ascii="Times New Roman" w:hAnsi="Times New Roman" w:eastAsia="方正楷体_GBK"/>
          <w:kern w:val="2"/>
          <w:sz w:val="32"/>
          <w:szCs w:val="32"/>
        </w:rPr>
      </w:pPr>
      <w:r>
        <w:rPr>
          <w:rFonts w:hint="eastAsia" w:ascii="Times New Roman" w:hAnsi="Times New Roman" w:eastAsia="方正楷体_GBK"/>
          <w:kern w:val="2"/>
          <w:sz w:val="32"/>
          <w:szCs w:val="32"/>
        </w:rPr>
        <w:t>（二）</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三公</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经费分项支出情况</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年度本单位因公出国（境）费用</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万元，费用支出较年初预算数及上年支出数持平，主要原因是本单位</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年度未发生因公出国（境）支出。</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公务车购置费</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万元，费用支出较年初预算数及上年支出数持平，主要原因是本单位</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年度未发生公务车购置费支出。</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公务车运行维护费</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万元，费用支出较年初预算数及上年支出数持平，主要原因是本单位</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年度未发生公务车运行维护费支出。</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公务接待费</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万元，费用支出较年初预算数及上年支出数持平，主要原因是本单位</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年度未发生公务接待费支出。</w:t>
      </w:r>
    </w:p>
    <w:p>
      <w:pPr>
        <w:widowControl w:val="0"/>
        <w:adjustRightInd w:val="0"/>
        <w:snapToGrid w:val="0"/>
        <w:spacing w:line="596" w:lineRule="exact"/>
        <w:ind w:firstLine="200"/>
        <w:jc w:val="both"/>
        <w:rPr>
          <w:rFonts w:ascii="Times New Roman" w:hAnsi="Times New Roman" w:eastAsia="方正楷体_GBK"/>
          <w:kern w:val="2"/>
          <w:sz w:val="32"/>
          <w:szCs w:val="32"/>
        </w:rPr>
      </w:pPr>
      <w:r>
        <w:rPr>
          <w:rFonts w:hint="eastAsia" w:ascii="Times New Roman" w:hAnsi="Times New Roman" w:eastAsia="方正楷体_GBK"/>
          <w:kern w:val="2"/>
          <w:sz w:val="32"/>
          <w:szCs w:val="32"/>
        </w:rPr>
        <w:t>（三）</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三公</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经费实物量情况</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年度本部门因公出国（境）共计</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个团组，</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人；公务用车购置</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辆，公务车保有量为</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辆；国内公务接待</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批次</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人，其中：国内外事接待</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批次，</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人；国（境）外公务接待</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批次，</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人。</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年本部门人均接待费</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元，车均购置费</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万元，车均维护费</w:t>
      </w:r>
      <w:r>
        <w:rPr>
          <w:rFonts w:ascii="Times New Roman" w:hAnsi="Times New Roman" w:eastAsia="方正仿宋_GBK"/>
          <w:kern w:val="2"/>
          <w:sz w:val="32"/>
          <w:szCs w:val="32"/>
        </w:rPr>
        <w:t>0.00</w:t>
      </w:r>
      <w:r>
        <w:rPr>
          <w:rFonts w:hint="eastAsia" w:ascii="Times New Roman" w:hAnsi="Times New Roman" w:eastAsia="方正仿宋_GBK"/>
          <w:kern w:val="2"/>
          <w:sz w:val="32"/>
          <w:szCs w:val="32"/>
        </w:rPr>
        <w:t>万元。</w:t>
      </w:r>
    </w:p>
    <w:p>
      <w:pPr>
        <w:widowControl w:val="0"/>
        <w:snapToGrid w:val="0"/>
        <w:spacing w:line="596" w:lineRule="exact"/>
        <w:ind w:firstLine="200"/>
        <w:jc w:val="both"/>
        <w:rPr>
          <w:rFonts w:ascii="Times New Roman" w:hAnsi="Times New Roman" w:eastAsia="黑体"/>
          <w:sz w:val="32"/>
          <w:szCs w:val="32"/>
        </w:rPr>
      </w:pPr>
      <w:r>
        <w:rPr>
          <w:rFonts w:hint="eastAsia" w:ascii="Times New Roman" w:hAnsi="Times New Roman" w:eastAsia="黑体"/>
          <w:sz w:val="32"/>
          <w:szCs w:val="32"/>
        </w:rPr>
        <w:t>四、其他需要说明的事项</w:t>
      </w:r>
    </w:p>
    <w:p>
      <w:pPr>
        <w:widowControl w:val="0"/>
        <w:snapToGrid w:val="0"/>
        <w:spacing w:line="596" w:lineRule="exact"/>
        <w:ind w:firstLine="200"/>
        <w:jc w:val="both"/>
        <w:rPr>
          <w:rFonts w:ascii="Times New Roman" w:hAnsi="Times New Roman" w:eastAsia="方正楷体_GBK"/>
          <w:sz w:val="32"/>
          <w:szCs w:val="32"/>
        </w:rPr>
      </w:pPr>
      <w:r>
        <w:rPr>
          <w:rFonts w:hint="eastAsia" w:ascii="Times New Roman" w:hAnsi="Times New Roman" w:eastAsia="方正楷体_GBK"/>
          <w:bCs/>
          <w:sz w:val="32"/>
          <w:szCs w:val="32"/>
        </w:rPr>
        <w:t>（一）一般公共预算财政拨款会议费和培训费情况说明。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因工作安排，我单位今年未发生会议费和培训费。</w:t>
      </w:r>
    </w:p>
    <w:p>
      <w:pPr>
        <w:widowControl w:val="0"/>
        <w:snapToGrid w:val="0"/>
        <w:spacing w:line="596" w:lineRule="exact"/>
        <w:ind w:firstLine="200"/>
        <w:jc w:val="both"/>
        <w:rPr>
          <w:rFonts w:ascii="Times New Roman" w:hAnsi="Times New Roman" w:eastAsia="方正楷体_GBK"/>
          <w:sz w:val="32"/>
          <w:szCs w:val="32"/>
        </w:rPr>
      </w:pPr>
      <w:r>
        <w:rPr>
          <w:rFonts w:hint="eastAsia" w:ascii="Times New Roman" w:hAnsi="Times New Roman" w:eastAsia="方正楷体_GBK"/>
          <w:sz w:val="32"/>
          <w:szCs w:val="32"/>
        </w:rPr>
        <w:t>（二）机关运行经费情况说明。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按照部门决算列报口径，我单位不在机关运行经费统计范围之内。</w:t>
      </w:r>
    </w:p>
    <w:p>
      <w:pPr>
        <w:widowControl w:val="0"/>
        <w:snapToGrid w:val="0"/>
        <w:spacing w:line="596" w:lineRule="exact"/>
        <w:ind w:firstLine="200"/>
        <w:jc w:val="both"/>
        <w:rPr>
          <w:rFonts w:ascii="Times New Roman" w:hAnsi="Times New Roman" w:eastAsia="方正楷体_GBK"/>
          <w:bCs/>
          <w:sz w:val="32"/>
          <w:szCs w:val="32"/>
        </w:rPr>
      </w:pPr>
      <w:r>
        <w:rPr>
          <w:rFonts w:hint="eastAsia" w:ascii="Times New Roman" w:hAnsi="Times New Roman" w:eastAsia="方正楷体_GBK"/>
          <w:bCs/>
          <w:sz w:val="32"/>
          <w:szCs w:val="32"/>
        </w:rPr>
        <w:t>（三）国有资产占用情况说明。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截至</w:t>
      </w: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w:t>
      </w:r>
      <w:r>
        <w:rPr>
          <w:rFonts w:ascii="Times New Roman" w:hAnsi="Times New Roman" w:eastAsia="方正仿宋_GBK"/>
          <w:kern w:val="2"/>
          <w:sz w:val="32"/>
          <w:szCs w:val="32"/>
        </w:rPr>
        <w:t>12</w:t>
      </w:r>
      <w:r>
        <w:rPr>
          <w:rFonts w:hint="eastAsia" w:ascii="Times New Roman" w:hAnsi="Times New Roman" w:eastAsia="方正仿宋_GBK"/>
          <w:kern w:val="2"/>
          <w:sz w:val="32"/>
          <w:szCs w:val="32"/>
        </w:rPr>
        <w:t>月</w:t>
      </w:r>
      <w:r>
        <w:rPr>
          <w:rFonts w:ascii="Times New Roman" w:hAnsi="Times New Roman" w:eastAsia="方正仿宋_GBK"/>
          <w:kern w:val="2"/>
          <w:sz w:val="32"/>
          <w:szCs w:val="32"/>
        </w:rPr>
        <w:t>31</w:t>
      </w:r>
      <w:r>
        <w:rPr>
          <w:rFonts w:hint="eastAsia" w:ascii="Times New Roman" w:hAnsi="Times New Roman" w:eastAsia="方正仿宋_GBK"/>
          <w:kern w:val="2"/>
          <w:sz w:val="32"/>
          <w:szCs w:val="32"/>
        </w:rPr>
        <w:t>日，本部门共有车辆</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辆，其中，副部（省）级及以上领导用车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辆、主要领导干部用车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辆、机要通信用车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辆、应急保障用车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辆、执法执勤用车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辆，特种专业技术用车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辆，离退休干部用车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辆，其他用车</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辆，单价</w:t>
      </w:r>
      <w:r>
        <w:rPr>
          <w:rFonts w:ascii="Times New Roman" w:hAnsi="Times New Roman" w:eastAsia="方正仿宋_GBK"/>
          <w:kern w:val="2"/>
          <w:sz w:val="32"/>
          <w:szCs w:val="32"/>
        </w:rPr>
        <w:t>50</w:t>
      </w:r>
      <w:r>
        <w:rPr>
          <w:rFonts w:hint="eastAsia" w:ascii="Times New Roman" w:hAnsi="Times New Roman" w:eastAsia="方正仿宋_GBK"/>
          <w:kern w:val="2"/>
          <w:sz w:val="32"/>
          <w:szCs w:val="32"/>
        </w:rPr>
        <w:t>万元（含）以上通用设备</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台（套），单价</w:t>
      </w:r>
      <w:r>
        <w:rPr>
          <w:rFonts w:ascii="Times New Roman" w:hAnsi="Times New Roman" w:eastAsia="方正仿宋_GBK"/>
          <w:kern w:val="2"/>
          <w:sz w:val="32"/>
          <w:szCs w:val="32"/>
        </w:rPr>
        <w:t>100</w:t>
      </w:r>
      <w:r>
        <w:rPr>
          <w:rFonts w:hint="eastAsia" w:ascii="Times New Roman" w:hAnsi="Times New Roman" w:eastAsia="方正仿宋_GBK"/>
          <w:kern w:val="2"/>
          <w:sz w:val="32"/>
          <w:szCs w:val="32"/>
        </w:rPr>
        <w:t>万元（含）以上专用设备</w:t>
      </w:r>
      <w:r>
        <w:rPr>
          <w:rFonts w:ascii="Times New Roman" w:hAnsi="Times New Roman" w:eastAsia="方正仿宋_GBK"/>
          <w:kern w:val="2"/>
          <w:sz w:val="32"/>
          <w:szCs w:val="32"/>
        </w:rPr>
        <w:t>0</w:t>
      </w:r>
      <w:r>
        <w:rPr>
          <w:rFonts w:hint="eastAsia" w:ascii="Times New Roman" w:hAnsi="Times New Roman" w:eastAsia="方正仿宋_GBK"/>
          <w:kern w:val="2"/>
          <w:sz w:val="32"/>
          <w:szCs w:val="32"/>
        </w:rPr>
        <w:t>台（套）。</w:t>
      </w:r>
    </w:p>
    <w:p>
      <w:pPr>
        <w:widowControl w:val="0"/>
        <w:snapToGrid w:val="0"/>
        <w:spacing w:line="596" w:lineRule="exact"/>
        <w:ind w:firstLine="200"/>
        <w:jc w:val="both"/>
        <w:rPr>
          <w:rFonts w:ascii="Times New Roman" w:hAnsi="Times New Roman" w:eastAsia="方正楷体_GBK"/>
          <w:bCs/>
          <w:sz w:val="32"/>
          <w:szCs w:val="32"/>
        </w:rPr>
      </w:pPr>
      <w:r>
        <w:rPr>
          <w:rFonts w:hint="eastAsia" w:ascii="Times New Roman" w:hAnsi="Times New Roman" w:eastAsia="方正楷体_GBK"/>
          <w:b/>
          <w:bCs/>
          <w:sz w:val="32"/>
          <w:szCs w:val="32"/>
        </w:rPr>
        <w:t>（四）政府采购支出情况说明。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2021</w:t>
      </w:r>
      <w:r>
        <w:rPr>
          <w:rFonts w:hint="eastAsia" w:ascii="Times New Roman" w:hAnsi="Times New Roman" w:eastAsia="方正仿宋_GBK"/>
          <w:kern w:val="2"/>
          <w:sz w:val="32"/>
          <w:szCs w:val="32"/>
        </w:rPr>
        <w:t>年度我单位未发生政府采购事项，无相关经费支出。</w:t>
      </w:r>
    </w:p>
    <w:p>
      <w:pPr>
        <w:widowControl w:val="0"/>
        <w:snapToGrid w:val="0"/>
        <w:spacing w:line="596" w:lineRule="exact"/>
        <w:ind w:firstLine="200"/>
        <w:jc w:val="both"/>
        <w:rPr>
          <w:rFonts w:ascii="Times New Roman" w:hAnsi="Times New Roman" w:eastAsia="黑体"/>
          <w:sz w:val="32"/>
          <w:szCs w:val="32"/>
        </w:rPr>
      </w:pPr>
      <w:r>
        <w:rPr>
          <w:rFonts w:hint="eastAsia" w:ascii="Times New Roman" w:hAnsi="Times New Roman" w:eastAsia="黑体"/>
          <w:sz w:val="32"/>
          <w:szCs w:val="32"/>
        </w:rPr>
        <w:t>五、预算绩效管理情况说明</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没有安排项目资金，无绩效评价。</w:t>
      </w:r>
    </w:p>
    <w:p>
      <w:pPr>
        <w:widowControl w:val="0"/>
        <w:snapToGrid w:val="0"/>
        <w:spacing w:line="596" w:lineRule="exact"/>
        <w:ind w:firstLine="200"/>
        <w:jc w:val="both"/>
        <w:rPr>
          <w:rFonts w:ascii="Times New Roman" w:hAnsi="Times New Roman" w:eastAsia="黑体"/>
          <w:sz w:val="32"/>
          <w:szCs w:val="32"/>
        </w:rPr>
      </w:pPr>
      <w:r>
        <w:rPr>
          <w:rFonts w:hint="eastAsia" w:ascii="Times New Roman" w:hAnsi="Times New Roman" w:eastAsia="黑体"/>
          <w:sz w:val="32"/>
          <w:szCs w:val="32"/>
        </w:rPr>
        <w:t>六、专业名词解释</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（一）财政拨款收入：</w:t>
      </w:r>
      <w:r>
        <w:rPr>
          <w:rFonts w:hint="eastAsia" w:ascii="Times New Roman" w:hAnsi="Times New Roman" w:eastAsia="方正仿宋_GBK"/>
          <w:kern w:val="2"/>
          <w:sz w:val="32"/>
          <w:szCs w:val="32"/>
        </w:rPr>
        <w:t>指本年度从本级财政部门取得的财政拨款，包括一般公共预算财政拨款和政府性基金预算财政拨款。</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（二）事业收入：</w:t>
      </w:r>
      <w:r>
        <w:rPr>
          <w:rFonts w:hint="eastAsia" w:ascii="Times New Roman" w:hAnsi="Times New Roman" w:eastAsia="方正仿宋_GBK"/>
          <w:kern w:val="2"/>
          <w:sz w:val="32"/>
          <w:szCs w:val="32"/>
        </w:rPr>
        <w:t>指事业单位开展专业业务活动及其辅助活动取得的现金流入；事业单位收到的财政专户实际核拨的教育收费等资金在此反映。</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（三）经营收入：</w:t>
      </w:r>
      <w:r>
        <w:rPr>
          <w:rFonts w:hint="eastAsia" w:ascii="Times New Roman" w:hAnsi="Times New Roman" w:eastAsia="方正仿宋_GBK"/>
          <w:kern w:val="2"/>
          <w:sz w:val="32"/>
          <w:szCs w:val="32"/>
        </w:rPr>
        <w:t>指事业单位在专业业务活动及其辅助活动之外开展非独立核算经营活动取得的现金流入。</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（四）其他收入：</w:t>
      </w:r>
      <w:r>
        <w:rPr>
          <w:rFonts w:hint="eastAsia" w:ascii="Times New Roman" w:hAnsi="Times New Roman" w:eastAsia="方正仿宋_GBK"/>
          <w:kern w:val="2"/>
          <w:sz w:val="32"/>
          <w:szCs w:val="32"/>
        </w:rPr>
        <w:t>指单位取得的除</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财政拨款收入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事业收入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经营收入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（五）使用非财政拨款结余：</w:t>
      </w:r>
      <w:r>
        <w:rPr>
          <w:rFonts w:hint="eastAsia" w:ascii="Times New Roman" w:hAnsi="Times New Roman" w:eastAsia="方正仿宋_GBK"/>
          <w:kern w:val="2"/>
          <w:sz w:val="32"/>
          <w:szCs w:val="32"/>
        </w:rPr>
        <w:t>指单位在当年的</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财政拨款收入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事业收入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经营收入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其他收入</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等不足以安排当年支出的情况下，使用以前年度积累的非财政拨款结余弥补本年度收支缺口的资金。</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（六）年初结转和结余：</w:t>
      </w:r>
      <w:r>
        <w:rPr>
          <w:rFonts w:hint="eastAsia" w:ascii="Times New Roman" w:hAnsi="Times New Roman" w:eastAsia="方正仿宋_GBK"/>
          <w:kern w:val="2"/>
          <w:sz w:val="32"/>
          <w:szCs w:val="32"/>
        </w:rPr>
        <w:t>指单位上年结转本年使用的基本支出结转、项目支出结转和结余、经营结余。</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（七）结余分配：</w:t>
      </w:r>
      <w:r>
        <w:rPr>
          <w:rFonts w:hint="eastAsia" w:ascii="Times New Roman" w:hAnsi="Times New Roman" w:eastAsia="方正仿宋_GBK"/>
          <w:kern w:val="2"/>
          <w:sz w:val="32"/>
          <w:szCs w:val="32"/>
        </w:rPr>
        <w:t>指单位按照国家有关规定，缴纳所得税、提取专用基金、转入非财政拨款结余等当年结余的分配情况。</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（八）年末结转和结余：</w:t>
      </w:r>
      <w:r>
        <w:rPr>
          <w:rFonts w:hint="eastAsia" w:ascii="Times New Roman" w:hAnsi="Times New Roman" w:eastAsia="方正仿宋_GBK"/>
          <w:kern w:val="2"/>
          <w:sz w:val="32"/>
          <w:szCs w:val="32"/>
        </w:rPr>
        <w:t>指单位结转下年的基本支出结转、项目支出结转和结余、经营结余。</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（九）基本支出：</w:t>
      </w:r>
      <w:r>
        <w:rPr>
          <w:rFonts w:hint="eastAsia" w:ascii="Times New Roman" w:hAnsi="Times New Roman" w:eastAsia="方正仿宋_GBK"/>
          <w:kern w:val="2"/>
          <w:sz w:val="32"/>
          <w:szCs w:val="32"/>
        </w:rPr>
        <w:t>指为保障机构正常运转、完成日常工作任务而发生的人员经费和公用经费。其中：人员经费指政府收支分类经济科目中的</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工资福利支出</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和</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对个人和家庭的补助</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；公用经费指政府收支分类经济科目中除</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工资福利支出</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和</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对个人和家庭的补助</w:t>
      </w:r>
      <w:r>
        <w:rPr>
          <w:rFonts w:ascii="Times New Roman" w:hAnsi="Times New Roman" w:eastAsia="方正仿宋_GBK"/>
          <w:kern w:val="2"/>
          <w:sz w:val="32"/>
          <w:szCs w:val="32"/>
        </w:rPr>
        <w:t>”</w:t>
      </w:r>
      <w:r>
        <w:rPr>
          <w:rFonts w:hint="eastAsia" w:ascii="Times New Roman" w:hAnsi="Times New Roman" w:eastAsia="方正仿宋_GBK"/>
          <w:kern w:val="2"/>
          <w:sz w:val="32"/>
          <w:szCs w:val="32"/>
        </w:rPr>
        <w:t>外的其他支出。</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（十）项目支出：</w:t>
      </w:r>
      <w:r>
        <w:rPr>
          <w:rFonts w:hint="eastAsia" w:ascii="Times New Roman" w:hAnsi="Times New Roman" w:eastAsia="方正仿宋_GBK"/>
          <w:kern w:val="2"/>
          <w:sz w:val="32"/>
          <w:szCs w:val="32"/>
        </w:rPr>
        <w:t>指在基本支出之外为完成特定行政任务和事业发展目标所发生的支出。</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（十一）经营支出：</w:t>
      </w:r>
      <w:r>
        <w:rPr>
          <w:rFonts w:hint="eastAsia" w:ascii="Times New Roman" w:hAnsi="Times New Roman" w:eastAsia="方正仿宋_GBK"/>
          <w:kern w:val="2"/>
          <w:sz w:val="32"/>
          <w:szCs w:val="32"/>
        </w:rPr>
        <w:t>指事业单位在专业业务活动及其辅助活动之外开展非独立核算经营活动发生的支出。</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（十二）</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三公</w:t>
      </w:r>
      <w:r>
        <w:rPr>
          <w:rFonts w:ascii="Times New Roman" w:hAnsi="Times New Roman" w:eastAsia="方正楷体_GBK"/>
          <w:kern w:val="2"/>
          <w:sz w:val="32"/>
          <w:szCs w:val="32"/>
        </w:rPr>
        <w:t>”</w:t>
      </w:r>
      <w:r>
        <w:rPr>
          <w:rFonts w:hint="eastAsia" w:ascii="Times New Roman" w:hAnsi="Times New Roman" w:eastAsia="方正楷体_GBK"/>
          <w:kern w:val="2"/>
          <w:sz w:val="32"/>
          <w:szCs w:val="32"/>
        </w:rPr>
        <w:t>经费：</w:t>
      </w:r>
      <w:r>
        <w:rPr>
          <w:rFonts w:hint="eastAsia" w:ascii="Times New Roman" w:hAnsi="Times New Roman" w:eastAsia="方正仿宋_GBK"/>
          <w:kern w:val="2"/>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（十三）机关运行经费：</w:t>
      </w:r>
      <w:r>
        <w:rPr>
          <w:rFonts w:hint="eastAsia" w:ascii="Times New Roman" w:hAnsi="Times New Roman" w:eastAsia="方正仿宋_GBK"/>
          <w:kern w:val="2"/>
          <w:sz w:val="32"/>
          <w:szCs w:val="32"/>
        </w:rPr>
        <w:t>为保障行政单位（含参照公务员法管理的事业单位）运行用于购买货物和服务等的各项公用经费，包括办公及印刷费、邮电费、差旅费、会议费、福利费、日常维护</w:t>
      </w:r>
      <w:r>
        <w:rPr>
          <w:rFonts w:ascii="Times New Roman" w:hAnsi="Times New Roman" w:eastAsia="方正仿宋_GBK"/>
          <w:kern w:val="2"/>
          <w:sz w:val="32"/>
          <w:szCs w:val="32"/>
        </w:rPr>
        <w:t xml:space="preserve"> </w:t>
      </w:r>
      <w:r>
        <w:rPr>
          <w:rFonts w:hint="eastAsia" w:ascii="Times New Roman" w:hAnsi="Times New Roman" w:eastAsia="方正仿宋_GBK"/>
          <w:kern w:val="2"/>
          <w:sz w:val="32"/>
          <w:szCs w:val="32"/>
        </w:rPr>
        <w:t>费、专用材料及一般设备购置费、办公用房水电费、办公用房取暖费、办公用房物业管理费、公务用车运行维护费以及其他费用。</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（十四）工资福利支出（支出经济分类科目类级）：</w:t>
      </w:r>
      <w:r>
        <w:rPr>
          <w:rFonts w:hint="eastAsia" w:ascii="Times New Roman" w:hAnsi="Times New Roman" w:eastAsia="方正仿宋_GBK"/>
          <w:kern w:val="2"/>
          <w:sz w:val="32"/>
          <w:szCs w:val="32"/>
        </w:rPr>
        <w:t>反映单位开支的在职职工和编制外长期聘用人员的各类劳动报酬，以及为上述人员缴纳的各项社会保险费等。</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（十五）商品和服务支出（支出经济分类科目类级）：</w:t>
      </w:r>
      <w:r>
        <w:rPr>
          <w:rFonts w:hint="eastAsia" w:ascii="Times New Roman" w:hAnsi="Times New Roman" w:eastAsia="方正仿宋_GBK"/>
          <w:kern w:val="2"/>
          <w:sz w:val="32"/>
          <w:szCs w:val="32"/>
        </w:rPr>
        <w:t>反映单位购买商品和服务的支出（不包括用于购置固定资产的支出、战略性和应急储备支出）。</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（十六）对个人和家庭的补助（支出经济分类科目类级）：</w:t>
      </w:r>
      <w:r>
        <w:rPr>
          <w:rFonts w:hint="eastAsia" w:ascii="Times New Roman" w:hAnsi="Times New Roman" w:eastAsia="方正仿宋_GBK"/>
          <w:kern w:val="2"/>
          <w:sz w:val="32"/>
          <w:szCs w:val="32"/>
        </w:rPr>
        <w:t>反映用于对个人和家庭的补助支出。</w:t>
      </w:r>
    </w:p>
    <w:p>
      <w:pPr>
        <w:pStyle w:val="25"/>
        <w:widowControl w:val="0"/>
        <w:spacing w:beforeAutospacing="0" w:afterAutospacing="0" w:line="596" w:lineRule="exact"/>
        <w:ind w:firstLine="200"/>
        <w:rPr>
          <w:rFonts w:ascii="Times New Roman" w:hAnsi="Times New Roman" w:eastAsia="方正仿宋_GBK"/>
          <w:kern w:val="2"/>
          <w:sz w:val="32"/>
          <w:szCs w:val="32"/>
        </w:rPr>
      </w:pPr>
      <w:r>
        <w:rPr>
          <w:rFonts w:hint="eastAsia" w:ascii="Times New Roman" w:hAnsi="Times New Roman" w:eastAsia="方正楷体_GBK"/>
          <w:kern w:val="2"/>
          <w:sz w:val="32"/>
          <w:szCs w:val="32"/>
        </w:rPr>
        <w:t>（十七）其他资本性支出（支出经济分类科目类级）：</w:t>
      </w:r>
      <w:r>
        <w:rPr>
          <w:rFonts w:hint="eastAsia" w:ascii="Times New Roman" w:hAnsi="Times New Roman" w:eastAsia="方正仿宋_GBK"/>
          <w:kern w:val="2"/>
          <w:sz w:val="32"/>
          <w:szCs w:val="32"/>
        </w:rPr>
        <w:t>反映非各级发展与改革部门集中安排的用于购置固定资产、战略性和应急性储备、土地和无形资产，以及构建基础设施、大型修缮和财政支持企业更新改造所发生的支出。</w:t>
      </w:r>
    </w:p>
    <w:p>
      <w:pPr>
        <w:widowControl w:val="0"/>
        <w:snapToGrid w:val="0"/>
        <w:spacing w:line="596" w:lineRule="exact"/>
        <w:ind w:firstLine="200"/>
        <w:jc w:val="both"/>
        <w:rPr>
          <w:rFonts w:ascii="Times New Roman" w:hAnsi="Times New Roman" w:eastAsia="黑体"/>
          <w:sz w:val="32"/>
          <w:szCs w:val="32"/>
        </w:rPr>
      </w:pPr>
      <w:r>
        <w:rPr>
          <w:rFonts w:hint="eastAsia" w:ascii="Times New Roman" w:hAnsi="Times New Roman" w:eastAsia="黑体"/>
          <w:sz w:val="32"/>
          <w:szCs w:val="32"/>
        </w:rPr>
        <w:t>七、决算公开联系方式及信息反馈渠道</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r>
        <w:rPr>
          <w:rFonts w:hint="eastAsia" w:ascii="Times New Roman" w:hAnsi="Times New Roman" w:eastAsia="方正仿宋_GBK"/>
          <w:kern w:val="2"/>
          <w:sz w:val="32"/>
          <w:szCs w:val="32"/>
        </w:rPr>
        <w:t>本单位决算公开信息反馈和联系方式：</w:t>
      </w:r>
      <w:r>
        <w:rPr>
          <w:rFonts w:ascii="Times New Roman" w:hAnsi="Times New Roman" w:eastAsia="方正仿宋_GBK"/>
          <w:kern w:val="2"/>
          <w:sz w:val="32"/>
          <w:szCs w:val="32"/>
        </w:rPr>
        <w:t>023-63837721</w:t>
      </w:r>
    </w:p>
    <w:p>
      <w:pPr>
        <w:pStyle w:val="25"/>
        <w:widowControl w:val="0"/>
        <w:spacing w:beforeAutospacing="0" w:afterAutospacing="0" w:line="596" w:lineRule="exact"/>
        <w:ind w:firstLine="640" w:firstLineChars="200"/>
        <w:rPr>
          <w:rFonts w:ascii="Times New Roman" w:hAnsi="Times New Roman" w:eastAsia="方正仿宋_GBK"/>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noPunctuationKerning w:val="1"/>
  <w:characterSpacingControl w:val="doNotCompress"/>
  <w:noLineBreaksAfter w:lang="zh-CN" w:val="$([{£¥·‘“〈《「『【〔〖〝﹙﹛﹝＄（．［｛￡￥"/>
  <w:noLineBreaksBefore w:lang="zh-CN" w:val="!%),.:;&gt;?]}¢¨°·ˇˉ―‖’”…‰′″›℃∶、。〃〉》」』】〕〗〞︶︺︾﹀﹄﹚﹜﹞！＂％＇），．：；？］｀｜｝～￠"/>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WE3NzIyZTdkZTU1NjZlNzAxNTc1YThjYzQwOGQ4MGUifQ=="/>
  </w:docVars>
  <w:rsids>
    <w:rsidRoot w:val="00F53B06"/>
    <w:rsid w:val="003C17C5"/>
    <w:rsid w:val="004C50F8"/>
    <w:rsid w:val="004C5525"/>
    <w:rsid w:val="007720FE"/>
    <w:rsid w:val="00863A8D"/>
    <w:rsid w:val="008B5CDC"/>
    <w:rsid w:val="008D7977"/>
    <w:rsid w:val="009C0909"/>
    <w:rsid w:val="00A1164D"/>
    <w:rsid w:val="00B54926"/>
    <w:rsid w:val="00B653F4"/>
    <w:rsid w:val="00CD0EF6"/>
    <w:rsid w:val="00E65E72"/>
    <w:rsid w:val="00F53B06"/>
    <w:rsid w:val="00F71561"/>
    <w:rsid w:val="01B46F20"/>
    <w:rsid w:val="0C5533EA"/>
    <w:rsid w:val="0D893900"/>
    <w:rsid w:val="21B15382"/>
    <w:rsid w:val="298A4EC2"/>
    <w:rsid w:val="2CB32E9D"/>
    <w:rsid w:val="32933B4B"/>
    <w:rsid w:val="35BF62AA"/>
    <w:rsid w:val="36A77E6F"/>
    <w:rsid w:val="3E8545E5"/>
    <w:rsid w:val="45B07457"/>
    <w:rsid w:val="47B14230"/>
    <w:rsid w:val="5CF171FC"/>
    <w:rsid w:val="6EE96CF3"/>
    <w:rsid w:val="74D54328"/>
    <w:rsid w:val="755359B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0" w:semiHidden="0" w:name="Table Grid" w:locked="1"/>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Times New Roman"/>
      <w:kern w:val="0"/>
      <w:sz w:val="24"/>
      <w:szCs w:val="24"/>
      <w:lang w:val="en-US" w:eastAsia="zh-CN" w:bidi="ar-SA"/>
    </w:rPr>
  </w:style>
  <w:style w:type="paragraph" w:styleId="3">
    <w:name w:val="heading 1"/>
    <w:basedOn w:val="1"/>
    <w:next w:val="1"/>
    <w:link w:val="14"/>
    <w:qFormat/>
    <w:uiPriority w:val="99"/>
    <w:pPr>
      <w:spacing w:beforeAutospacing="1" w:afterAutospacing="1"/>
      <w:outlineLvl w:val="0"/>
    </w:pPr>
    <w:rPr>
      <w:b/>
      <w:bCs/>
      <w:kern w:val="44"/>
      <w:sz w:val="48"/>
      <w:szCs w:val="48"/>
    </w:rPr>
  </w:style>
  <w:style w:type="paragraph" w:styleId="4">
    <w:name w:val="heading 2"/>
    <w:basedOn w:val="1"/>
    <w:next w:val="1"/>
    <w:link w:val="15"/>
    <w:qFormat/>
    <w:uiPriority w:val="99"/>
    <w:pPr>
      <w:spacing w:beforeAutospacing="1" w:afterAutospacing="1"/>
      <w:outlineLvl w:val="1"/>
    </w:pPr>
    <w:rPr>
      <w:b/>
      <w:bCs/>
      <w:sz w:val="36"/>
      <w:szCs w:val="36"/>
    </w:rPr>
  </w:style>
  <w:style w:type="paragraph" w:styleId="5">
    <w:name w:val="heading 3"/>
    <w:basedOn w:val="1"/>
    <w:next w:val="1"/>
    <w:link w:val="16"/>
    <w:qFormat/>
    <w:uiPriority w:val="99"/>
    <w:pPr>
      <w:spacing w:beforeAutospacing="1" w:afterAutospacing="1"/>
      <w:outlineLvl w:val="2"/>
    </w:pPr>
    <w:rPr>
      <w:b/>
      <w:bCs/>
      <w:sz w:val="27"/>
      <w:szCs w:val="27"/>
    </w:rPr>
  </w:style>
  <w:style w:type="paragraph" w:styleId="6">
    <w:name w:val="heading 4"/>
    <w:basedOn w:val="1"/>
    <w:next w:val="1"/>
    <w:link w:val="17"/>
    <w:qFormat/>
    <w:uiPriority w:val="99"/>
    <w:pPr>
      <w:spacing w:beforeAutospacing="1" w:afterAutospacing="1"/>
      <w:outlineLvl w:val="3"/>
    </w:pPr>
    <w:rPr>
      <w:b/>
      <w:bCs/>
    </w:rPr>
  </w:style>
  <w:style w:type="paragraph" w:styleId="7">
    <w:name w:val="heading 5"/>
    <w:basedOn w:val="1"/>
    <w:next w:val="1"/>
    <w:link w:val="18"/>
    <w:qFormat/>
    <w:uiPriority w:val="99"/>
    <w:pPr>
      <w:spacing w:beforeAutospacing="1" w:afterAutospacing="1"/>
      <w:outlineLvl w:val="4"/>
    </w:pPr>
    <w:rPr>
      <w:b/>
      <w:bCs/>
      <w:sz w:val="20"/>
      <w:szCs w:val="20"/>
    </w:rPr>
  </w:style>
  <w:style w:type="paragraph" w:styleId="8">
    <w:name w:val="heading 6"/>
    <w:basedOn w:val="1"/>
    <w:next w:val="1"/>
    <w:link w:val="19"/>
    <w:qFormat/>
    <w:uiPriority w:val="99"/>
    <w:pPr>
      <w:spacing w:beforeAutospacing="1" w:afterAutospacing="1"/>
      <w:outlineLvl w:val="5"/>
    </w:pPr>
    <w:rPr>
      <w:b/>
      <w:bCs/>
      <w:sz w:val="15"/>
      <w:szCs w:val="15"/>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0"/>
    <w:qFormat/>
    <w:uiPriority w:val="99"/>
    <w:pPr>
      <w:spacing w:after="120"/>
    </w:pPr>
  </w:style>
  <w:style w:type="paragraph" w:styleId="9">
    <w:name w:val="HTML Preformatted"/>
    <w:basedOn w:val="1"/>
    <w:link w:val="2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10">
    <w:name w:val="Normal (Web)"/>
    <w:basedOn w:val="1"/>
    <w:qFormat/>
    <w:uiPriority w:val="99"/>
    <w:pPr>
      <w:spacing w:beforeAutospacing="1" w:afterAutospacing="1"/>
    </w:pPr>
  </w:style>
  <w:style w:type="character" w:styleId="13">
    <w:name w:val="Strong"/>
    <w:basedOn w:val="12"/>
    <w:qFormat/>
    <w:uiPriority w:val="99"/>
    <w:rPr>
      <w:rFonts w:cs="Times New Roman"/>
      <w:b/>
    </w:rPr>
  </w:style>
  <w:style w:type="character" w:customStyle="1" w:styleId="14">
    <w:name w:val="Heading 1 Char"/>
    <w:basedOn w:val="12"/>
    <w:link w:val="3"/>
    <w:qFormat/>
    <w:uiPriority w:val="9"/>
    <w:rPr>
      <w:rFonts w:ascii="宋体" w:hAnsi="宋体"/>
      <w:b/>
      <w:bCs/>
      <w:kern w:val="44"/>
      <w:sz w:val="44"/>
      <w:szCs w:val="44"/>
    </w:rPr>
  </w:style>
  <w:style w:type="character" w:customStyle="1" w:styleId="15">
    <w:name w:val="Heading 2 Char"/>
    <w:basedOn w:val="12"/>
    <w:link w:val="4"/>
    <w:semiHidden/>
    <w:qFormat/>
    <w:uiPriority w:val="9"/>
    <w:rPr>
      <w:rFonts w:asciiTheme="majorHAnsi" w:hAnsiTheme="majorHAnsi" w:eastAsiaTheme="majorEastAsia" w:cstheme="majorBidi"/>
      <w:b/>
      <w:bCs/>
      <w:kern w:val="0"/>
      <w:sz w:val="32"/>
      <w:szCs w:val="32"/>
    </w:rPr>
  </w:style>
  <w:style w:type="character" w:customStyle="1" w:styleId="16">
    <w:name w:val="Heading 3 Char"/>
    <w:basedOn w:val="12"/>
    <w:link w:val="5"/>
    <w:semiHidden/>
    <w:qFormat/>
    <w:uiPriority w:val="9"/>
    <w:rPr>
      <w:rFonts w:ascii="宋体" w:hAnsi="宋体"/>
      <w:b/>
      <w:bCs/>
      <w:kern w:val="0"/>
      <w:sz w:val="32"/>
      <w:szCs w:val="32"/>
    </w:rPr>
  </w:style>
  <w:style w:type="character" w:customStyle="1" w:styleId="17">
    <w:name w:val="Heading 4 Char"/>
    <w:basedOn w:val="12"/>
    <w:link w:val="6"/>
    <w:semiHidden/>
    <w:qFormat/>
    <w:uiPriority w:val="9"/>
    <w:rPr>
      <w:rFonts w:asciiTheme="majorHAnsi" w:hAnsiTheme="majorHAnsi" w:eastAsiaTheme="majorEastAsia" w:cstheme="majorBidi"/>
      <w:b/>
      <w:bCs/>
      <w:kern w:val="0"/>
      <w:sz w:val="28"/>
      <w:szCs w:val="28"/>
    </w:rPr>
  </w:style>
  <w:style w:type="character" w:customStyle="1" w:styleId="18">
    <w:name w:val="Heading 5 Char"/>
    <w:basedOn w:val="12"/>
    <w:link w:val="7"/>
    <w:semiHidden/>
    <w:qFormat/>
    <w:uiPriority w:val="9"/>
    <w:rPr>
      <w:rFonts w:ascii="宋体" w:hAnsi="宋体"/>
      <w:b/>
      <w:bCs/>
      <w:kern w:val="0"/>
      <w:sz w:val="28"/>
      <w:szCs w:val="28"/>
    </w:rPr>
  </w:style>
  <w:style w:type="character" w:customStyle="1" w:styleId="19">
    <w:name w:val="Heading 6 Char"/>
    <w:basedOn w:val="12"/>
    <w:link w:val="8"/>
    <w:semiHidden/>
    <w:qFormat/>
    <w:uiPriority w:val="9"/>
    <w:rPr>
      <w:rFonts w:asciiTheme="majorHAnsi" w:hAnsiTheme="majorHAnsi" w:eastAsiaTheme="majorEastAsia" w:cstheme="majorBidi"/>
      <w:b/>
      <w:bCs/>
      <w:kern w:val="0"/>
      <w:sz w:val="24"/>
      <w:szCs w:val="24"/>
    </w:rPr>
  </w:style>
  <w:style w:type="character" w:customStyle="1" w:styleId="20">
    <w:name w:val="Body Text Char"/>
    <w:basedOn w:val="12"/>
    <w:link w:val="2"/>
    <w:semiHidden/>
    <w:qFormat/>
    <w:uiPriority w:val="99"/>
    <w:rPr>
      <w:rFonts w:ascii="宋体" w:hAnsi="宋体"/>
      <w:kern w:val="0"/>
      <w:sz w:val="24"/>
      <w:szCs w:val="24"/>
    </w:rPr>
  </w:style>
  <w:style w:type="character" w:customStyle="1" w:styleId="21">
    <w:name w:val="HTML Preformatted Char"/>
    <w:basedOn w:val="12"/>
    <w:link w:val="9"/>
    <w:semiHidden/>
    <w:qFormat/>
    <w:uiPriority w:val="99"/>
    <w:rPr>
      <w:rFonts w:ascii="Courier New" w:hAnsi="Courier New" w:cs="Courier New"/>
      <w:kern w:val="0"/>
      <w:sz w:val="20"/>
      <w:szCs w:val="20"/>
    </w:rPr>
  </w:style>
  <w:style w:type="character" w:customStyle="1" w:styleId="22">
    <w:name w:val="15"/>
    <w:basedOn w:val="12"/>
    <w:qFormat/>
    <w:uiPriority w:val="99"/>
    <w:rPr>
      <w:rFonts w:ascii="Times New Roman" w:hAnsi="Times New Roman" w:cs="Times New Roman"/>
      <w:b/>
    </w:rPr>
  </w:style>
  <w:style w:type="character" w:customStyle="1" w:styleId="23">
    <w:name w:val="10"/>
    <w:basedOn w:val="12"/>
    <w:qFormat/>
    <w:uiPriority w:val="99"/>
    <w:rPr>
      <w:rFonts w:ascii="Times New Roman" w:hAnsi="Times New Roman" w:cs="Times New Roman"/>
    </w:rPr>
  </w:style>
  <w:style w:type="paragraph" w:customStyle="1" w:styleId="24">
    <w:name w:val="HTML 预设格式 Char"/>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customStyle="1" w:styleId="25">
    <w:name w:val="普通(网站) Char"/>
    <w:basedOn w:val="1"/>
    <w:qFormat/>
    <w:uiPriority w:val="99"/>
    <w:pPr>
      <w:spacing w:beforeAutospacing="1"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9</Pages>
  <Words>3743</Words>
  <Characters>4124</Characters>
  <Lines>0</Lines>
  <Paragraphs>0</Paragraphs>
  <TotalTime>39</TotalTime>
  <ScaleCrop>false</ScaleCrop>
  <LinksUpToDate>false</LinksUpToDate>
  <CharactersWithSpaces>4129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2021-08-12T07:50:00Z</dcterms:created>
  <dc:creator>Administrator</dc:creator>
  <cp:lastModifiedBy>asus</cp:lastModifiedBy>
  <cp:lastPrinted>2021-08-13T01:37:00Z</cp:lastPrinted>
  <dcterms:modified xsi:type="dcterms:W3CDTF">2024-05-31T02:08:48Z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88C0028F37E6496C98A26C49B7F03889</vt:lpwstr>
  </property>
</Properties>
</file>