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spacing w:beforeAutospacing="0"/>
        <w:jc w:val="center"/>
        <w:rPr>
          <w:rFonts w:ascii="方正小标宋_GBK" w:hAnsi="Times New Roman" w:eastAsia="方正小标宋_GBK"/>
          <w:bCs/>
          <w:sz w:val="44"/>
        </w:rPr>
      </w:pPr>
      <w:r>
        <w:rPr>
          <w:rFonts w:hint="eastAsia" w:ascii="方正小标宋_GBK" w:hAnsi="Times New Roman" w:eastAsia="方正小标宋_GBK"/>
          <w:bCs/>
          <w:sz w:val="44"/>
        </w:rPr>
        <w:t>重庆市渝中区民政局（本级）</w:t>
      </w:r>
      <w:r>
        <w:rPr>
          <w:rFonts w:ascii="方正小标宋_GBK" w:hAnsi="Times New Roman" w:eastAsia="方正小标宋_GBK"/>
          <w:bCs/>
          <w:sz w:val="44"/>
        </w:rPr>
        <w:t>2021</w:t>
      </w:r>
      <w:r>
        <w:rPr>
          <w:rFonts w:hint="eastAsia" w:ascii="方正小标宋_GBK" w:hAnsi="Times New Roman" w:eastAsia="方正小标宋_GBK"/>
          <w:bCs/>
          <w:sz w:val="44"/>
        </w:rPr>
        <w:t>年度部门决算情况说明</w:t>
      </w:r>
    </w:p>
    <w:p>
      <w:pPr>
        <w:spacing w:line="594" w:lineRule="exact"/>
        <w:ind w:firstLine="600" w:firstLineChars="200"/>
        <w:jc w:val="both"/>
        <w:rPr>
          <w:rFonts w:ascii="方正黑体_GBK" w:hAnsi="Times New Roman" w:eastAsia="方正黑体_GBK"/>
          <w:sz w:val="30"/>
        </w:rPr>
      </w:pPr>
      <w:r>
        <w:rPr>
          <w:rFonts w:hint="eastAsia" w:ascii="方正黑体_GBK" w:hAnsi="Times New Roman" w:eastAsia="方正黑体_GBK"/>
          <w:sz w:val="30"/>
        </w:rPr>
        <w:t>一、部门基本情况</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（一）职能职责</w:t>
      </w:r>
    </w:p>
    <w:p>
      <w:pPr>
        <w:spacing w:line="594" w:lineRule="exact"/>
        <w:ind w:firstLine="600" w:firstLineChars="200"/>
        <w:jc w:val="both"/>
        <w:rPr>
          <w:rFonts w:ascii="Times New Roman" w:hAnsi="Times New Roman" w:eastAsia="方正仿宋_GBK"/>
          <w:sz w:val="30"/>
        </w:rPr>
      </w:pPr>
      <w:r>
        <w:rPr>
          <w:rFonts w:hint="eastAsia" w:ascii="Times New Roman" w:hAnsi="Times New Roman" w:eastAsia="方正仿宋_GBK"/>
          <w:sz w:val="30"/>
        </w:rPr>
        <w:t>贯彻落实民政法律、监督管理；贯彻落实社会救助政策、标准，推进社会救助体系建设，负责居民最低生活保障、特困人员救助供养、临时救助、生活无着流浪乞讨人员救助工作；贯彻落实城市基层群众自治建设和社区治理政策，指导城市社区治理体系和治理能力建设，提出加强和改进城市社区治理的建议，推动基层民主政治建设。承担重庆市渝中区社区治理领导小组日常工作；负责行政区划、行政区域界限管理、地名管理工作；负责婚姻登记、殡葬管理工作，推进婚俗、殡葬改革。落实残疾人权益保法规、规章和方针政策，起草相关领域规范性文件草案，拟订全区民政事业发展规划并组织实施；依法对区属社会团体、社会服务机构等社会组织进行登记和监督管理；统筹推进、督促指导、监督管理全区养老服务工作，贯彻落实养老服务体系建设规划、政策、标准，承担老年人福利和特殊困难老年人救助工作；贯彻落实儿童福利、孤弃儿童保障、儿童收养、儿童救助保护政策、标准和困境儿童保障制度；负责社会组织、殡葬、社会救助、地名管理等领域综合行政执法工作，指导街道开展民政管理综合行政执法；负责社会福利、养老、儿童收养、流浪救助和殡葬服务机构的安全监督管理；推进慈善事业发展，指导社会捐助工作，协助做好福利彩票管理相关工作；贯彻落实社会工作、志愿服务政策和标准，会同有关部门推进社会工作人才队伍建设和志愿者队伍建设；负责机关、所属单位党建工作，按照管理权限统筹推进社会组织党建工作；完成区委、区政府交办的其他任务。</w:t>
      </w:r>
    </w:p>
    <w:p>
      <w:pPr>
        <w:spacing w:line="596" w:lineRule="exact"/>
        <w:ind w:firstLine="600" w:firstLineChars="200"/>
        <w:jc w:val="both"/>
        <w:rPr>
          <w:rFonts w:ascii="方正楷体_GBK" w:hAnsi="Times New Roman" w:eastAsia="方正楷体_GBK"/>
          <w:sz w:val="30"/>
        </w:rPr>
      </w:pPr>
      <w:r>
        <w:rPr>
          <w:rFonts w:ascii="方正楷体_GBK" w:hAnsi="Times New Roman" w:eastAsia="方正楷体_GBK"/>
          <w:sz w:val="30"/>
        </w:rPr>
        <w:t xml:space="preserve">  </w:t>
      </w:r>
      <w:r>
        <w:rPr>
          <w:rFonts w:hint="eastAsia" w:ascii="方正楷体_GBK" w:hAnsi="Times New Roman" w:eastAsia="方正楷体_GBK"/>
          <w:sz w:val="30"/>
        </w:rPr>
        <w:t>（二）机构设置。</w:t>
      </w:r>
    </w:p>
    <w:p>
      <w:pPr>
        <w:pStyle w:val="10"/>
        <w:spacing w:beforeAutospacing="0" w:afterAutospacing="0" w:line="596" w:lineRule="exact"/>
        <w:ind w:firstLine="600" w:firstLineChars="200"/>
        <w:rPr>
          <w:rFonts w:ascii="Times New Roman" w:hAnsi="Times New Roman" w:eastAsia="方正仿宋_GBK"/>
          <w:b/>
          <w:sz w:val="30"/>
        </w:rPr>
      </w:pPr>
      <w:r>
        <w:rPr>
          <w:rFonts w:hint="eastAsia" w:ascii="Times New Roman" w:hAnsi="Times New Roman" w:eastAsia="方正仿宋_GBK"/>
          <w:sz w:val="30"/>
        </w:rPr>
        <w:t>渝中区民政局为区政府组成部门，内设办公室、社会组织和社会工作科、社会救助和社会事务科、社区治理和区划地名科、养老服务和儿童福利科。</w:t>
      </w:r>
      <w:r>
        <w:rPr>
          <w:rFonts w:ascii="Times New Roman" w:hAnsi="Times New Roman" w:eastAsia="方正仿宋_GBK"/>
          <w:b/>
          <w:sz w:val="30"/>
        </w:rPr>
        <w:t xml:space="preserve">  </w:t>
      </w:r>
    </w:p>
    <w:p>
      <w:pPr>
        <w:pStyle w:val="10"/>
        <w:spacing w:beforeAutospacing="0" w:afterAutospacing="0" w:line="596" w:lineRule="exact"/>
        <w:ind w:firstLine="600" w:firstLineChars="200"/>
        <w:rPr>
          <w:rFonts w:ascii="方正楷体_GBK" w:hAnsi="Times New Roman" w:eastAsia="方正楷体_GBK"/>
          <w:sz w:val="30"/>
        </w:rPr>
      </w:pPr>
      <w:r>
        <w:rPr>
          <w:rFonts w:hint="eastAsia" w:ascii="方正楷体_GBK" w:hAnsi="Times New Roman" w:eastAsia="方正楷体_GBK"/>
          <w:sz w:val="30"/>
        </w:rPr>
        <w:t>（三）单位构成。</w:t>
      </w:r>
    </w:p>
    <w:p>
      <w:pPr>
        <w:spacing w:line="596" w:lineRule="exact"/>
        <w:ind w:firstLine="600" w:firstLineChars="200"/>
        <w:jc w:val="both"/>
        <w:rPr>
          <w:rFonts w:ascii="Times New Roman" w:hAnsi="Times New Roman" w:eastAsia="方正仿宋_GBK"/>
          <w:sz w:val="30"/>
        </w:rPr>
      </w:pPr>
      <w:r>
        <w:rPr>
          <w:rFonts w:hint="eastAsia" w:ascii="Times New Roman" w:hAnsi="Times New Roman" w:eastAsia="方正仿宋_GBK"/>
          <w:sz w:val="30"/>
        </w:rPr>
        <w:t>本单位为二级预算单位。</w:t>
      </w:r>
    </w:p>
    <w:p>
      <w:pPr>
        <w:spacing w:line="596" w:lineRule="exact"/>
        <w:ind w:firstLine="600" w:firstLineChars="200"/>
        <w:jc w:val="both"/>
        <w:rPr>
          <w:rFonts w:ascii="Times New Roman" w:hAnsi="Times New Roman" w:eastAsia="方正仿宋_GBK"/>
          <w:sz w:val="30"/>
        </w:rPr>
      </w:pPr>
      <w:r>
        <w:rPr>
          <w:rFonts w:hint="eastAsia" w:ascii="方正黑体_GBK" w:hAnsi="Times New Roman" w:eastAsia="方正黑体_GBK"/>
          <w:sz w:val="30"/>
        </w:rPr>
        <w:t>二、部门决算情况说明</w:t>
      </w:r>
    </w:p>
    <w:p>
      <w:pPr>
        <w:spacing w:line="594" w:lineRule="exact"/>
        <w:ind w:firstLine="600" w:firstLineChars="200"/>
        <w:jc w:val="both"/>
        <w:rPr>
          <w:rFonts w:ascii="Times New Roman" w:hAnsi="Times New Roman" w:eastAsia="方正仿宋_GBK"/>
          <w:sz w:val="30"/>
        </w:rPr>
      </w:pPr>
      <w:r>
        <w:rPr>
          <w:rFonts w:hint="eastAsia" w:ascii="方正楷体_GBK" w:hAnsi="Times New Roman" w:eastAsia="方正楷体_GBK"/>
          <w:sz w:val="30"/>
        </w:rPr>
        <w:t>（一）收入支出决算总体情况说明</w:t>
      </w:r>
    </w:p>
    <w:p>
      <w:pPr>
        <w:spacing w:line="594" w:lineRule="exact"/>
        <w:ind w:firstLine="602" w:firstLineChars="200"/>
        <w:jc w:val="both"/>
        <w:rPr>
          <w:rFonts w:ascii="Times New Roman" w:hAnsi="Times New Roman" w:eastAsia="方正仿宋_GBK"/>
          <w:b/>
          <w:sz w:val="30"/>
          <w:szCs w:val="30"/>
        </w:rPr>
      </w:pPr>
      <w:r>
        <w:rPr>
          <w:rFonts w:ascii="Times New Roman" w:hAnsi="Times New Roman" w:eastAsia="方正仿宋_GBK"/>
          <w:b/>
          <w:sz w:val="30"/>
          <w:szCs w:val="30"/>
        </w:rPr>
        <w:t xml:space="preserve">  </w:t>
      </w:r>
      <w:r>
        <w:rPr>
          <w:rFonts w:ascii="Times New Roman" w:hAnsi="Times New Roman" w:eastAsia="方正仿宋_GBK"/>
          <w:sz w:val="30"/>
          <w:szCs w:val="30"/>
        </w:rPr>
        <w:t>1.</w:t>
      </w:r>
      <w:r>
        <w:rPr>
          <w:rFonts w:hint="eastAsia" w:ascii="Times New Roman" w:hAnsi="Times New Roman" w:eastAsia="方正仿宋_GBK"/>
          <w:sz w:val="30"/>
          <w:szCs w:val="30"/>
        </w:rPr>
        <w:t>总体情况。</w:t>
      </w:r>
      <w:r>
        <w:rPr>
          <w:rFonts w:ascii="Times New Roman" w:hAnsi="Times New Roman" w:eastAsia="方正仿宋_GBK"/>
          <w:sz w:val="30"/>
          <w:szCs w:val="30"/>
        </w:rPr>
        <w:t>2021</w:t>
      </w:r>
      <w:r>
        <w:rPr>
          <w:rFonts w:hint="eastAsia" w:ascii="Times New Roman" w:hAnsi="Times New Roman" w:eastAsia="方正仿宋_GBK"/>
          <w:sz w:val="30"/>
          <w:szCs w:val="30"/>
        </w:rPr>
        <w:t>年度收入总计</w:t>
      </w:r>
      <w:r>
        <w:rPr>
          <w:rFonts w:ascii="Times New Roman" w:hAnsi="Times New Roman" w:eastAsia="方正仿宋_GBK"/>
          <w:sz w:val="30"/>
          <w:szCs w:val="30"/>
        </w:rPr>
        <w:t>26,162.57</w:t>
      </w:r>
      <w:r>
        <w:rPr>
          <w:rFonts w:hint="eastAsia" w:ascii="Times New Roman" w:hAnsi="Times New Roman" w:eastAsia="方正仿宋_GBK"/>
          <w:sz w:val="30"/>
          <w:szCs w:val="30"/>
        </w:rPr>
        <w:t>万元，支出总计</w:t>
      </w:r>
      <w:r>
        <w:rPr>
          <w:rFonts w:ascii="Times New Roman" w:hAnsi="Times New Roman" w:eastAsia="方正仿宋_GBK"/>
          <w:sz w:val="30"/>
          <w:szCs w:val="30"/>
        </w:rPr>
        <w:t>26,162.57</w:t>
      </w:r>
      <w:r>
        <w:rPr>
          <w:rFonts w:hint="eastAsia" w:ascii="Times New Roman" w:hAnsi="Times New Roman" w:eastAsia="方正仿宋_GBK"/>
          <w:sz w:val="30"/>
          <w:szCs w:val="30"/>
        </w:rPr>
        <w:t>万元。收支较上年决算数增加</w:t>
      </w:r>
      <w:r>
        <w:rPr>
          <w:rFonts w:ascii="Times New Roman" w:hAnsi="Times New Roman" w:eastAsia="方正仿宋_GBK"/>
          <w:sz w:val="30"/>
          <w:szCs w:val="30"/>
        </w:rPr>
        <w:t>10,178.63</w:t>
      </w:r>
      <w:r>
        <w:rPr>
          <w:rFonts w:hint="eastAsia" w:ascii="Times New Roman" w:hAnsi="Times New Roman" w:eastAsia="方正仿宋_GBK"/>
          <w:sz w:val="30"/>
          <w:szCs w:val="30"/>
        </w:rPr>
        <w:t>万元，增长</w:t>
      </w:r>
      <w:r>
        <w:rPr>
          <w:rFonts w:ascii="Times New Roman" w:hAnsi="Times New Roman" w:eastAsia="方正仿宋_GBK"/>
          <w:sz w:val="30"/>
          <w:szCs w:val="30"/>
        </w:rPr>
        <w:t>63.7%</w:t>
      </w:r>
      <w:r>
        <w:rPr>
          <w:rFonts w:hint="eastAsia" w:ascii="Times New Roman" w:hAnsi="Times New Roman" w:eastAsia="方正仿宋_GBK"/>
          <w:sz w:val="30"/>
          <w:szCs w:val="30"/>
        </w:rPr>
        <w:t>，主要原因是使用了政府性基金及专项债资金。</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  2.</w:t>
      </w:r>
      <w:r>
        <w:rPr>
          <w:rFonts w:hint="eastAsia" w:ascii="Times New Roman" w:hAnsi="Times New Roman" w:eastAsia="方正仿宋_GBK"/>
          <w:sz w:val="30"/>
          <w:szCs w:val="30"/>
        </w:rPr>
        <w:t>收入情况。</w:t>
      </w:r>
      <w:r>
        <w:rPr>
          <w:rFonts w:ascii="Times New Roman" w:hAnsi="Times New Roman" w:eastAsia="方正仿宋_GBK"/>
          <w:sz w:val="30"/>
          <w:szCs w:val="30"/>
        </w:rPr>
        <w:t>2021</w:t>
      </w:r>
      <w:r>
        <w:rPr>
          <w:rFonts w:hint="eastAsia" w:ascii="Times New Roman" w:hAnsi="Times New Roman" w:eastAsia="方正仿宋_GBK"/>
          <w:sz w:val="30"/>
          <w:szCs w:val="30"/>
        </w:rPr>
        <w:t>年度收入合计</w:t>
      </w:r>
      <w:r>
        <w:rPr>
          <w:rFonts w:ascii="Times New Roman" w:hAnsi="Times New Roman" w:eastAsia="方正仿宋_GBK"/>
          <w:sz w:val="30"/>
          <w:szCs w:val="30"/>
        </w:rPr>
        <w:t>26,159.53</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10,184.13</w:t>
      </w:r>
      <w:r>
        <w:rPr>
          <w:rFonts w:hint="eastAsia" w:ascii="Times New Roman" w:hAnsi="Times New Roman" w:eastAsia="方正仿宋_GBK"/>
          <w:sz w:val="30"/>
          <w:szCs w:val="30"/>
        </w:rPr>
        <w:t>万元，增长</w:t>
      </w:r>
      <w:r>
        <w:rPr>
          <w:rFonts w:ascii="Times New Roman" w:hAnsi="Times New Roman" w:eastAsia="方正仿宋_GBK"/>
          <w:sz w:val="30"/>
          <w:szCs w:val="30"/>
        </w:rPr>
        <w:t>63.7%</w:t>
      </w:r>
      <w:r>
        <w:rPr>
          <w:rFonts w:hint="eastAsia" w:ascii="Times New Roman" w:hAnsi="Times New Roman" w:eastAsia="方正仿宋_GBK"/>
          <w:sz w:val="30"/>
          <w:szCs w:val="30"/>
        </w:rPr>
        <w:t>，主要原因是使用了政府性基金及专项债务资金。其中：财政拨款收入</w:t>
      </w:r>
      <w:r>
        <w:rPr>
          <w:rFonts w:ascii="Times New Roman" w:hAnsi="Times New Roman" w:eastAsia="方正仿宋_GBK"/>
          <w:sz w:val="30"/>
          <w:szCs w:val="30"/>
        </w:rPr>
        <w:t>26,159.54</w:t>
      </w:r>
      <w:r>
        <w:rPr>
          <w:rFonts w:hint="eastAsia" w:ascii="Times New Roman" w:hAnsi="Times New Roman" w:eastAsia="方正仿宋_GBK"/>
          <w:sz w:val="30"/>
          <w:szCs w:val="30"/>
        </w:rPr>
        <w:t>万元，占</w:t>
      </w:r>
      <w:r>
        <w:rPr>
          <w:rFonts w:ascii="Times New Roman" w:hAnsi="Times New Roman" w:eastAsia="方正仿宋_GBK"/>
          <w:sz w:val="30"/>
          <w:szCs w:val="30"/>
        </w:rPr>
        <w:t>100%</w:t>
      </w:r>
      <w:r>
        <w:rPr>
          <w:rFonts w:hint="eastAsia" w:ascii="Times New Roman" w:hAnsi="Times New Roman" w:eastAsia="方正仿宋_GBK"/>
          <w:sz w:val="30"/>
          <w:szCs w:val="30"/>
        </w:rPr>
        <w:t>；年初结转和结余</w:t>
      </w:r>
      <w:r>
        <w:rPr>
          <w:rFonts w:ascii="Times New Roman" w:hAnsi="Times New Roman" w:eastAsia="方正仿宋_GBK"/>
          <w:sz w:val="30"/>
          <w:szCs w:val="30"/>
        </w:rPr>
        <w:t>3.04</w:t>
      </w:r>
      <w:r>
        <w:rPr>
          <w:rFonts w:hint="eastAsia" w:ascii="Times New Roman" w:hAnsi="Times New Roman" w:eastAsia="方正仿宋_GBK"/>
          <w:sz w:val="30"/>
          <w:szCs w:val="30"/>
        </w:rPr>
        <w:t>万元。</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  3.</w:t>
      </w:r>
      <w:r>
        <w:rPr>
          <w:rFonts w:hint="eastAsia" w:ascii="Times New Roman" w:hAnsi="Times New Roman" w:eastAsia="方正仿宋_GBK"/>
          <w:sz w:val="30"/>
          <w:szCs w:val="30"/>
        </w:rPr>
        <w:t>支出情况。</w:t>
      </w:r>
      <w:r>
        <w:rPr>
          <w:rFonts w:ascii="Times New Roman" w:hAnsi="Times New Roman" w:eastAsia="方正仿宋_GBK"/>
          <w:sz w:val="30"/>
          <w:szCs w:val="30"/>
        </w:rPr>
        <w:t>2021</w:t>
      </w:r>
      <w:r>
        <w:rPr>
          <w:rFonts w:hint="eastAsia" w:ascii="Times New Roman" w:hAnsi="Times New Roman" w:eastAsia="方正仿宋_GBK"/>
          <w:sz w:val="30"/>
          <w:szCs w:val="30"/>
        </w:rPr>
        <w:t>年度支出合计</w:t>
      </w:r>
      <w:r>
        <w:rPr>
          <w:rFonts w:ascii="Times New Roman" w:hAnsi="Times New Roman" w:eastAsia="方正仿宋_GBK"/>
          <w:sz w:val="30"/>
          <w:szCs w:val="30"/>
        </w:rPr>
        <w:t>26,162.57</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10,181.67</w:t>
      </w:r>
      <w:r>
        <w:rPr>
          <w:rFonts w:hint="eastAsia" w:ascii="Times New Roman" w:hAnsi="Times New Roman" w:eastAsia="方正仿宋_GBK"/>
          <w:sz w:val="30"/>
          <w:szCs w:val="30"/>
        </w:rPr>
        <w:t>万元，增长</w:t>
      </w:r>
      <w:r>
        <w:rPr>
          <w:rFonts w:ascii="Times New Roman" w:hAnsi="Times New Roman" w:eastAsia="方正仿宋_GBK"/>
          <w:sz w:val="30"/>
          <w:szCs w:val="30"/>
        </w:rPr>
        <w:t>63.7%</w:t>
      </w:r>
      <w:r>
        <w:rPr>
          <w:rFonts w:hint="eastAsia" w:ascii="Times New Roman" w:hAnsi="Times New Roman" w:eastAsia="方正仿宋_GBK"/>
          <w:sz w:val="30"/>
          <w:szCs w:val="30"/>
        </w:rPr>
        <w:t>，主要原因是使用了政府性基金及专项债务资金。其中：基本支出</w:t>
      </w:r>
      <w:r>
        <w:rPr>
          <w:rFonts w:ascii="Times New Roman" w:hAnsi="Times New Roman" w:eastAsia="方正仿宋_GBK"/>
          <w:sz w:val="30"/>
          <w:szCs w:val="30"/>
        </w:rPr>
        <w:t>578.77</w:t>
      </w:r>
      <w:r>
        <w:rPr>
          <w:rFonts w:hint="eastAsia" w:ascii="Times New Roman" w:hAnsi="Times New Roman" w:eastAsia="方正仿宋_GBK"/>
          <w:sz w:val="30"/>
          <w:szCs w:val="30"/>
        </w:rPr>
        <w:t>万元，占</w:t>
      </w:r>
      <w:r>
        <w:rPr>
          <w:rFonts w:ascii="Times New Roman" w:hAnsi="Times New Roman" w:eastAsia="方正仿宋_GBK"/>
          <w:sz w:val="30"/>
          <w:szCs w:val="30"/>
        </w:rPr>
        <w:t>2.2%</w:t>
      </w:r>
      <w:r>
        <w:rPr>
          <w:rFonts w:hint="eastAsia" w:ascii="Times New Roman" w:hAnsi="Times New Roman" w:eastAsia="方正仿宋_GBK"/>
          <w:sz w:val="30"/>
          <w:szCs w:val="30"/>
        </w:rPr>
        <w:t>；项目支出</w:t>
      </w:r>
      <w:r>
        <w:rPr>
          <w:rFonts w:ascii="Times New Roman" w:hAnsi="Times New Roman" w:eastAsia="方正仿宋_GBK"/>
          <w:sz w:val="30"/>
          <w:szCs w:val="30"/>
        </w:rPr>
        <w:t>25,583.81</w:t>
      </w:r>
      <w:r>
        <w:rPr>
          <w:rFonts w:hint="eastAsia" w:ascii="Times New Roman" w:hAnsi="Times New Roman" w:eastAsia="方正仿宋_GBK"/>
          <w:sz w:val="30"/>
          <w:szCs w:val="30"/>
        </w:rPr>
        <w:t>万元，占</w:t>
      </w:r>
      <w:r>
        <w:rPr>
          <w:rFonts w:ascii="Times New Roman" w:hAnsi="Times New Roman" w:eastAsia="方正仿宋_GBK"/>
          <w:sz w:val="30"/>
          <w:szCs w:val="30"/>
        </w:rPr>
        <w:t>97.8%</w:t>
      </w:r>
      <w:r>
        <w:rPr>
          <w:rFonts w:hint="eastAsia" w:ascii="Times New Roman" w:hAnsi="Times New Roman" w:eastAsia="方正仿宋_GBK"/>
          <w:sz w:val="30"/>
          <w:szCs w:val="30"/>
        </w:rPr>
        <w:t>；</w:t>
      </w:r>
    </w:p>
    <w:p>
      <w:pPr>
        <w:spacing w:line="594" w:lineRule="exact"/>
        <w:ind w:firstLine="602" w:firstLineChars="200"/>
        <w:jc w:val="both"/>
        <w:rPr>
          <w:rFonts w:ascii="Times New Roman" w:hAnsi="Times New Roman" w:eastAsia="方正仿宋_GBK"/>
          <w:sz w:val="30"/>
          <w:szCs w:val="30"/>
        </w:rPr>
      </w:pPr>
      <w:r>
        <w:rPr>
          <w:rFonts w:ascii="Times New Roman" w:hAnsi="Times New Roman" w:eastAsia="方正仿宋_GBK"/>
          <w:b/>
          <w:sz w:val="30"/>
          <w:szCs w:val="30"/>
        </w:rPr>
        <w:t xml:space="preserve">  </w:t>
      </w:r>
      <w:r>
        <w:rPr>
          <w:rFonts w:ascii="Times New Roman" w:hAnsi="Times New Roman" w:eastAsia="方正仿宋_GBK"/>
          <w:sz w:val="30"/>
          <w:szCs w:val="30"/>
        </w:rPr>
        <w:t>4.</w:t>
      </w:r>
      <w:r>
        <w:rPr>
          <w:rFonts w:hint="eastAsia" w:ascii="Times New Roman" w:hAnsi="Times New Roman" w:eastAsia="方正仿宋_GBK"/>
          <w:sz w:val="30"/>
          <w:szCs w:val="30"/>
        </w:rPr>
        <w:t>结转结余情况。</w:t>
      </w:r>
      <w:r>
        <w:rPr>
          <w:rFonts w:ascii="Times New Roman" w:hAnsi="Times New Roman" w:eastAsia="方正仿宋_GBK"/>
          <w:sz w:val="30"/>
          <w:szCs w:val="30"/>
        </w:rPr>
        <w:t>2021</w:t>
      </w:r>
      <w:r>
        <w:rPr>
          <w:rFonts w:hint="eastAsia" w:ascii="Times New Roman" w:hAnsi="Times New Roman" w:eastAsia="方正仿宋_GBK"/>
          <w:sz w:val="30"/>
          <w:szCs w:val="30"/>
        </w:rPr>
        <w:t>年度年末结转和结余</w:t>
      </w:r>
      <w:r>
        <w:rPr>
          <w:rFonts w:ascii="Times New Roman" w:hAnsi="Times New Roman" w:eastAsia="方正仿宋_GBK"/>
          <w:sz w:val="30"/>
          <w:szCs w:val="30"/>
        </w:rPr>
        <w:t>0.00</w:t>
      </w:r>
      <w:r>
        <w:rPr>
          <w:rFonts w:hint="eastAsia" w:ascii="Times New Roman" w:hAnsi="Times New Roman" w:eastAsia="方正仿宋_GBK"/>
          <w:sz w:val="30"/>
          <w:szCs w:val="30"/>
        </w:rPr>
        <w:t>万元，较上年决算数减少</w:t>
      </w:r>
      <w:r>
        <w:rPr>
          <w:rFonts w:ascii="Times New Roman" w:hAnsi="Times New Roman" w:eastAsia="方正仿宋_GBK"/>
          <w:sz w:val="30"/>
          <w:szCs w:val="30"/>
        </w:rPr>
        <w:t>3.04</w:t>
      </w:r>
      <w:r>
        <w:rPr>
          <w:rFonts w:hint="eastAsia" w:ascii="Times New Roman" w:hAnsi="Times New Roman" w:eastAsia="方正仿宋_GBK"/>
          <w:sz w:val="30"/>
          <w:szCs w:val="30"/>
        </w:rPr>
        <w:t>万元，下降</w:t>
      </w:r>
      <w:r>
        <w:rPr>
          <w:rFonts w:ascii="Times New Roman" w:hAnsi="Times New Roman" w:eastAsia="方正仿宋_GBK"/>
          <w:sz w:val="30"/>
          <w:szCs w:val="30"/>
        </w:rPr>
        <w:t>100%</w:t>
      </w:r>
      <w:r>
        <w:rPr>
          <w:rFonts w:hint="eastAsia" w:ascii="Times New Roman" w:hAnsi="Times New Roman" w:eastAsia="方正仿宋_GBK"/>
          <w:sz w:val="30"/>
          <w:szCs w:val="30"/>
        </w:rPr>
        <w:t>。</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（二）财政拨款收入支出决算总体情况说明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年度财政拨款收、支总计</w:t>
      </w:r>
      <w:r>
        <w:rPr>
          <w:rFonts w:ascii="Times New Roman" w:hAnsi="Times New Roman" w:eastAsia="方正仿宋_GBK"/>
          <w:sz w:val="30"/>
          <w:szCs w:val="30"/>
        </w:rPr>
        <w:t>26,162.57</w:t>
      </w:r>
      <w:r>
        <w:rPr>
          <w:rFonts w:hint="eastAsia" w:ascii="Times New Roman" w:hAnsi="Times New Roman" w:eastAsia="方正仿宋_GBK"/>
          <w:sz w:val="30"/>
          <w:szCs w:val="30"/>
        </w:rPr>
        <w:t>万元。与</w:t>
      </w:r>
      <w:r>
        <w:rPr>
          <w:rFonts w:ascii="Times New Roman" w:hAnsi="Times New Roman" w:eastAsia="方正仿宋_GBK"/>
          <w:sz w:val="30"/>
          <w:szCs w:val="30"/>
        </w:rPr>
        <w:t>2020</w:t>
      </w:r>
      <w:r>
        <w:rPr>
          <w:rFonts w:hint="eastAsia" w:ascii="Times New Roman" w:hAnsi="Times New Roman" w:eastAsia="方正仿宋_GBK"/>
          <w:sz w:val="30"/>
          <w:szCs w:val="30"/>
        </w:rPr>
        <w:t>年相比，财政拨款收、支总计各增加</w:t>
      </w:r>
      <w:r>
        <w:rPr>
          <w:rFonts w:ascii="Times New Roman" w:hAnsi="Times New Roman" w:eastAsia="方正仿宋_GBK"/>
          <w:sz w:val="30"/>
          <w:szCs w:val="30"/>
        </w:rPr>
        <w:t>10,178.63</w:t>
      </w:r>
      <w:r>
        <w:rPr>
          <w:rFonts w:hint="eastAsia" w:ascii="Times New Roman" w:hAnsi="Times New Roman" w:eastAsia="方正仿宋_GBK"/>
          <w:sz w:val="30"/>
          <w:szCs w:val="30"/>
        </w:rPr>
        <w:t>万元，增长</w:t>
      </w:r>
      <w:r>
        <w:rPr>
          <w:rFonts w:ascii="Times New Roman" w:hAnsi="Times New Roman" w:eastAsia="方正仿宋_GBK"/>
          <w:sz w:val="30"/>
          <w:szCs w:val="30"/>
        </w:rPr>
        <w:t>63.7%</w:t>
      </w:r>
      <w:r>
        <w:rPr>
          <w:rFonts w:hint="eastAsia" w:ascii="Times New Roman" w:hAnsi="Times New Roman" w:eastAsia="方正仿宋_GBK"/>
          <w:sz w:val="30"/>
          <w:szCs w:val="30"/>
        </w:rPr>
        <w:t>。主要原因是使用了政府性基金及专项债务资金。</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（三）一般公共预算财政拨款支出决算情况说明</w:t>
      </w:r>
    </w:p>
    <w:p>
      <w:pPr>
        <w:spacing w:line="594" w:lineRule="exact"/>
        <w:ind w:firstLine="602" w:firstLineChars="200"/>
        <w:jc w:val="both"/>
        <w:rPr>
          <w:rFonts w:ascii="Times New Roman" w:hAnsi="Times New Roman" w:eastAsia="方正仿宋_GBK"/>
          <w:b/>
          <w:sz w:val="30"/>
          <w:szCs w:val="30"/>
        </w:rPr>
      </w:pPr>
      <w:r>
        <w:rPr>
          <w:rFonts w:ascii="Times New Roman" w:hAnsi="Times New Roman" w:eastAsia="方正仿宋_GBK"/>
          <w:b/>
          <w:sz w:val="30"/>
          <w:szCs w:val="30"/>
        </w:rPr>
        <w:t>1.</w:t>
      </w:r>
      <w:r>
        <w:rPr>
          <w:rFonts w:hint="eastAsia" w:ascii="Times New Roman" w:hAnsi="Times New Roman" w:eastAsia="方正仿宋_GBK"/>
          <w:b/>
          <w:sz w:val="30"/>
          <w:szCs w:val="30"/>
        </w:rPr>
        <w:t>收入情况。</w:t>
      </w:r>
      <w:r>
        <w:rPr>
          <w:rFonts w:ascii="Times New Roman" w:hAnsi="Times New Roman" w:eastAsia="方正仿宋_GBK"/>
          <w:sz w:val="30"/>
          <w:szCs w:val="30"/>
        </w:rPr>
        <w:t>2021</w:t>
      </w:r>
      <w:r>
        <w:rPr>
          <w:rFonts w:hint="eastAsia" w:ascii="Times New Roman" w:hAnsi="Times New Roman" w:eastAsia="方正仿宋_GBK"/>
          <w:sz w:val="30"/>
          <w:szCs w:val="30"/>
        </w:rPr>
        <w:t>年度一般公共预算财政拨款收入</w:t>
      </w:r>
      <w:r>
        <w:rPr>
          <w:rFonts w:ascii="Times New Roman" w:hAnsi="Times New Roman" w:eastAsia="方正仿宋_GBK"/>
          <w:sz w:val="30"/>
          <w:szCs w:val="30"/>
        </w:rPr>
        <w:t>15,994.99</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6,540.36</w:t>
      </w:r>
      <w:r>
        <w:rPr>
          <w:rFonts w:hint="eastAsia" w:ascii="Times New Roman" w:hAnsi="Times New Roman" w:eastAsia="方正仿宋_GBK"/>
          <w:sz w:val="30"/>
          <w:szCs w:val="30"/>
        </w:rPr>
        <w:t>万元，增长</w:t>
      </w:r>
      <w:r>
        <w:rPr>
          <w:rFonts w:ascii="Times New Roman" w:hAnsi="Times New Roman" w:eastAsia="方正仿宋_GBK"/>
          <w:sz w:val="30"/>
          <w:szCs w:val="30"/>
        </w:rPr>
        <w:t>69.2%</w:t>
      </w:r>
      <w:r>
        <w:rPr>
          <w:rFonts w:hint="eastAsia" w:ascii="Times New Roman" w:hAnsi="Times New Roman" w:eastAsia="方正仿宋_GBK"/>
          <w:sz w:val="30"/>
          <w:szCs w:val="30"/>
        </w:rPr>
        <w:t>。主要原因是使用了政府性基金及专项债务资金；较年初预算数增加</w:t>
      </w:r>
      <w:r>
        <w:rPr>
          <w:rFonts w:ascii="Times New Roman" w:hAnsi="Times New Roman" w:eastAsia="方正仿宋_GBK"/>
          <w:sz w:val="30"/>
          <w:szCs w:val="30"/>
        </w:rPr>
        <w:t>4,303.98</w:t>
      </w:r>
      <w:r>
        <w:rPr>
          <w:rFonts w:hint="eastAsia" w:ascii="Times New Roman" w:hAnsi="Times New Roman" w:eastAsia="方正仿宋_GBK"/>
          <w:sz w:val="30"/>
          <w:szCs w:val="30"/>
        </w:rPr>
        <w:t>万元，增长</w:t>
      </w:r>
      <w:r>
        <w:rPr>
          <w:rFonts w:ascii="Times New Roman" w:hAnsi="Times New Roman" w:eastAsia="方正仿宋_GBK"/>
          <w:sz w:val="30"/>
          <w:szCs w:val="30"/>
        </w:rPr>
        <w:t>36.8%</w:t>
      </w:r>
      <w:r>
        <w:rPr>
          <w:rFonts w:hint="eastAsia" w:ascii="Times New Roman" w:hAnsi="Times New Roman" w:eastAsia="方正仿宋_GBK"/>
          <w:sz w:val="30"/>
          <w:szCs w:val="30"/>
        </w:rPr>
        <w:t>。主要原因是使用了政府性基金及专项债务资金。此外，年初财政拨款结转和结余</w:t>
      </w:r>
      <w:r>
        <w:rPr>
          <w:rFonts w:ascii="Times New Roman" w:hAnsi="Times New Roman" w:eastAsia="方正仿宋_GBK"/>
          <w:sz w:val="30"/>
          <w:szCs w:val="30"/>
        </w:rPr>
        <w:t>0.00</w:t>
      </w:r>
      <w:r>
        <w:rPr>
          <w:rFonts w:hint="eastAsia" w:ascii="Times New Roman" w:hAnsi="Times New Roman" w:eastAsia="方正仿宋_GBK"/>
          <w:sz w:val="30"/>
          <w:szCs w:val="30"/>
        </w:rPr>
        <w:t>万元。</w:t>
      </w:r>
    </w:p>
    <w:p>
      <w:pPr>
        <w:spacing w:line="594" w:lineRule="exact"/>
        <w:ind w:firstLine="602" w:firstLineChars="200"/>
        <w:jc w:val="both"/>
        <w:rPr>
          <w:rFonts w:ascii="Times New Roman" w:hAnsi="Times New Roman" w:eastAsia="方正仿宋_GBK"/>
          <w:sz w:val="30"/>
          <w:szCs w:val="30"/>
        </w:rPr>
      </w:pPr>
      <w:r>
        <w:rPr>
          <w:rFonts w:ascii="Times New Roman" w:hAnsi="Times New Roman" w:eastAsia="方正仿宋_GBK"/>
          <w:b/>
          <w:sz w:val="30"/>
          <w:szCs w:val="30"/>
        </w:rPr>
        <w:t>2.</w:t>
      </w:r>
      <w:r>
        <w:rPr>
          <w:rFonts w:hint="eastAsia" w:ascii="Times New Roman" w:hAnsi="Times New Roman" w:eastAsia="方正仿宋_GBK"/>
          <w:b/>
          <w:sz w:val="30"/>
          <w:szCs w:val="30"/>
        </w:rPr>
        <w:t>支出情况。</w:t>
      </w:r>
      <w:r>
        <w:rPr>
          <w:rFonts w:ascii="Times New Roman" w:hAnsi="Times New Roman" w:eastAsia="方正仿宋_GBK"/>
          <w:sz w:val="30"/>
          <w:szCs w:val="30"/>
        </w:rPr>
        <w:t>2021</w:t>
      </w:r>
      <w:r>
        <w:rPr>
          <w:rFonts w:hint="eastAsia" w:ascii="Times New Roman" w:hAnsi="Times New Roman" w:eastAsia="方正仿宋_GBK"/>
          <w:sz w:val="30"/>
          <w:szCs w:val="30"/>
        </w:rPr>
        <w:t>年度一般公共预算财政拨款支出</w:t>
      </w:r>
      <w:r>
        <w:rPr>
          <w:rFonts w:ascii="Times New Roman" w:hAnsi="Times New Roman" w:eastAsia="方正仿宋_GBK"/>
          <w:sz w:val="30"/>
          <w:szCs w:val="30"/>
        </w:rPr>
        <w:t>15,994.99</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6,540.36</w:t>
      </w:r>
      <w:r>
        <w:rPr>
          <w:rFonts w:hint="eastAsia" w:ascii="Times New Roman" w:hAnsi="Times New Roman" w:eastAsia="方正仿宋_GBK"/>
          <w:sz w:val="30"/>
          <w:szCs w:val="30"/>
        </w:rPr>
        <w:t>万元，增长</w:t>
      </w:r>
      <w:r>
        <w:rPr>
          <w:rFonts w:ascii="Times New Roman" w:hAnsi="Times New Roman" w:eastAsia="方正仿宋_GBK"/>
          <w:sz w:val="30"/>
          <w:szCs w:val="30"/>
        </w:rPr>
        <w:t>69.2%</w:t>
      </w:r>
      <w:r>
        <w:rPr>
          <w:rFonts w:hint="eastAsia" w:ascii="Times New Roman" w:hAnsi="Times New Roman" w:eastAsia="方正仿宋_GBK"/>
          <w:sz w:val="30"/>
          <w:szCs w:val="30"/>
        </w:rPr>
        <w:t>。主要原因是使用了政府性基金及专项债务资金。较年初预算数增加</w:t>
      </w:r>
      <w:r>
        <w:rPr>
          <w:rFonts w:ascii="Times New Roman" w:hAnsi="Times New Roman" w:eastAsia="方正仿宋_GBK"/>
          <w:sz w:val="30"/>
          <w:szCs w:val="30"/>
        </w:rPr>
        <w:t>383.71</w:t>
      </w:r>
      <w:r>
        <w:rPr>
          <w:rFonts w:hint="eastAsia" w:ascii="Times New Roman" w:hAnsi="Times New Roman" w:eastAsia="方正仿宋_GBK"/>
          <w:sz w:val="30"/>
          <w:szCs w:val="30"/>
        </w:rPr>
        <w:t>万元，增长</w:t>
      </w:r>
      <w:r>
        <w:rPr>
          <w:rFonts w:ascii="Times New Roman" w:hAnsi="Times New Roman" w:eastAsia="方正仿宋_GBK"/>
          <w:sz w:val="30"/>
          <w:szCs w:val="30"/>
        </w:rPr>
        <w:t>2.5%</w:t>
      </w:r>
      <w:r>
        <w:rPr>
          <w:rFonts w:hint="eastAsia" w:ascii="Times New Roman" w:hAnsi="Times New Roman" w:eastAsia="方正仿宋_GBK"/>
          <w:sz w:val="30"/>
          <w:szCs w:val="30"/>
        </w:rPr>
        <w:t>。主要原因是使用了政府性基金及专项债务资金。</w:t>
      </w:r>
    </w:p>
    <w:p>
      <w:pPr>
        <w:spacing w:line="594" w:lineRule="exact"/>
        <w:ind w:firstLine="602" w:firstLineChars="200"/>
        <w:jc w:val="both"/>
        <w:rPr>
          <w:rFonts w:ascii="Times New Roman" w:hAnsi="Times New Roman" w:eastAsia="方正仿宋_GBK"/>
          <w:sz w:val="30"/>
          <w:szCs w:val="30"/>
        </w:rPr>
      </w:pPr>
      <w:r>
        <w:rPr>
          <w:rFonts w:ascii="Times New Roman" w:hAnsi="Times New Roman" w:eastAsia="方正仿宋_GBK"/>
          <w:b/>
          <w:sz w:val="30"/>
          <w:szCs w:val="30"/>
        </w:rPr>
        <w:t>3.</w:t>
      </w:r>
      <w:r>
        <w:rPr>
          <w:rFonts w:hint="eastAsia" w:ascii="Times New Roman" w:hAnsi="Times New Roman" w:eastAsia="方正仿宋_GBK"/>
          <w:b/>
          <w:sz w:val="30"/>
          <w:szCs w:val="30"/>
        </w:rPr>
        <w:t>结转结余情况</w:t>
      </w:r>
      <w:r>
        <w:rPr>
          <w:rFonts w:hint="eastAsia" w:ascii="Times New Roman" w:hAnsi="Times New Roman" w:eastAsia="方正仿宋_GBK"/>
          <w:sz w:val="30"/>
          <w:szCs w:val="30"/>
        </w:rPr>
        <w:t>。</w:t>
      </w:r>
      <w:r>
        <w:rPr>
          <w:rFonts w:ascii="Times New Roman" w:hAnsi="Times New Roman" w:eastAsia="方正仿宋_GBK"/>
          <w:sz w:val="30"/>
          <w:szCs w:val="30"/>
        </w:rPr>
        <w:t>2021</w:t>
      </w:r>
      <w:r>
        <w:rPr>
          <w:rFonts w:hint="eastAsia" w:ascii="Times New Roman" w:hAnsi="Times New Roman" w:eastAsia="方正仿宋_GBK"/>
          <w:sz w:val="30"/>
          <w:szCs w:val="30"/>
        </w:rPr>
        <w:t>年度年末一般公共预算财政拨款结转和结余</w:t>
      </w:r>
      <w:r>
        <w:rPr>
          <w:rFonts w:ascii="Times New Roman" w:hAnsi="Times New Roman" w:eastAsia="方正仿宋_GBK"/>
          <w:sz w:val="30"/>
          <w:szCs w:val="30"/>
        </w:rPr>
        <w:t>0.00</w:t>
      </w:r>
      <w:r>
        <w:rPr>
          <w:rFonts w:hint="eastAsia" w:ascii="Times New Roman" w:hAnsi="Times New Roman" w:eastAsia="方正仿宋_GBK"/>
          <w:sz w:val="30"/>
          <w:szCs w:val="30"/>
        </w:rPr>
        <w:t>万元，与上年决算数持平。</w:t>
      </w:r>
    </w:p>
    <w:p>
      <w:pPr>
        <w:spacing w:line="594" w:lineRule="exact"/>
        <w:ind w:firstLine="602" w:firstLineChars="200"/>
        <w:jc w:val="both"/>
        <w:rPr>
          <w:rFonts w:ascii="Times New Roman" w:hAnsi="Times New Roman" w:eastAsia="方正仿宋_GBK"/>
          <w:sz w:val="30"/>
          <w:szCs w:val="30"/>
        </w:rPr>
      </w:pPr>
      <w:r>
        <w:rPr>
          <w:rFonts w:ascii="Times New Roman" w:hAnsi="Times New Roman" w:eastAsia="方正仿宋_GBK"/>
          <w:b/>
          <w:sz w:val="30"/>
          <w:szCs w:val="30"/>
        </w:rPr>
        <w:t>4.</w:t>
      </w:r>
      <w:r>
        <w:rPr>
          <w:rFonts w:hint="eastAsia" w:ascii="Times New Roman" w:hAnsi="Times New Roman" w:eastAsia="方正仿宋_GBK"/>
          <w:b/>
          <w:sz w:val="30"/>
          <w:szCs w:val="30"/>
        </w:rPr>
        <w:t>比较情况。</w:t>
      </w:r>
      <w:r>
        <w:rPr>
          <w:rFonts w:hint="eastAsia" w:ascii="Times New Roman" w:hAnsi="Times New Roman" w:eastAsia="方正仿宋_GBK"/>
          <w:sz w:val="30"/>
          <w:szCs w:val="30"/>
        </w:rPr>
        <w:t>本部门</w:t>
      </w:r>
      <w:r>
        <w:rPr>
          <w:rFonts w:ascii="Times New Roman" w:hAnsi="Times New Roman" w:eastAsia="方正仿宋_GBK"/>
          <w:sz w:val="30"/>
          <w:szCs w:val="30"/>
        </w:rPr>
        <w:t>2021</w:t>
      </w:r>
      <w:r>
        <w:rPr>
          <w:rFonts w:hint="eastAsia" w:ascii="Times New Roman" w:hAnsi="Times New Roman" w:eastAsia="方正仿宋_GBK"/>
          <w:sz w:val="30"/>
          <w:szCs w:val="30"/>
        </w:rPr>
        <w:t>年度一般公共预算财政拨款支出主要用于以下几个方面：</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w:t>
      </w:r>
      <w:r>
        <w:rPr>
          <w:rFonts w:ascii="Times New Roman" w:hAnsi="Times New Roman" w:eastAsia="方正仿宋_GBK"/>
          <w:sz w:val="30"/>
          <w:szCs w:val="30"/>
        </w:rPr>
        <w:t>1</w:t>
      </w:r>
      <w:r>
        <w:rPr>
          <w:rFonts w:hint="eastAsia" w:ascii="Times New Roman" w:hAnsi="Times New Roman" w:eastAsia="方正仿宋_GBK"/>
          <w:sz w:val="30"/>
          <w:szCs w:val="30"/>
        </w:rPr>
        <w:t>）一般公共服务支出</w:t>
      </w:r>
      <w:r>
        <w:rPr>
          <w:rFonts w:ascii="Times New Roman" w:hAnsi="Times New Roman" w:eastAsia="方正仿宋_GBK"/>
          <w:sz w:val="30"/>
          <w:szCs w:val="30"/>
        </w:rPr>
        <w:t>45.07</w:t>
      </w:r>
      <w:r>
        <w:rPr>
          <w:rFonts w:hint="eastAsia" w:ascii="Times New Roman" w:hAnsi="Times New Roman" w:eastAsia="方正仿宋_GBK"/>
          <w:sz w:val="30"/>
          <w:szCs w:val="30"/>
        </w:rPr>
        <w:t>万元，占</w:t>
      </w:r>
      <w:r>
        <w:rPr>
          <w:rFonts w:ascii="Times New Roman" w:hAnsi="Times New Roman" w:eastAsia="方正仿宋_GBK"/>
          <w:sz w:val="30"/>
          <w:szCs w:val="30"/>
        </w:rPr>
        <w:t>0.3%</w:t>
      </w:r>
      <w:r>
        <w:rPr>
          <w:rFonts w:hint="eastAsia" w:ascii="Times New Roman" w:hAnsi="Times New Roman" w:eastAsia="方正仿宋_GBK"/>
          <w:sz w:val="30"/>
          <w:szCs w:val="30"/>
        </w:rPr>
        <w:t>，较年初预算数增加</w:t>
      </w:r>
      <w:r>
        <w:rPr>
          <w:rFonts w:ascii="Times New Roman" w:hAnsi="Times New Roman" w:eastAsia="方正仿宋_GBK"/>
          <w:sz w:val="30"/>
          <w:szCs w:val="30"/>
        </w:rPr>
        <w:t>45.07</w:t>
      </w:r>
      <w:r>
        <w:rPr>
          <w:rFonts w:hint="eastAsia" w:ascii="Times New Roman" w:hAnsi="Times New Roman" w:eastAsia="方正仿宋_GBK"/>
          <w:sz w:val="30"/>
          <w:szCs w:val="30"/>
        </w:rPr>
        <w:t>万元，增长</w:t>
      </w:r>
      <w:r>
        <w:rPr>
          <w:rFonts w:ascii="Times New Roman" w:hAnsi="Times New Roman" w:eastAsia="方正仿宋_GBK"/>
          <w:sz w:val="30"/>
          <w:szCs w:val="30"/>
        </w:rPr>
        <w:t>100.00%</w:t>
      </w:r>
      <w:r>
        <w:rPr>
          <w:rFonts w:hint="eastAsia" w:ascii="Times New Roman" w:hAnsi="Times New Roman" w:eastAsia="方正仿宋_GBK"/>
          <w:sz w:val="30"/>
          <w:szCs w:val="30"/>
        </w:rPr>
        <w:t>，主要原因是追加党建工作经费、基层党组织书记全覆盖培训经费。</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w:t>
      </w:r>
      <w:r>
        <w:rPr>
          <w:rFonts w:ascii="Times New Roman" w:hAnsi="Times New Roman" w:eastAsia="方正仿宋_GBK"/>
          <w:sz w:val="30"/>
          <w:szCs w:val="30"/>
        </w:rPr>
        <w:t>2</w:t>
      </w:r>
      <w:r>
        <w:rPr>
          <w:rFonts w:hint="eastAsia" w:ascii="Times New Roman" w:hAnsi="Times New Roman" w:eastAsia="方正仿宋_GBK"/>
          <w:sz w:val="30"/>
          <w:szCs w:val="30"/>
        </w:rPr>
        <w:t>）社会保障</w:t>
      </w:r>
      <w:r>
        <w:rPr>
          <w:rFonts w:hint="eastAsia" w:ascii="Times New Roman" w:hAnsi="Times New Roman" w:eastAsia="方正仿宋_GBK"/>
          <w:sz w:val="30"/>
          <w:szCs w:val="30"/>
          <w:lang w:eastAsia="zh-CN"/>
        </w:rPr>
        <w:t>和</w:t>
      </w:r>
      <w:bookmarkStart w:id="0" w:name="_GoBack"/>
      <w:bookmarkEnd w:id="0"/>
      <w:r>
        <w:rPr>
          <w:rFonts w:hint="eastAsia" w:ascii="Times New Roman" w:hAnsi="Times New Roman" w:eastAsia="方正仿宋_GBK"/>
          <w:sz w:val="30"/>
          <w:szCs w:val="30"/>
        </w:rPr>
        <w:t>就业支出</w:t>
      </w:r>
      <w:r>
        <w:rPr>
          <w:rFonts w:ascii="Times New Roman" w:hAnsi="Times New Roman" w:eastAsia="方正仿宋_GBK"/>
          <w:sz w:val="30"/>
          <w:szCs w:val="30"/>
        </w:rPr>
        <w:t>15,906.73</w:t>
      </w:r>
      <w:r>
        <w:rPr>
          <w:rFonts w:hint="eastAsia" w:ascii="Times New Roman" w:hAnsi="Times New Roman" w:eastAsia="方正仿宋_GBK"/>
          <w:sz w:val="30"/>
          <w:szCs w:val="30"/>
        </w:rPr>
        <w:t>万元，占</w:t>
      </w:r>
      <w:r>
        <w:rPr>
          <w:rFonts w:ascii="Times New Roman" w:hAnsi="Times New Roman" w:eastAsia="方正仿宋_GBK"/>
          <w:sz w:val="30"/>
          <w:szCs w:val="30"/>
        </w:rPr>
        <w:t>99.4%</w:t>
      </w:r>
      <w:r>
        <w:rPr>
          <w:rFonts w:hint="eastAsia" w:ascii="Times New Roman" w:hAnsi="Times New Roman" w:eastAsia="方正仿宋_GBK"/>
          <w:sz w:val="30"/>
          <w:szCs w:val="30"/>
        </w:rPr>
        <w:t>，较年初预算数增加</w:t>
      </w:r>
      <w:r>
        <w:rPr>
          <w:rFonts w:ascii="Times New Roman" w:hAnsi="Times New Roman" w:eastAsia="方正仿宋_GBK"/>
          <w:sz w:val="30"/>
          <w:szCs w:val="30"/>
        </w:rPr>
        <w:t>338.04</w:t>
      </w:r>
      <w:r>
        <w:rPr>
          <w:rFonts w:hint="eastAsia" w:ascii="Times New Roman" w:hAnsi="Times New Roman" w:eastAsia="方正仿宋_GBK"/>
          <w:sz w:val="30"/>
          <w:szCs w:val="30"/>
        </w:rPr>
        <w:t>万元，增长</w:t>
      </w:r>
      <w:r>
        <w:rPr>
          <w:rFonts w:ascii="Times New Roman" w:hAnsi="Times New Roman" w:eastAsia="方正仿宋_GBK"/>
          <w:sz w:val="30"/>
          <w:szCs w:val="30"/>
        </w:rPr>
        <w:t>2.2%</w:t>
      </w:r>
      <w:r>
        <w:rPr>
          <w:rFonts w:hint="eastAsia" w:ascii="Times New Roman" w:hAnsi="Times New Roman" w:eastAsia="方正仿宋_GBK"/>
          <w:sz w:val="30"/>
          <w:szCs w:val="30"/>
        </w:rPr>
        <w:t>，主要原因是民政对象补助标准调增。</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w:t>
      </w:r>
      <w:r>
        <w:rPr>
          <w:rFonts w:ascii="Times New Roman" w:hAnsi="Times New Roman" w:eastAsia="方正仿宋_GBK"/>
          <w:sz w:val="30"/>
          <w:szCs w:val="30"/>
        </w:rPr>
        <w:t>3</w:t>
      </w:r>
      <w:r>
        <w:rPr>
          <w:rFonts w:hint="eastAsia" w:ascii="Times New Roman" w:hAnsi="Times New Roman" w:eastAsia="方正仿宋_GBK"/>
          <w:sz w:val="30"/>
          <w:szCs w:val="30"/>
        </w:rPr>
        <w:t>）卫生健康支出</w:t>
      </w:r>
      <w:r>
        <w:rPr>
          <w:rFonts w:ascii="Times New Roman" w:hAnsi="Times New Roman" w:eastAsia="方正仿宋_GBK"/>
          <w:sz w:val="30"/>
          <w:szCs w:val="30"/>
        </w:rPr>
        <w:t>22.27</w:t>
      </w:r>
      <w:r>
        <w:rPr>
          <w:rFonts w:hint="eastAsia" w:ascii="Times New Roman" w:hAnsi="Times New Roman" w:eastAsia="方正仿宋_GBK"/>
          <w:sz w:val="30"/>
          <w:szCs w:val="30"/>
        </w:rPr>
        <w:t>万元，占</w:t>
      </w:r>
      <w:r>
        <w:rPr>
          <w:rFonts w:ascii="Times New Roman" w:hAnsi="Times New Roman" w:eastAsia="方正仿宋_GBK"/>
          <w:sz w:val="30"/>
          <w:szCs w:val="30"/>
        </w:rPr>
        <w:t>0.1%</w:t>
      </w:r>
      <w:r>
        <w:rPr>
          <w:rFonts w:hint="eastAsia" w:ascii="Times New Roman" w:hAnsi="Times New Roman" w:eastAsia="方正仿宋_GBK"/>
          <w:sz w:val="30"/>
          <w:szCs w:val="30"/>
        </w:rPr>
        <w:t>，较年初预算数增加</w:t>
      </w:r>
      <w:r>
        <w:rPr>
          <w:rFonts w:ascii="Times New Roman" w:hAnsi="Times New Roman" w:eastAsia="方正仿宋_GBK"/>
          <w:sz w:val="30"/>
          <w:szCs w:val="30"/>
        </w:rPr>
        <w:t>0.00</w:t>
      </w:r>
      <w:r>
        <w:rPr>
          <w:rFonts w:hint="eastAsia" w:ascii="Times New Roman" w:hAnsi="Times New Roman" w:eastAsia="方正仿宋_GBK"/>
          <w:sz w:val="30"/>
          <w:szCs w:val="30"/>
        </w:rPr>
        <w:t>万元，增长</w:t>
      </w:r>
      <w:r>
        <w:rPr>
          <w:rFonts w:ascii="Times New Roman" w:hAnsi="Times New Roman" w:eastAsia="方正仿宋_GBK"/>
          <w:sz w:val="30"/>
          <w:szCs w:val="30"/>
        </w:rPr>
        <w:t>0%</w:t>
      </w:r>
      <w:r>
        <w:rPr>
          <w:rFonts w:hint="eastAsia" w:ascii="Times New Roman" w:hAnsi="Times New Roman" w:eastAsia="方正仿宋_GBK"/>
          <w:sz w:val="30"/>
          <w:szCs w:val="30"/>
        </w:rPr>
        <w:t>。</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w:t>
      </w:r>
      <w:r>
        <w:rPr>
          <w:rFonts w:ascii="Times New Roman" w:hAnsi="Times New Roman" w:eastAsia="方正仿宋_GBK"/>
          <w:sz w:val="30"/>
          <w:szCs w:val="30"/>
        </w:rPr>
        <w:t>4</w:t>
      </w:r>
      <w:r>
        <w:rPr>
          <w:rFonts w:hint="eastAsia" w:ascii="Times New Roman" w:hAnsi="Times New Roman" w:eastAsia="方正仿宋_GBK"/>
          <w:sz w:val="30"/>
          <w:szCs w:val="30"/>
        </w:rPr>
        <w:t>）住房保障支出</w:t>
      </w:r>
      <w:r>
        <w:rPr>
          <w:rFonts w:ascii="Times New Roman" w:hAnsi="Times New Roman" w:eastAsia="方正仿宋_GBK"/>
          <w:sz w:val="30"/>
          <w:szCs w:val="30"/>
        </w:rPr>
        <w:t>20.92</w:t>
      </w:r>
      <w:r>
        <w:rPr>
          <w:rFonts w:hint="eastAsia" w:ascii="Times New Roman" w:hAnsi="Times New Roman" w:eastAsia="方正仿宋_GBK"/>
          <w:sz w:val="30"/>
          <w:szCs w:val="30"/>
        </w:rPr>
        <w:t>万元，占</w:t>
      </w:r>
      <w:r>
        <w:rPr>
          <w:rFonts w:ascii="Times New Roman" w:hAnsi="Times New Roman" w:eastAsia="方正仿宋_GBK"/>
          <w:sz w:val="30"/>
          <w:szCs w:val="30"/>
        </w:rPr>
        <w:t>0.1%</w:t>
      </w:r>
      <w:r>
        <w:rPr>
          <w:rFonts w:hint="eastAsia" w:ascii="Times New Roman" w:hAnsi="Times New Roman" w:eastAsia="方正仿宋_GBK"/>
          <w:sz w:val="30"/>
          <w:szCs w:val="30"/>
        </w:rPr>
        <w:t>，较年初预算数增加</w:t>
      </w:r>
      <w:r>
        <w:rPr>
          <w:rFonts w:ascii="Times New Roman" w:hAnsi="Times New Roman" w:eastAsia="方正仿宋_GBK"/>
          <w:sz w:val="30"/>
          <w:szCs w:val="30"/>
        </w:rPr>
        <w:t>0.60</w:t>
      </w:r>
      <w:r>
        <w:rPr>
          <w:rFonts w:hint="eastAsia" w:ascii="Times New Roman" w:hAnsi="Times New Roman" w:eastAsia="方正仿宋_GBK"/>
          <w:sz w:val="30"/>
          <w:szCs w:val="30"/>
        </w:rPr>
        <w:t>万元，增长</w:t>
      </w:r>
      <w:r>
        <w:rPr>
          <w:rFonts w:ascii="Times New Roman" w:hAnsi="Times New Roman" w:eastAsia="方正仿宋_GBK"/>
          <w:sz w:val="30"/>
          <w:szCs w:val="30"/>
        </w:rPr>
        <w:t>3%</w:t>
      </w:r>
      <w:r>
        <w:rPr>
          <w:rFonts w:hint="eastAsia" w:ascii="Times New Roman" w:hAnsi="Times New Roman" w:eastAsia="方正仿宋_GBK"/>
          <w:sz w:val="30"/>
          <w:szCs w:val="30"/>
        </w:rPr>
        <w:t>，主要原因是人员调整及调标。</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（四）一般公共预算财政拨款基本支出决算情况说明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年度一般公共财政拨款基本支出</w:t>
      </w:r>
      <w:r>
        <w:rPr>
          <w:rFonts w:ascii="Times New Roman" w:hAnsi="Times New Roman" w:eastAsia="方正仿宋_GBK"/>
          <w:sz w:val="30"/>
          <w:szCs w:val="30"/>
        </w:rPr>
        <w:t>578.77</w:t>
      </w:r>
      <w:r>
        <w:rPr>
          <w:rFonts w:hint="eastAsia" w:ascii="Times New Roman" w:hAnsi="Times New Roman" w:eastAsia="方正仿宋_GBK"/>
          <w:sz w:val="30"/>
          <w:szCs w:val="30"/>
        </w:rPr>
        <w:t>万元。其中：人员经费</w:t>
      </w:r>
      <w:r>
        <w:rPr>
          <w:rFonts w:ascii="Times New Roman" w:hAnsi="Times New Roman" w:eastAsia="方正仿宋_GBK"/>
          <w:sz w:val="30"/>
          <w:szCs w:val="30"/>
        </w:rPr>
        <w:t>475.95</w:t>
      </w:r>
      <w:r>
        <w:rPr>
          <w:rFonts w:hint="eastAsia" w:ascii="Times New Roman" w:hAnsi="Times New Roman" w:eastAsia="方正仿宋_GBK"/>
          <w:sz w:val="30"/>
          <w:szCs w:val="30"/>
        </w:rPr>
        <w:t>万元，较上年决算数减少</w:t>
      </w:r>
      <w:r>
        <w:rPr>
          <w:rFonts w:ascii="Times New Roman" w:hAnsi="Times New Roman" w:eastAsia="方正仿宋_GBK"/>
          <w:sz w:val="30"/>
          <w:szCs w:val="30"/>
        </w:rPr>
        <w:t>79.11</w:t>
      </w:r>
      <w:r>
        <w:rPr>
          <w:rFonts w:hint="eastAsia" w:ascii="Times New Roman" w:hAnsi="Times New Roman" w:eastAsia="方正仿宋_GBK"/>
          <w:sz w:val="30"/>
          <w:szCs w:val="30"/>
        </w:rPr>
        <w:t>万元，下降</w:t>
      </w:r>
      <w:r>
        <w:rPr>
          <w:rFonts w:ascii="Times New Roman" w:hAnsi="Times New Roman" w:eastAsia="方正仿宋_GBK"/>
          <w:sz w:val="30"/>
          <w:szCs w:val="30"/>
        </w:rPr>
        <w:t>14.3%</w:t>
      </w:r>
      <w:r>
        <w:rPr>
          <w:rFonts w:hint="eastAsia" w:ascii="Times New Roman" w:hAnsi="Times New Roman" w:eastAsia="方正仿宋_GBK"/>
          <w:sz w:val="30"/>
          <w:szCs w:val="30"/>
        </w:rPr>
        <w:t>，主要原因是人员调整及调标。人员经费用途主要包括基本工资、津贴补贴、奖金等。公用经费</w:t>
      </w:r>
      <w:r>
        <w:rPr>
          <w:rFonts w:ascii="Times New Roman" w:hAnsi="Times New Roman" w:eastAsia="方正仿宋_GBK"/>
          <w:sz w:val="30"/>
          <w:szCs w:val="30"/>
        </w:rPr>
        <w:t>102.82</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1.27</w:t>
      </w:r>
      <w:r>
        <w:rPr>
          <w:rFonts w:hint="eastAsia" w:ascii="Times New Roman" w:hAnsi="Times New Roman" w:eastAsia="方正仿宋_GBK"/>
          <w:sz w:val="30"/>
          <w:szCs w:val="30"/>
        </w:rPr>
        <w:t>万元，增长</w:t>
      </w:r>
      <w:r>
        <w:rPr>
          <w:rFonts w:ascii="Times New Roman" w:hAnsi="Times New Roman" w:eastAsia="方正仿宋_GBK"/>
          <w:sz w:val="30"/>
          <w:szCs w:val="30"/>
        </w:rPr>
        <w:t>1.3%</w:t>
      </w:r>
      <w:r>
        <w:rPr>
          <w:rFonts w:hint="eastAsia" w:ascii="Times New Roman" w:hAnsi="Times New Roman" w:eastAsia="方正仿宋_GBK"/>
          <w:sz w:val="30"/>
          <w:szCs w:val="30"/>
        </w:rPr>
        <w:t>，主要原因是增人增资。公用经费用途主要包括办公设备购置、更新、办公费、印刷费等。</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（五）政府性基金预算收支决算情况说明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年度政府性基金预算财政拨款年初结转结余</w:t>
      </w:r>
      <w:r>
        <w:rPr>
          <w:rFonts w:ascii="Times New Roman" w:hAnsi="Times New Roman" w:eastAsia="方正仿宋_GBK"/>
          <w:sz w:val="30"/>
          <w:szCs w:val="30"/>
        </w:rPr>
        <w:t>3.04</w:t>
      </w:r>
      <w:r>
        <w:rPr>
          <w:rFonts w:hint="eastAsia" w:ascii="Times New Roman" w:hAnsi="Times New Roman" w:eastAsia="方正仿宋_GBK"/>
          <w:sz w:val="30"/>
          <w:szCs w:val="30"/>
        </w:rPr>
        <w:t>万元，年末结转结余</w:t>
      </w:r>
      <w:r>
        <w:rPr>
          <w:rFonts w:ascii="Times New Roman" w:hAnsi="Times New Roman" w:eastAsia="方正仿宋_GBK"/>
          <w:sz w:val="30"/>
          <w:szCs w:val="30"/>
        </w:rPr>
        <w:t>0.00</w:t>
      </w:r>
      <w:r>
        <w:rPr>
          <w:rFonts w:hint="eastAsia" w:ascii="Times New Roman" w:hAnsi="Times New Roman" w:eastAsia="方正仿宋_GBK"/>
          <w:sz w:val="30"/>
          <w:szCs w:val="30"/>
        </w:rPr>
        <w:t>万元。本年收入</w:t>
      </w:r>
      <w:r>
        <w:rPr>
          <w:rFonts w:ascii="Times New Roman" w:hAnsi="Times New Roman" w:eastAsia="方正仿宋_GBK"/>
          <w:sz w:val="30"/>
          <w:szCs w:val="30"/>
        </w:rPr>
        <w:t>10,164.55</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3,643.78</w:t>
      </w:r>
      <w:r>
        <w:rPr>
          <w:rFonts w:hint="eastAsia" w:ascii="Times New Roman" w:hAnsi="Times New Roman" w:eastAsia="方正仿宋_GBK"/>
          <w:sz w:val="30"/>
          <w:szCs w:val="30"/>
        </w:rPr>
        <w:t>万元，增长</w:t>
      </w:r>
      <w:r>
        <w:rPr>
          <w:rFonts w:ascii="Times New Roman" w:hAnsi="Times New Roman" w:eastAsia="方正仿宋_GBK"/>
          <w:sz w:val="30"/>
          <w:szCs w:val="30"/>
        </w:rPr>
        <w:t>55.9%</w:t>
      </w:r>
      <w:r>
        <w:rPr>
          <w:rFonts w:hint="eastAsia" w:ascii="Times New Roman" w:hAnsi="Times New Roman" w:eastAsia="方正仿宋_GBK"/>
          <w:sz w:val="30"/>
          <w:szCs w:val="30"/>
        </w:rPr>
        <w:t>，主要原因是使用了政府性基金及专项债资金开展社区便民服务中心建设。本年支出</w:t>
      </w:r>
      <w:r>
        <w:rPr>
          <w:rFonts w:ascii="Times New Roman" w:hAnsi="Times New Roman" w:eastAsia="方正仿宋_GBK"/>
          <w:sz w:val="30"/>
          <w:szCs w:val="30"/>
        </w:rPr>
        <w:t>10,167.59</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3,641.32</w:t>
      </w:r>
      <w:r>
        <w:rPr>
          <w:rFonts w:hint="eastAsia" w:ascii="Times New Roman" w:hAnsi="Times New Roman" w:eastAsia="方正仿宋_GBK"/>
          <w:sz w:val="30"/>
          <w:szCs w:val="30"/>
        </w:rPr>
        <w:t>万元，增长</w:t>
      </w:r>
      <w:r>
        <w:rPr>
          <w:rFonts w:ascii="Times New Roman" w:hAnsi="Times New Roman" w:eastAsia="方正仿宋_GBK"/>
          <w:sz w:val="30"/>
          <w:szCs w:val="30"/>
        </w:rPr>
        <w:t>55.8%</w:t>
      </w:r>
      <w:r>
        <w:rPr>
          <w:rFonts w:hint="eastAsia" w:ascii="Times New Roman" w:hAnsi="Times New Roman" w:eastAsia="方正仿宋_GBK"/>
          <w:sz w:val="30"/>
          <w:szCs w:val="30"/>
        </w:rPr>
        <w:t>，主要原因是使用了政府性基金及专项债资金开展社区便民服务中心建设。</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（六）国有资本经营预算财政拨款支出决算情况说明。</w:t>
      </w:r>
    </w:p>
    <w:p>
      <w:pPr>
        <w:spacing w:line="594" w:lineRule="exact"/>
        <w:ind w:firstLine="600" w:firstLineChars="200"/>
        <w:jc w:val="both"/>
        <w:rPr>
          <w:rFonts w:ascii="方正楷体_GBK" w:hAnsi="Times New Roman" w:eastAsia="方正楷体_GBK"/>
          <w:sz w:val="30"/>
        </w:rPr>
      </w:pPr>
      <w:r>
        <w:rPr>
          <w:rFonts w:hint="eastAsia" w:ascii="Times New Roman" w:hAnsi="Times New Roman" w:eastAsia="方正仿宋_GBK"/>
          <w:sz w:val="30"/>
          <w:szCs w:val="30"/>
        </w:rPr>
        <w:t>本部门</w:t>
      </w:r>
      <w:r>
        <w:rPr>
          <w:rFonts w:ascii="Times New Roman" w:hAnsi="Times New Roman" w:eastAsia="方正仿宋_GBK"/>
          <w:sz w:val="30"/>
          <w:szCs w:val="30"/>
        </w:rPr>
        <w:t>2021</w:t>
      </w:r>
      <w:r>
        <w:rPr>
          <w:rFonts w:hint="eastAsia" w:ascii="Times New Roman" w:hAnsi="Times New Roman" w:eastAsia="方正仿宋_GBK"/>
          <w:sz w:val="30"/>
          <w:szCs w:val="30"/>
        </w:rPr>
        <w:t>年度无国有资本经营预算财政拨款支出，较上年决算数和年初预算数持平。</w:t>
      </w:r>
    </w:p>
    <w:p>
      <w:pPr>
        <w:spacing w:line="594" w:lineRule="exact"/>
        <w:ind w:firstLine="600" w:firstLineChars="200"/>
        <w:jc w:val="both"/>
        <w:rPr>
          <w:rFonts w:ascii="方正黑体_GBK" w:hAnsi="Times New Roman" w:eastAsia="方正黑体_GBK"/>
          <w:sz w:val="30"/>
        </w:rPr>
      </w:pPr>
      <w:r>
        <w:rPr>
          <w:rFonts w:hint="eastAsia" w:ascii="方正黑体_GBK" w:hAnsi="Times New Roman" w:eastAsia="方正黑体_GBK"/>
          <w:sz w:val="30"/>
        </w:rPr>
        <w:t>三、“三公”经费情况说明</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（一）“三公”经费支出总体情况说明。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年度“三公”经费支出共计</w:t>
      </w:r>
      <w:r>
        <w:rPr>
          <w:rFonts w:ascii="Times New Roman" w:hAnsi="Times New Roman" w:eastAsia="方正仿宋_GBK"/>
          <w:sz w:val="30"/>
          <w:szCs w:val="30"/>
        </w:rPr>
        <w:t>5.58</w:t>
      </w:r>
      <w:r>
        <w:rPr>
          <w:rFonts w:hint="eastAsia" w:ascii="Times New Roman" w:hAnsi="Times New Roman" w:eastAsia="方正仿宋_GBK"/>
          <w:sz w:val="30"/>
          <w:szCs w:val="30"/>
        </w:rPr>
        <w:t>万元，较年初预算数减少</w:t>
      </w:r>
      <w:r>
        <w:rPr>
          <w:rFonts w:ascii="Times New Roman" w:hAnsi="Times New Roman" w:eastAsia="方正仿宋_GBK"/>
          <w:sz w:val="30"/>
          <w:szCs w:val="30"/>
        </w:rPr>
        <w:t>19.32</w:t>
      </w:r>
      <w:r>
        <w:rPr>
          <w:rFonts w:hint="eastAsia" w:ascii="Times New Roman" w:hAnsi="Times New Roman" w:eastAsia="方正仿宋_GBK"/>
          <w:sz w:val="30"/>
          <w:szCs w:val="30"/>
        </w:rPr>
        <w:t>万元，下降</w:t>
      </w:r>
      <w:r>
        <w:rPr>
          <w:rFonts w:ascii="Times New Roman" w:hAnsi="Times New Roman" w:eastAsia="方正仿宋_GBK"/>
          <w:sz w:val="30"/>
          <w:szCs w:val="30"/>
        </w:rPr>
        <w:t>77.6%</w:t>
      </w:r>
      <w:r>
        <w:rPr>
          <w:rFonts w:hint="eastAsia" w:ascii="Times New Roman" w:hAnsi="Times New Roman" w:eastAsia="方正仿宋_GBK"/>
          <w:sz w:val="30"/>
          <w:szCs w:val="30"/>
        </w:rPr>
        <w:t>，主要原因是因机构改革，原军休中心公务用车费用不再在我局体现；较上年支出数增加</w:t>
      </w:r>
      <w:r>
        <w:rPr>
          <w:rFonts w:ascii="Times New Roman" w:hAnsi="Times New Roman" w:eastAsia="方正仿宋_GBK"/>
          <w:sz w:val="30"/>
          <w:szCs w:val="30"/>
        </w:rPr>
        <w:t>0.92</w:t>
      </w:r>
      <w:r>
        <w:rPr>
          <w:rFonts w:hint="eastAsia" w:ascii="Times New Roman" w:hAnsi="Times New Roman" w:eastAsia="方正仿宋_GBK"/>
          <w:sz w:val="30"/>
          <w:szCs w:val="30"/>
        </w:rPr>
        <w:t>万元，增长</w:t>
      </w:r>
      <w:r>
        <w:rPr>
          <w:rFonts w:ascii="Times New Roman" w:hAnsi="Times New Roman" w:eastAsia="方正仿宋_GBK"/>
          <w:sz w:val="30"/>
          <w:szCs w:val="30"/>
        </w:rPr>
        <w:t>19.7%</w:t>
      </w:r>
      <w:r>
        <w:rPr>
          <w:rFonts w:hint="eastAsia" w:ascii="Times New Roman" w:hAnsi="Times New Roman" w:eastAsia="方正仿宋_GBK"/>
          <w:sz w:val="30"/>
          <w:szCs w:val="30"/>
        </w:rPr>
        <w:t>，主要原因是检查执法等工作任务增加，以及救助车车龄较长，维修保养费用增加。</w:t>
      </w:r>
    </w:p>
    <w:p>
      <w:pPr>
        <w:spacing w:line="594" w:lineRule="exact"/>
        <w:ind w:firstLine="600" w:firstLineChars="200"/>
        <w:jc w:val="both"/>
        <w:rPr>
          <w:rFonts w:ascii="Times New Roman" w:hAnsi="Times New Roman" w:eastAsia="方正仿宋_GBK"/>
          <w:sz w:val="30"/>
          <w:szCs w:val="30"/>
        </w:rPr>
      </w:pPr>
      <w:r>
        <w:rPr>
          <w:rFonts w:hint="eastAsia" w:ascii="方正楷体_GBK" w:hAnsi="Times New Roman" w:eastAsia="方正楷体_GBK"/>
          <w:sz w:val="30"/>
        </w:rPr>
        <w:t>（二）“三公”经费分项支出情况。</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年度本部门未发生因公出国（境）费用。费用支出较年初预算数持平，较上年支出数持平。</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公务车购置费</w:t>
      </w:r>
      <w:r>
        <w:rPr>
          <w:rFonts w:ascii="Times New Roman" w:hAnsi="Times New Roman" w:eastAsia="方正仿宋_GBK"/>
          <w:sz w:val="30"/>
          <w:szCs w:val="30"/>
        </w:rPr>
        <w:t>0</w:t>
      </w:r>
      <w:r>
        <w:rPr>
          <w:rFonts w:hint="eastAsia" w:ascii="Times New Roman" w:hAnsi="Times New Roman" w:eastAsia="方正仿宋_GBK"/>
          <w:sz w:val="30"/>
          <w:szCs w:val="30"/>
        </w:rPr>
        <w:t>万元，与上年一致。</w:t>
      </w:r>
    </w:p>
    <w:p>
      <w:pPr>
        <w:ind w:firstLine="600"/>
        <w:rPr>
          <w:rFonts w:ascii="Times New Roman" w:hAnsi="Times New Roman" w:eastAsia="方正仿宋_GBK"/>
          <w:sz w:val="30"/>
          <w:szCs w:val="30"/>
        </w:rPr>
      </w:pPr>
      <w:r>
        <w:rPr>
          <w:rFonts w:hint="eastAsia" w:ascii="Times New Roman" w:hAnsi="Times New Roman" w:eastAsia="方正仿宋_GBK"/>
          <w:sz w:val="30"/>
          <w:szCs w:val="30"/>
        </w:rPr>
        <w:t>公务车运行维护费</w:t>
      </w:r>
      <w:r>
        <w:rPr>
          <w:rFonts w:ascii="Times New Roman" w:hAnsi="Times New Roman" w:eastAsia="方正仿宋_GBK"/>
          <w:sz w:val="30"/>
          <w:szCs w:val="30"/>
        </w:rPr>
        <w:t>3.93</w:t>
      </w:r>
      <w:r>
        <w:rPr>
          <w:rFonts w:hint="eastAsia" w:ascii="Times New Roman" w:hAnsi="Times New Roman" w:eastAsia="方正仿宋_GBK"/>
          <w:sz w:val="30"/>
          <w:szCs w:val="30"/>
        </w:rPr>
        <w:t>万元，主要用于工作所需车辆的燃料费、维修费、过桥过路费、保险费等。费用支出较年初预算数减少</w:t>
      </w:r>
      <w:r>
        <w:rPr>
          <w:rFonts w:ascii="Times New Roman" w:hAnsi="Times New Roman" w:eastAsia="方正仿宋_GBK"/>
          <w:sz w:val="30"/>
          <w:szCs w:val="30"/>
        </w:rPr>
        <w:t>18.07</w:t>
      </w:r>
      <w:r>
        <w:rPr>
          <w:rFonts w:hint="eastAsia" w:ascii="Times New Roman" w:hAnsi="Times New Roman" w:eastAsia="方正仿宋_GBK"/>
          <w:sz w:val="30"/>
          <w:szCs w:val="30"/>
        </w:rPr>
        <w:t>万元，下降</w:t>
      </w:r>
      <w:r>
        <w:rPr>
          <w:rFonts w:ascii="Times New Roman" w:hAnsi="Times New Roman" w:eastAsia="方正仿宋_GBK"/>
          <w:sz w:val="30"/>
          <w:szCs w:val="30"/>
        </w:rPr>
        <w:t>82.1%</w:t>
      </w:r>
      <w:r>
        <w:rPr>
          <w:rFonts w:hint="eastAsia" w:ascii="Times New Roman" w:hAnsi="Times New Roman" w:eastAsia="方正仿宋_GBK"/>
          <w:sz w:val="30"/>
          <w:szCs w:val="30"/>
        </w:rPr>
        <w:t>，主要原因是因机构改革，原军休中心公务用车费用不再在我局体现；较上年支出数增加</w:t>
      </w:r>
      <w:r>
        <w:rPr>
          <w:rFonts w:ascii="Times New Roman" w:hAnsi="Times New Roman" w:eastAsia="方正仿宋_GBK"/>
          <w:sz w:val="30"/>
          <w:szCs w:val="30"/>
        </w:rPr>
        <w:t>1.00</w:t>
      </w:r>
      <w:r>
        <w:rPr>
          <w:rFonts w:hint="eastAsia" w:ascii="Times New Roman" w:hAnsi="Times New Roman" w:eastAsia="方正仿宋_GBK"/>
          <w:sz w:val="30"/>
          <w:szCs w:val="30"/>
        </w:rPr>
        <w:t>万元，增长</w:t>
      </w:r>
      <w:r>
        <w:rPr>
          <w:rFonts w:ascii="Times New Roman" w:hAnsi="Times New Roman" w:eastAsia="方正仿宋_GBK"/>
          <w:sz w:val="30"/>
          <w:szCs w:val="30"/>
        </w:rPr>
        <w:t>34.1%</w:t>
      </w:r>
      <w:r>
        <w:rPr>
          <w:rFonts w:hint="eastAsia" w:ascii="Times New Roman" w:hAnsi="Times New Roman" w:eastAsia="方正仿宋_GBK"/>
          <w:sz w:val="30"/>
          <w:szCs w:val="30"/>
        </w:rPr>
        <w:t>，主要原因是检查执法等工作任务增加、救助车车龄较长，维修保养费用增加。</w:t>
      </w:r>
    </w:p>
    <w:p>
      <w:pPr>
        <w:ind w:firstLine="600"/>
        <w:rPr>
          <w:rFonts w:ascii="Times New Roman" w:hAnsi="Times New Roman" w:eastAsia="方正仿宋_GBK"/>
          <w:sz w:val="30"/>
          <w:szCs w:val="30"/>
        </w:rPr>
      </w:pPr>
      <w:r>
        <w:rPr>
          <w:rFonts w:hint="eastAsia" w:ascii="Times New Roman" w:hAnsi="Times New Roman" w:eastAsia="方正仿宋_GBK"/>
          <w:sz w:val="30"/>
          <w:szCs w:val="30"/>
        </w:rPr>
        <w:t>公务接待费</w:t>
      </w:r>
      <w:r>
        <w:rPr>
          <w:rFonts w:ascii="Times New Roman" w:hAnsi="Times New Roman" w:eastAsia="方正仿宋_GBK"/>
          <w:sz w:val="30"/>
          <w:szCs w:val="30"/>
        </w:rPr>
        <w:t>1.64</w:t>
      </w:r>
      <w:r>
        <w:rPr>
          <w:rFonts w:hint="eastAsia" w:ascii="Times New Roman" w:hAnsi="Times New Roman" w:eastAsia="方正仿宋_GBK"/>
          <w:sz w:val="30"/>
          <w:szCs w:val="30"/>
        </w:rPr>
        <w:t>万元，主要用于接待国内其他省市民政部门到我单位学习调研、考察交流。费用支出较年初预算数减少</w:t>
      </w:r>
      <w:r>
        <w:rPr>
          <w:rFonts w:ascii="Times New Roman" w:hAnsi="Times New Roman" w:eastAsia="方正仿宋_GBK"/>
          <w:sz w:val="30"/>
          <w:szCs w:val="30"/>
        </w:rPr>
        <w:t>1.26</w:t>
      </w:r>
      <w:r>
        <w:rPr>
          <w:rFonts w:hint="eastAsia" w:ascii="Times New Roman" w:hAnsi="Times New Roman" w:eastAsia="方正仿宋_GBK"/>
          <w:sz w:val="30"/>
          <w:szCs w:val="30"/>
        </w:rPr>
        <w:t>万元，下降</w:t>
      </w:r>
      <w:r>
        <w:rPr>
          <w:rFonts w:ascii="Times New Roman" w:hAnsi="Times New Roman" w:eastAsia="方正仿宋_GBK"/>
          <w:sz w:val="30"/>
          <w:szCs w:val="30"/>
        </w:rPr>
        <w:t>43.4%</w:t>
      </w:r>
      <w:r>
        <w:rPr>
          <w:rFonts w:hint="eastAsia" w:ascii="Times New Roman" w:hAnsi="Times New Roman" w:eastAsia="方正仿宋_GBK"/>
          <w:sz w:val="30"/>
          <w:szCs w:val="30"/>
        </w:rPr>
        <w:t>，主要原因是厉行节约；较上年支出数减少</w:t>
      </w:r>
      <w:r>
        <w:rPr>
          <w:rFonts w:ascii="Times New Roman" w:hAnsi="Times New Roman" w:eastAsia="方正仿宋_GBK"/>
          <w:sz w:val="30"/>
          <w:szCs w:val="30"/>
        </w:rPr>
        <w:t>0.09</w:t>
      </w:r>
      <w:r>
        <w:rPr>
          <w:rFonts w:hint="eastAsia" w:ascii="Times New Roman" w:hAnsi="Times New Roman" w:eastAsia="方正仿宋_GBK"/>
          <w:sz w:val="30"/>
          <w:szCs w:val="30"/>
        </w:rPr>
        <w:t>万元，下降</w:t>
      </w:r>
      <w:r>
        <w:rPr>
          <w:rFonts w:ascii="Times New Roman" w:hAnsi="Times New Roman" w:eastAsia="方正仿宋_GBK"/>
          <w:sz w:val="30"/>
          <w:szCs w:val="30"/>
        </w:rPr>
        <w:t>5.2%</w:t>
      </w:r>
      <w:r>
        <w:rPr>
          <w:rFonts w:hint="eastAsia" w:ascii="Times New Roman" w:hAnsi="Times New Roman" w:eastAsia="方正仿宋_GBK"/>
          <w:sz w:val="30"/>
          <w:szCs w:val="30"/>
        </w:rPr>
        <w:t>，主要原因是认真贯彻落实中央八项规定精神和厉行节约要求，强化公务接待支出管理，严格遵守公务接待开支范围和开支标准，严格控制陪餐人数。</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（三）“三公”经费实物量情况。</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年度本部门因公出国（境）共计</w:t>
      </w:r>
      <w:r>
        <w:rPr>
          <w:rFonts w:ascii="Times New Roman" w:hAnsi="Times New Roman" w:eastAsia="方正仿宋_GBK"/>
          <w:sz w:val="30"/>
          <w:szCs w:val="30"/>
        </w:rPr>
        <w:t>0</w:t>
      </w:r>
      <w:r>
        <w:rPr>
          <w:rFonts w:hint="eastAsia" w:ascii="Times New Roman" w:hAnsi="Times New Roman" w:eastAsia="方正仿宋_GBK"/>
          <w:sz w:val="30"/>
          <w:szCs w:val="30"/>
        </w:rPr>
        <w:t>个团组，</w:t>
      </w:r>
      <w:r>
        <w:rPr>
          <w:rFonts w:ascii="Times New Roman" w:hAnsi="Times New Roman" w:eastAsia="方正仿宋_GBK"/>
          <w:sz w:val="30"/>
          <w:szCs w:val="30"/>
        </w:rPr>
        <w:t>0</w:t>
      </w:r>
      <w:r>
        <w:rPr>
          <w:rFonts w:hint="eastAsia" w:ascii="Times New Roman" w:hAnsi="Times New Roman" w:eastAsia="方正仿宋_GBK"/>
          <w:sz w:val="30"/>
          <w:szCs w:val="30"/>
        </w:rPr>
        <w:t>人；公务用车购置</w:t>
      </w:r>
      <w:r>
        <w:rPr>
          <w:rFonts w:ascii="Times New Roman" w:hAnsi="Times New Roman" w:eastAsia="方正仿宋_GBK"/>
          <w:sz w:val="30"/>
          <w:szCs w:val="30"/>
        </w:rPr>
        <w:t>0</w:t>
      </w:r>
      <w:r>
        <w:rPr>
          <w:rFonts w:hint="eastAsia" w:ascii="Times New Roman" w:hAnsi="Times New Roman" w:eastAsia="方正仿宋_GBK"/>
          <w:sz w:val="30"/>
          <w:szCs w:val="30"/>
        </w:rPr>
        <w:t>辆，公务车保有量为</w:t>
      </w:r>
      <w:r>
        <w:rPr>
          <w:rFonts w:ascii="Times New Roman" w:hAnsi="Times New Roman" w:eastAsia="方正仿宋_GBK"/>
          <w:sz w:val="30"/>
          <w:szCs w:val="30"/>
        </w:rPr>
        <w:t>2</w:t>
      </w:r>
      <w:r>
        <w:rPr>
          <w:rFonts w:hint="eastAsia" w:ascii="Times New Roman" w:hAnsi="Times New Roman" w:eastAsia="方正仿宋_GBK"/>
          <w:sz w:val="30"/>
          <w:szCs w:val="30"/>
        </w:rPr>
        <w:t>辆；国内公务接待</w:t>
      </w:r>
      <w:r>
        <w:rPr>
          <w:rFonts w:ascii="Times New Roman" w:hAnsi="Times New Roman" w:eastAsia="方正仿宋_GBK"/>
          <w:sz w:val="30"/>
          <w:szCs w:val="30"/>
        </w:rPr>
        <w:t>11</w:t>
      </w:r>
      <w:r>
        <w:rPr>
          <w:rFonts w:hint="eastAsia" w:ascii="Times New Roman" w:hAnsi="Times New Roman" w:eastAsia="方正仿宋_GBK"/>
          <w:sz w:val="30"/>
          <w:szCs w:val="30"/>
        </w:rPr>
        <w:t>批次</w:t>
      </w:r>
      <w:r>
        <w:rPr>
          <w:rFonts w:ascii="Times New Roman" w:hAnsi="Times New Roman" w:eastAsia="方正仿宋_GBK"/>
          <w:sz w:val="30"/>
          <w:szCs w:val="30"/>
        </w:rPr>
        <w:t>170</w:t>
      </w:r>
      <w:r>
        <w:rPr>
          <w:rFonts w:hint="eastAsia" w:ascii="Times New Roman" w:hAnsi="Times New Roman" w:eastAsia="方正仿宋_GBK"/>
          <w:sz w:val="30"/>
          <w:szCs w:val="30"/>
        </w:rPr>
        <w:t>人，其中：国内外事接待</w:t>
      </w:r>
      <w:r>
        <w:rPr>
          <w:rFonts w:ascii="Times New Roman" w:hAnsi="Times New Roman" w:eastAsia="方正仿宋_GBK"/>
          <w:sz w:val="30"/>
          <w:szCs w:val="30"/>
        </w:rPr>
        <w:t>0</w:t>
      </w:r>
      <w:r>
        <w:rPr>
          <w:rFonts w:hint="eastAsia" w:ascii="Times New Roman" w:hAnsi="Times New Roman" w:eastAsia="方正仿宋_GBK"/>
          <w:sz w:val="30"/>
          <w:szCs w:val="30"/>
        </w:rPr>
        <w:t>批次，</w:t>
      </w:r>
      <w:r>
        <w:rPr>
          <w:rFonts w:ascii="Times New Roman" w:hAnsi="Times New Roman" w:eastAsia="方正仿宋_GBK"/>
          <w:sz w:val="30"/>
          <w:szCs w:val="30"/>
        </w:rPr>
        <w:t>0</w:t>
      </w:r>
      <w:r>
        <w:rPr>
          <w:rFonts w:hint="eastAsia" w:ascii="Times New Roman" w:hAnsi="Times New Roman" w:eastAsia="方正仿宋_GBK"/>
          <w:sz w:val="30"/>
          <w:szCs w:val="30"/>
        </w:rPr>
        <w:t>人；国（境）外公务接待</w:t>
      </w:r>
      <w:r>
        <w:rPr>
          <w:rFonts w:ascii="Times New Roman" w:hAnsi="Times New Roman" w:eastAsia="方正仿宋_GBK"/>
          <w:sz w:val="30"/>
          <w:szCs w:val="30"/>
        </w:rPr>
        <w:t>0</w:t>
      </w:r>
      <w:r>
        <w:rPr>
          <w:rFonts w:hint="eastAsia" w:ascii="Times New Roman" w:hAnsi="Times New Roman" w:eastAsia="方正仿宋_GBK"/>
          <w:sz w:val="30"/>
          <w:szCs w:val="30"/>
        </w:rPr>
        <w:t>批次，</w:t>
      </w:r>
      <w:r>
        <w:rPr>
          <w:rFonts w:ascii="Times New Roman" w:hAnsi="Times New Roman" w:eastAsia="方正仿宋_GBK"/>
          <w:sz w:val="30"/>
          <w:szCs w:val="30"/>
        </w:rPr>
        <w:t>0</w:t>
      </w:r>
      <w:r>
        <w:rPr>
          <w:rFonts w:hint="eastAsia" w:ascii="Times New Roman" w:hAnsi="Times New Roman" w:eastAsia="方正仿宋_GBK"/>
          <w:sz w:val="30"/>
          <w:szCs w:val="30"/>
        </w:rPr>
        <w:t>人。</w:t>
      </w:r>
      <w:r>
        <w:rPr>
          <w:rFonts w:ascii="Times New Roman" w:hAnsi="Times New Roman" w:eastAsia="方正仿宋_GBK"/>
          <w:sz w:val="30"/>
          <w:szCs w:val="30"/>
        </w:rPr>
        <w:t>2021</w:t>
      </w:r>
      <w:r>
        <w:rPr>
          <w:rFonts w:hint="eastAsia" w:ascii="Times New Roman" w:hAnsi="Times New Roman" w:eastAsia="方正仿宋_GBK"/>
          <w:sz w:val="30"/>
          <w:szCs w:val="30"/>
        </w:rPr>
        <w:t>年本部门人均接待费</w:t>
      </w:r>
      <w:r>
        <w:rPr>
          <w:rFonts w:ascii="Times New Roman" w:hAnsi="Times New Roman" w:eastAsia="方正仿宋_GBK"/>
          <w:sz w:val="30"/>
          <w:szCs w:val="30"/>
        </w:rPr>
        <w:t>96.74</w:t>
      </w:r>
      <w:r>
        <w:rPr>
          <w:rFonts w:hint="eastAsia" w:ascii="Times New Roman" w:hAnsi="Times New Roman" w:eastAsia="方正仿宋_GBK"/>
          <w:sz w:val="30"/>
          <w:szCs w:val="30"/>
        </w:rPr>
        <w:t>元，车均购置费</w:t>
      </w:r>
      <w:r>
        <w:rPr>
          <w:rFonts w:ascii="Times New Roman" w:hAnsi="Times New Roman" w:eastAsia="方正仿宋_GBK"/>
          <w:sz w:val="30"/>
          <w:szCs w:val="30"/>
        </w:rPr>
        <w:t>0.00</w:t>
      </w:r>
      <w:r>
        <w:rPr>
          <w:rFonts w:hint="eastAsia" w:ascii="Times New Roman" w:hAnsi="Times New Roman" w:eastAsia="方正仿宋_GBK"/>
          <w:sz w:val="30"/>
          <w:szCs w:val="30"/>
        </w:rPr>
        <w:t>万元，车均维护费</w:t>
      </w:r>
      <w:r>
        <w:rPr>
          <w:rFonts w:ascii="Times New Roman" w:hAnsi="Times New Roman" w:eastAsia="方正仿宋_GBK"/>
          <w:sz w:val="30"/>
          <w:szCs w:val="30"/>
        </w:rPr>
        <w:t>1.97</w:t>
      </w:r>
      <w:r>
        <w:rPr>
          <w:rFonts w:hint="eastAsia" w:ascii="Times New Roman" w:hAnsi="Times New Roman" w:eastAsia="方正仿宋_GBK"/>
          <w:sz w:val="30"/>
          <w:szCs w:val="30"/>
        </w:rPr>
        <w:t>万元。</w:t>
      </w:r>
    </w:p>
    <w:p>
      <w:pPr>
        <w:spacing w:line="594" w:lineRule="exact"/>
        <w:ind w:firstLine="600" w:firstLineChars="200"/>
        <w:jc w:val="both"/>
        <w:rPr>
          <w:rFonts w:ascii="方正黑体_GBK" w:hAnsi="Times New Roman" w:eastAsia="方正黑体_GBK"/>
          <w:sz w:val="30"/>
        </w:rPr>
      </w:pPr>
      <w:r>
        <w:rPr>
          <w:rFonts w:hint="eastAsia" w:ascii="方正黑体_GBK" w:hAnsi="Times New Roman" w:eastAsia="方正黑体_GBK"/>
          <w:sz w:val="30"/>
        </w:rPr>
        <w:t>四、其他需要说明的事项</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（一）一般公共预算财政拨款会议费和培训费情况说明</w:t>
      </w:r>
    </w:p>
    <w:p>
      <w:pPr>
        <w:spacing w:line="594" w:lineRule="exact"/>
        <w:ind w:firstLine="600" w:firstLineChars="200"/>
        <w:jc w:val="both"/>
        <w:rPr>
          <w:rFonts w:ascii="Times New Roman" w:hAnsi="Times New Roman" w:eastAsia="方正仿宋_GBK"/>
          <w:sz w:val="30"/>
          <w:szCs w:val="30"/>
        </w:rPr>
      </w:pPr>
      <w:r>
        <w:rPr>
          <w:rFonts w:hint="eastAsia" w:ascii="Times New Roman" w:hAnsi="Times New Roman" w:eastAsia="方正仿宋_GBK"/>
          <w:sz w:val="30"/>
          <w:szCs w:val="30"/>
        </w:rPr>
        <w:t>本年度会议费支出</w:t>
      </w:r>
      <w:r>
        <w:rPr>
          <w:rFonts w:ascii="Times New Roman" w:hAnsi="Times New Roman" w:eastAsia="方正仿宋_GBK"/>
          <w:sz w:val="30"/>
          <w:szCs w:val="30"/>
        </w:rPr>
        <w:t>5.28</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2.64</w:t>
      </w:r>
      <w:r>
        <w:rPr>
          <w:rFonts w:hint="eastAsia" w:ascii="Times New Roman" w:hAnsi="Times New Roman" w:eastAsia="方正仿宋_GBK"/>
          <w:sz w:val="30"/>
          <w:szCs w:val="30"/>
        </w:rPr>
        <w:t>万元，增长</w:t>
      </w:r>
      <w:r>
        <w:rPr>
          <w:rFonts w:ascii="Times New Roman" w:hAnsi="Times New Roman" w:eastAsia="方正仿宋_GBK"/>
          <w:sz w:val="30"/>
          <w:szCs w:val="30"/>
        </w:rPr>
        <w:t>100%</w:t>
      </w:r>
      <w:r>
        <w:rPr>
          <w:rFonts w:hint="eastAsia" w:ascii="Times New Roman" w:hAnsi="Times New Roman" w:eastAsia="方正仿宋_GBK"/>
          <w:sz w:val="30"/>
          <w:szCs w:val="30"/>
        </w:rPr>
        <w:t>，主要原因是社会组织党组织工作会议费用增加。本年度培训费支出</w:t>
      </w:r>
      <w:r>
        <w:rPr>
          <w:rFonts w:ascii="Times New Roman" w:hAnsi="Times New Roman" w:eastAsia="方正仿宋_GBK"/>
          <w:sz w:val="30"/>
          <w:szCs w:val="30"/>
        </w:rPr>
        <w:t>39.69</w:t>
      </w:r>
      <w:r>
        <w:rPr>
          <w:rFonts w:hint="eastAsia" w:ascii="Times New Roman" w:hAnsi="Times New Roman" w:eastAsia="方正仿宋_GBK"/>
          <w:sz w:val="30"/>
          <w:szCs w:val="30"/>
        </w:rPr>
        <w:t>万元，上年度为</w:t>
      </w:r>
      <w:r>
        <w:rPr>
          <w:rFonts w:ascii="Times New Roman" w:hAnsi="Times New Roman" w:eastAsia="方正仿宋_GBK"/>
          <w:sz w:val="30"/>
          <w:szCs w:val="30"/>
        </w:rPr>
        <w:t>0.21</w:t>
      </w:r>
      <w:r>
        <w:rPr>
          <w:rFonts w:hint="eastAsia" w:ascii="Times New Roman" w:hAnsi="Times New Roman" w:eastAsia="方正仿宋_GBK"/>
          <w:sz w:val="30"/>
          <w:szCs w:val="30"/>
        </w:rPr>
        <w:t>万元，较上年决算数增加</w:t>
      </w:r>
      <w:r>
        <w:rPr>
          <w:rFonts w:ascii="Times New Roman" w:hAnsi="Times New Roman" w:eastAsia="方正仿宋_GBK"/>
          <w:sz w:val="30"/>
          <w:szCs w:val="30"/>
        </w:rPr>
        <w:t>39.48</w:t>
      </w:r>
      <w:r>
        <w:rPr>
          <w:rFonts w:hint="eastAsia" w:ascii="Times New Roman" w:hAnsi="Times New Roman" w:eastAsia="方正仿宋_GBK"/>
          <w:sz w:val="30"/>
          <w:szCs w:val="30"/>
        </w:rPr>
        <w:t>万元，增长</w:t>
      </w:r>
      <w:r>
        <w:rPr>
          <w:rFonts w:ascii="Times New Roman" w:hAnsi="Times New Roman" w:eastAsia="方正仿宋_GBK"/>
          <w:sz w:val="30"/>
          <w:szCs w:val="30"/>
        </w:rPr>
        <w:t>18800%</w:t>
      </w:r>
      <w:r>
        <w:rPr>
          <w:rFonts w:hint="eastAsia" w:ascii="Times New Roman" w:hAnsi="Times New Roman" w:eastAsia="方正仿宋_GBK"/>
          <w:sz w:val="30"/>
          <w:szCs w:val="30"/>
        </w:rPr>
        <w:t>，主要原因是新增渝中区</w:t>
      </w:r>
      <w:r>
        <w:rPr>
          <w:rFonts w:ascii="Times New Roman" w:hAnsi="Times New Roman" w:eastAsia="方正仿宋_GBK"/>
          <w:sz w:val="30"/>
          <w:szCs w:val="30"/>
        </w:rPr>
        <w:t>2021</w:t>
      </w:r>
      <w:r>
        <w:rPr>
          <w:rFonts w:hint="eastAsia" w:ascii="Times New Roman" w:hAnsi="Times New Roman" w:eastAsia="方正仿宋_GBK"/>
          <w:sz w:val="30"/>
          <w:szCs w:val="30"/>
        </w:rPr>
        <w:t>专职社区工作者培训项目经费。</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（二）机关运行经费情况说明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 2021</w:t>
      </w:r>
      <w:r>
        <w:rPr>
          <w:rFonts w:hint="eastAsia" w:ascii="Times New Roman" w:hAnsi="Times New Roman" w:eastAsia="方正仿宋_GBK"/>
          <w:sz w:val="30"/>
          <w:szCs w:val="30"/>
        </w:rPr>
        <w:t>年度本部门机关运行经费支出</w:t>
      </w:r>
      <w:r>
        <w:rPr>
          <w:rFonts w:ascii="Times New Roman" w:hAnsi="Times New Roman" w:eastAsia="方正仿宋_GBK"/>
          <w:sz w:val="30"/>
          <w:szCs w:val="30"/>
        </w:rPr>
        <w:t>102.82</w:t>
      </w:r>
      <w:r>
        <w:rPr>
          <w:rFonts w:hint="eastAsia" w:ascii="Times New Roman" w:hAnsi="Times New Roman" w:eastAsia="方正仿宋_GBK"/>
          <w:sz w:val="30"/>
          <w:szCs w:val="30"/>
        </w:rPr>
        <w:t>万元，机关运行经费主要用于开支办公费、电费、劳务费、业务委托费等支出。机关运行经费较上年决算数增加</w:t>
      </w:r>
      <w:r>
        <w:rPr>
          <w:rFonts w:ascii="Times New Roman" w:hAnsi="Times New Roman" w:eastAsia="方正仿宋_GBK"/>
          <w:sz w:val="30"/>
          <w:szCs w:val="30"/>
        </w:rPr>
        <w:t>1.27</w:t>
      </w:r>
      <w:r>
        <w:rPr>
          <w:rFonts w:hint="eastAsia" w:ascii="Times New Roman" w:hAnsi="Times New Roman" w:eastAsia="方正仿宋_GBK"/>
          <w:sz w:val="30"/>
          <w:szCs w:val="30"/>
        </w:rPr>
        <w:t>万元，增长</w:t>
      </w:r>
      <w:r>
        <w:rPr>
          <w:rFonts w:ascii="Times New Roman" w:hAnsi="Times New Roman" w:eastAsia="方正仿宋_GBK"/>
          <w:sz w:val="30"/>
          <w:szCs w:val="30"/>
        </w:rPr>
        <w:t>1.3%</w:t>
      </w:r>
      <w:r>
        <w:rPr>
          <w:rFonts w:hint="eastAsia" w:ascii="Times New Roman" w:hAnsi="Times New Roman" w:eastAsia="方正仿宋_GBK"/>
          <w:sz w:val="30"/>
          <w:szCs w:val="30"/>
        </w:rPr>
        <w:t>，主要原因是增人增资。</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（三）国有资产占用情况说明。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 </w:t>
      </w:r>
      <w:r>
        <w:rPr>
          <w:rFonts w:hint="eastAsia" w:ascii="Times New Roman" w:hAnsi="Times New Roman" w:eastAsia="方正仿宋_GBK"/>
          <w:sz w:val="30"/>
          <w:szCs w:val="30"/>
        </w:rPr>
        <w:t>截至</w:t>
      </w:r>
      <w:r>
        <w:rPr>
          <w:rFonts w:ascii="Times New Roman" w:hAnsi="Times New Roman" w:eastAsia="方正仿宋_GBK"/>
          <w:sz w:val="30"/>
          <w:szCs w:val="30"/>
        </w:rPr>
        <w:t>2021</w:t>
      </w:r>
      <w:r>
        <w:rPr>
          <w:rFonts w:hint="eastAsia" w:ascii="Times New Roman" w:hAnsi="Times New Roman" w:eastAsia="方正仿宋_GBK"/>
          <w:sz w:val="30"/>
          <w:szCs w:val="30"/>
        </w:rPr>
        <w:t>年</w:t>
      </w:r>
      <w:r>
        <w:rPr>
          <w:rFonts w:ascii="Times New Roman" w:hAnsi="Times New Roman" w:eastAsia="方正仿宋_GBK"/>
          <w:sz w:val="30"/>
          <w:szCs w:val="30"/>
        </w:rPr>
        <w:t>12</w:t>
      </w:r>
      <w:r>
        <w:rPr>
          <w:rFonts w:hint="eastAsia" w:ascii="Times New Roman" w:hAnsi="Times New Roman" w:eastAsia="方正仿宋_GBK"/>
          <w:sz w:val="30"/>
          <w:szCs w:val="30"/>
        </w:rPr>
        <w:t>月</w:t>
      </w:r>
      <w:r>
        <w:rPr>
          <w:rFonts w:ascii="Times New Roman" w:hAnsi="Times New Roman" w:eastAsia="方正仿宋_GBK"/>
          <w:sz w:val="30"/>
          <w:szCs w:val="30"/>
        </w:rPr>
        <w:t>31</w:t>
      </w:r>
      <w:r>
        <w:rPr>
          <w:rFonts w:hint="eastAsia" w:ascii="Times New Roman" w:hAnsi="Times New Roman" w:eastAsia="方正仿宋_GBK"/>
          <w:sz w:val="30"/>
          <w:szCs w:val="30"/>
        </w:rPr>
        <w:t>日，本部门共有车辆</w:t>
      </w:r>
      <w:r>
        <w:rPr>
          <w:rFonts w:ascii="Times New Roman" w:hAnsi="Times New Roman" w:eastAsia="方正仿宋_GBK"/>
          <w:sz w:val="30"/>
          <w:szCs w:val="30"/>
        </w:rPr>
        <w:t>2</w:t>
      </w:r>
      <w:r>
        <w:rPr>
          <w:rFonts w:hint="eastAsia" w:ascii="Times New Roman" w:hAnsi="Times New Roman" w:eastAsia="方正仿宋_GBK"/>
          <w:sz w:val="30"/>
          <w:szCs w:val="30"/>
        </w:rPr>
        <w:t>辆，其中，副部（省）级及以上领导用车</w:t>
      </w:r>
      <w:r>
        <w:rPr>
          <w:rFonts w:ascii="Times New Roman" w:hAnsi="Times New Roman" w:eastAsia="方正仿宋_GBK"/>
          <w:sz w:val="30"/>
          <w:szCs w:val="30"/>
        </w:rPr>
        <w:t>0</w:t>
      </w:r>
      <w:r>
        <w:rPr>
          <w:rFonts w:hint="eastAsia" w:ascii="Times New Roman" w:hAnsi="Times New Roman" w:eastAsia="方正仿宋_GBK"/>
          <w:sz w:val="30"/>
          <w:szCs w:val="30"/>
        </w:rPr>
        <w:t>辆、主要领导干部用车</w:t>
      </w:r>
      <w:r>
        <w:rPr>
          <w:rFonts w:ascii="Times New Roman" w:hAnsi="Times New Roman" w:eastAsia="方正仿宋_GBK"/>
          <w:sz w:val="30"/>
          <w:szCs w:val="30"/>
        </w:rPr>
        <w:t>0</w:t>
      </w:r>
      <w:r>
        <w:rPr>
          <w:rFonts w:hint="eastAsia" w:ascii="Times New Roman" w:hAnsi="Times New Roman" w:eastAsia="方正仿宋_GBK"/>
          <w:sz w:val="30"/>
          <w:szCs w:val="30"/>
        </w:rPr>
        <w:t>辆、机要通信用车</w:t>
      </w:r>
      <w:r>
        <w:rPr>
          <w:rFonts w:ascii="Times New Roman" w:hAnsi="Times New Roman" w:eastAsia="方正仿宋_GBK"/>
          <w:sz w:val="30"/>
          <w:szCs w:val="30"/>
        </w:rPr>
        <w:t>0</w:t>
      </w:r>
      <w:r>
        <w:rPr>
          <w:rFonts w:hint="eastAsia" w:ascii="Times New Roman" w:hAnsi="Times New Roman" w:eastAsia="方正仿宋_GBK"/>
          <w:sz w:val="30"/>
          <w:szCs w:val="30"/>
        </w:rPr>
        <w:t>辆、应急保障用车</w:t>
      </w:r>
      <w:r>
        <w:rPr>
          <w:rFonts w:ascii="Times New Roman" w:hAnsi="Times New Roman" w:eastAsia="方正仿宋_GBK"/>
          <w:sz w:val="30"/>
          <w:szCs w:val="30"/>
        </w:rPr>
        <w:t>2</w:t>
      </w:r>
      <w:r>
        <w:rPr>
          <w:rFonts w:hint="eastAsia" w:ascii="Times New Roman" w:hAnsi="Times New Roman" w:eastAsia="方正仿宋_GBK"/>
          <w:sz w:val="30"/>
          <w:szCs w:val="30"/>
        </w:rPr>
        <w:t>辆、执法执勤用车</w:t>
      </w:r>
      <w:r>
        <w:rPr>
          <w:rFonts w:ascii="Times New Roman" w:hAnsi="Times New Roman" w:eastAsia="方正仿宋_GBK"/>
          <w:sz w:val="30"/>
          <w:szCs w:val="30"/>
        </w:rPr>
        <w:t>0</w:t>
      </w:r>
      <w:r>
        <w:rPr>
          <w:rFonts w:hint="eastAsia" w:ascii="Times New Roman" w:hAnsi="Times New Roman" w:eastAsia="方正仿宋_GBK"/>
          <w:sz w:val="30"/>
          <w:szCs w:val="30"/>
        </w:rPr>
        <w:t>辆，特种专业技术用车</w:t>
      </w:r>
      <w:r>
        <w:rPr>
          <w:rFonts w:ascii="Times New Roman" w:hAnsi="Times New Roman" w:eastAsia="方正仿宋_GBK"/>
          <w:sz w:val="30"/>
          <w:szCs w:val="30"/>
        </w:rPr>
        <w:t>0</w:t>
      </w:r>
      <w:r>
        <w:rPr>
          <w:rFonts w:hint="eastAsia" w:ascii="Times New Roman" w:hAnsi="Times New Roman" w:eastAsia="方正仿宋_GBK"/>
          <w:sz w:val="30"/>
          <w:szCs w:val="30"/>
        </w:rPr>
        <w:t>辆，离退休干部用车</w:t>
      </w:r>
      <w:r>
        <w:rPr>
          <w:rFonts w:ascii="Times New Roman" w:hAnsi="Times New Roman" w:eastAsia="方正仿宋_GBK"/>
          <w:sz w:val="30"/>
          <w:szCs w:val="30"/>
        </w:rPr>
        <w:t>0</w:t>
      </w:r>
      <w:r>
        <w:rPr>
          <w:rFonts w:hint="eastAsia" w:ascii="Times New Roman" w:hAnsi="Times New Roman" w:eastAsia="方正仿宋_GBK"/>
          <w:sz w:val="30"/>
          <w:szCs w:val="30"/>
        </w:rPr>
        <w:t>辆，其他用车</w:t>
      </w:r>
      <w:r>
        <w:rPr>
          <w:rFonts w:ascii="Times New Roman" w:hAnsi="Times New Roman" w:eastAsia="方正仿宋_GBK"/>
          <w:sz w:val="30"/>
          <w:szCs w:val="30"/>
        </w:rPr>
        <w:t>0</w:t>
      </w:r>
      <w:r>
        <w:rPr>
          <w:rFonts w:hint="eastAsia" w:ascii="Times New Roman" w:hAnsi="Times New Roman" w:eastAsia="方正仿宋_GBK"/>
          <w:sz w:val="30"/>
          <w:szCs w:val="30"/>
        </w:rPr>
        <w:t>辆，其他用车主要是用于……。单价</w:t>
      </w:r>
      <w:r>
        <w:rPr>
          <w:rFonts w:ascii="Times New Roman" w:hAnsi="Times New Roman" w:eastAsia="方正仿宋_GBK"/>
          <w:sz w:val="30"/>
          <w:szCs w:val="30"/>
        </w:rPr>
        <w:t>50</w:t>
      </w:r>
      <w:r>
        <w:rPr>
          <w:rFonts w:hint="eastAsia" w:ascii="Times New Roman" w:hAnsi="Times New Roman" w:eastAsia="方正仿宋_GBK"/>
          <w:sz w:val="30"/>
          <w:szCs w:val="30"/>
        </w:rPr>
        <w:t>万元（含）以上通用设备</w:t>
      </w:r>
      <w:r>
        <w:rPr>
          <w:rFonts w:ascii="Times New Roman" w:hAnsi="Times New Roman" w:eastAsia="方正仿宋_GBK"/>
          <w:sz w:val="30"/>
          <w:szCs w:val="30"/>
        </w:rPr>
        <w:t>0</w:t>
      </w:r>
      <w:r>
        <w:rPr>
          <w:rFonts w:hint="eastAsia" w:ascii="Times New Roman" w:hAnsi="Times New Roman" w:eastAsia="方正仿宋_GBK"/>
          <w:sz w:val="30"/>
          <w:szCs w:val="30"/>
        </w:rPr>
        <w:t>台（套），单价</w:t>
      </w:r>
      <w:r>
        <w:rPr>
          <w:rFonts w:ascii="Times New Roman" w:hAnsi="Times New Roman" w:eastAsia="方正仿宋_GBK"/>
          <w:sz w:val="30"/>
          <w:szCs w:val="30"/>
        </w:rPr>
        <w:t>100</w:t>
      </w:r>
      <w:r>
        <w:rPr>
          <w:rFonts w:hint="eastAsia" w:ascii="Times New Roman" w:hAnsi="Times New Roman" w:eastAsia="方正仿宋_GBK"/>
          <w:sz w:val="30"/>
          <w:szCs w:val="30"/>
        </w:rPr>
        <w:t>万元（含）以上专用设备</w:t>
      </w:r>
      <w:r>
        <w:rPr>
          <w:rFonts w:ascii="Times New Roman" w:hAnsi="Times New Roman" w:eastAsia="方正仿宋_GBK"/>
          <w:sz w:val="30"/>
          <w:szCs w:val="30"/>
        </w:rPr>
        <w:t>0</w:t>
      </w:r>
      <w:r>
        <w:rPr>
          <w:rFonts w:hint="eastAsia" w:ascii="Times New Roman" w:hAnsi="Times New Roman" w:eastAsia="方正仿宋_GBK"/>
          <w:sz w:val="30"/>
          <w:szCs w:val="30"/>
        </w:rPr>
        <w:t>台（套）。</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（四）政府采购支出情况说明</w:t>
      </w:r>
    </w:p>
    <w:p>
      <w:pPr>
        <w:spacing w:line="594" w:lineRule="exact"/>
        <w:ind w:firstLine="600" w:firstLineChars="200"/>
        <w:jc w:val="both"/>
        <w:rPr>
          <w:rFonts w:ascii="Times New Roman" w:hAnsi="Times New Roman" w:eastAsia="方正仿宋_GBK"/>
          <w:sz w:val="30"/>
          <w:szCs w:val="30"/>
        </w:rPr>
      </w:pPr>
      <w:r>
        <w:rPr>
          <w:rFonts w:ascii="Times New Roman" w:hAnsi="Times New Roman" w:eastAsia="方正仿宋_GBK"/>
          <w:sz w:val="30"/>
          <w:szCs w:val="30"/>
        </w:rPr>
        <w:t>2021</w:t>
      </w:r>
      <w:r>
        <w:rPr>
          <w:rFonts w:hint="eastAsia" w:ascii="Times New Roman" w:hAnsi="Times New Roman" w:eastAsia="方正仿宋_GBK"/>
          <w:sz w:val="30"/>
          <w:szCs w:val="30"/>
        </w:rPr>
        <w:t>年度本部门政府采购支出总额</w:t>
      </w:r>
      <w:r>
        <w:rPr>
          <w:rFonts w:ascii="Times New Roman" w:hAnsi="Times New Roman" w:eastAsia="方正仿宋_GBK"/>
          <w:sz w:val="30"/>
          <w:szCs w:val="30"/>
        </w:rPr>
        <w:t>17.28</w:t>
      </w:r>
      <w:r>
        <w:rPr>
          <w:rFonts w:hint="eastAsia" w:ascii="Times New Roman" w:hAnsi="Times New Roman" w:eastAsia="方正仿宋_GBK"/>
          <w:sz w:val="30"/>
          <w:szCs w:val="30"/>
        </w:rPr>
        <w:t>万元，其中：政府采购货物支出</w:t>
      </w:r>
      <w:r>
        <w:rPr>
          <w:rFonts w:ascii="Times New Roman" w:hAnsi="Times New Roman" w:eastAsia="方正仿宋_GBK"/>
          <w:sz w:val="30"/>
          <w:szCs w:val="30"/>
        </w:rPr>
        <w:t>17.28</w:t>
      </w:r>
      <w:r>
        <w:rPr>
          <w:rFonts w:hint="eastAsia" w:ascii="Times New Roman" w:hAnsi="Times New Roman" w:eastAsia="方正仿宋_GBK"/>
          <w:sz w:val="30"/>
          <w:szCs w:val="30"/>
        </w:rPr>
        <w:t>万元、政府采购工程支出</w:t>
      </w:r>
      <w:r>
        <w:rPr>
          <w:rFonts w:ascii="Times New Roman" w:hAnsi="Times New Roman" w:eastAsia="方正仿宋_GBK"/>
          <w:sz w:val="30"/>
          <w:szCs w:val="30"/>
        </w:rPr>
        <w:t>0.00</w:t>
      </w:r>
      <w:r>
        <w:rPr>
          <w:rFonts w:hint="eastAsia" w:ascii="Times New Roman" w:hAnsi="Times New Roman" w:eastAsia="方正仿宋_GBK"/>
          <w:sz w:val="30"/>
          <w:szCs w:val="30"/>
        </w:rPr>
        <w:t>万元、政府采购服务支出</w:t>
      </w:r>
      <w:r>
        <w:rPr>
          <w:rFonts w:ascii="Times New Roman" w:hAnsi="Times New Roman" w:eastAsia="方正仿宋_GBK"/>
          <w:sz w:val="30"/>
          <w:szCs w:val="30"/>
        </w:rPr>
        <w:t>0.00</w:t>
      </w:r>
      <w:r>
        <w:rPr>
          <w:rFonts w:hint="eastAsia" w:ascii="Times New Roman" w:hAnsi="Times New Roman" w:eastAsia="方正仿宋_GBK"/>
          <w:sz w:val="30"/>
          <w:szCs w:val="30"/>
        </w:rPr>
        <w:t>万元。授予中小企业合同金额</w:t>
      </w:r>
      <w:r>
        <w:rPr>
          <w:rFonts w:ascii="Times New Roman" w:hAnsi="Times New Roman" w:eastAsia="方正仿宋_GBK"/>
          <w:sz w:val="30"/>
          <w:szCs w:val="30"/>
        </w:rPr>
        <w:t>17.28</w:t>
      </w:r>
      <w:r>
        <w:rPr>
          <w:rFonts w:hint="eastAsia" w:ascii="Times New Roman" w:hAnsi="Times New Roman" w:eastAsia="方正仿宋_GBK"/>
          <w:sz w:val="30"/>
          <w:szCs w:val="30"/>
        </w:rPr>
        <w:t>万元，占政府采购支出总额的</w:t>
      </w:r>
      <w:r>
        <w:rPr>
          <w:rFonts w:ascii="Times New Roman" w:hAnsi="Times New Roman" w:eastAsia="方正仿宋_GBK"/>
          <w:sz w:val="30"/>
          <w:szCs w:val="30"/>
        </w:rPr>
        <w:t>100%</w:t>
      </w:r>
      <w:r>
        <w:rPr>
          <w:rFonts w:hint="eastAsia" w:ascii="Times New Roman" w:hAnsi="Times New Roman" w:eastAsia="方正仿宋_GBK"/>
          <w:sz w:val="30"/>
          <w:szCs w:val="30"/>
        </w:rPr>
        <w:t>，其中：授予小微企业合同金额</w:t>
      </w:r>
      <w:r>
        <w:rPr>
          <w:rFonts w:ascii="Times New Roman" w:hAnsi="Times New Roman" w:eastAsia="方正仿宋_GBK"/>
          <w:sz w:val="30"/>
          <w:szCs w:val="30"/>
        </w:rPr>
        <w:t>17.28</w:t>
      </w:r>
      <w:r>
        <w:rPr>
          <w:rFonts w:hint="eastAsia" w:ascii="Times New Roman" w:hAnsi="Times New Roman" w:eastAsia="方正仿宋_GBK"/>
          <w:sz w:val="30"/>
          <w:szCs w:val="30"/>
        </w:rPr>
        <w:t>万元，占政府采购支出总额的</w:t>
      </w:r>
      <w:r>
        <w:rPr>
          <w:rFonts w:ascii="Times New Roman" w:hAnsi="Times New Roman" w:eastAsia="方正仿宋_GBK"/>
          <w:sz w:val="30"/>
          <w:szCs w:val="30"/>
        </w:rPr>
        <w:t>100%</w:t>
      </w:r>
      <w:r>
        <w:rPr>
          <w:rFonts w:hint="eastAsia" w:ascii="Times New Roman" w:hAnsi="Times New Roman" w:eastAsia="方正仿宋_GBK"/>
          <w:sz w:val="30"/>
          <w:szCs w:val="30"/>
        </w:rPr>
        <w:t>。主要用于采购办公设备。</w:t>
      </w:r>
    </w:p>
    <w:p>
      <w:pPr>
        <w:spacing w:line="594" w:lineRule="exact"/>
        <w:ind w:firstLine="600" w:firstLineChars="200"/>
        <w:jc w:val="both"/>
        <w:rPr>
          <w:rFonts w:ascii="Times New Roman" w:hAnsi="Times New Roman" w:eastAsia="方正仿宋_GBK"/>
          <w:sz w:val="30"/>
          <w:szCs w:val="30"/>
        </w:rPr>
      </w:pPr>
      <w:r>
        <w:rPr>
          <w:rFonts w:hint="eastAsia" w:ascii="方正黑体_GBK" w:hAnsi="Times New Roman" w:eastAsia="方正黑体_GBK"/>
          <w:sz w:val="30"/>
        </w:rPr>
        <w:t>五、预算绩效管理情况说明</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（一）预算绩效管理工作开展情况。</w:t>
      </w:r>
    </w:p>
    <w:p>
      <w:pPr>
        <w:spacing w:line="594" w:lineRule="exact"/>
        <w:ind w:firstLine="600" w:firstLineChars="200"/>
        <w:jc w:val="both"/>
        <w:rPr>
          <w:rFonts w:ascii="Times New Roman" w:hAnsi="Times New Roman" w:eastAsia="方正仿宋_GBK"/>
          <w:sz w:val="30"/>
        </w:rPr>
      </w:pPr>
      <w:r>
        <w:rPr>
          <w:rFonts w:hint="eastAsia" w:ascii="Times New Roman" w:hAnsi="Times New Roman" w:eastAsia="方正仿宋_GBK"/>
          <w:sz w:val="30"/>
        </w:rPr>
        <w:t>根据预算绩效管理要求，本部门对部门整体和</w:t>
      </w:r>
      <w:r>
        <w:rPr>
          <w:rFonts w:ascii="Times New Roman" w:hAnsi="Times New Roman" w:eastAsia="方正仿宋_GBK"/>
          <w:sz w:val="30"/>
        </w:rPr>
        <w:t>12</w:t>
      </w:r>
      <w:r>
        <w:rPr>
          <w:rFonts w:hint="eastAsia" w:ascii="Times New Roman" w:hAnsi="Times New Roman" w:eastAsia="方正仿宋_GBK"/>
          <w:sz w:val="30"/>
        </w:rPr>
        <w:t>个项目开展了绩效自评，其中，以填报目标自评表形式开展自评</w:t>
      </w:r>
      <w:r>
        <w:rPr>
          <w:rFonts w:ascii="Times New Roman" w:hAnsi="Times New Roman" w:eastAsia="方正仿宋_GBK"/>
          <w:sz w:val="30"/>
        </w:rPr>
        <w:t>13</w:t>
      </w:r>
      <w:r>
        <w:rPr>
          <w:rFonts w:hint="eastAsia" w:ascii="Times New Roman" w:hAnsi="Times New Roman" w:eastAsia="方正仿宋_GBK"/>
          <w:sz w:val="30"/>
        </w:rPr>
        <w:t>项，涉及资金</w:t>
      </w:r>
      <w:r>
        <w:rPr>
          <w:rFonts w:ascii="Times New Roman" w:hAnsi="Times New Roman" w:eastAsia="方正仿宋_GBK"/>
          <w:sz w:val="30"/>
        </w:rPr>
        <w:t>26363.23</w:t>
      </w:r>
      <w:r>
        <w:rPr>
          <w:rFonts w:hint="eastAsia" w:ascii="Times New Roman" w:hAnsi="Times New Roman" w:eastAsia="方正仿宋_GBK"/>
          <w:sz w:val="30"/>
        </w:rPr>
        <w:t>万元；从评价情况来看，基本与年初设定的绩效目标一致。下一步措施：一是进一步加强培训，加强各科室预算绩效管理意识，科学合理地编制预算，提高部门预算质量；二是进一步深化预算绩效目标管理，合理设置绩效目标及考核体系，提高预算绩效管理的科学性、严谨性和可控性，提高资金使用效率；三是加强部门内部监督，强化预算约束；四是在社区组织更多各类政策宣讲，程序办理流程公示，及时与群众沟通，帮助和解决实际困难和问题，深入基层，加大走家进户覆盖率，了解群众需求，增加更多精神与人文关怀，进一步提高社会救助满意度。</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（二）绩效自评结果。</w:t>
      </w:r>
    </w:p>
    <w:p>
      <w:pPr>
        <w:spacing w:line="594" w:lineRule="exact"/>
        <w:ind w:firstLine="602" w:firstLineChars="200"/>
        <w:jc w:val="both"/>
        <w:rPr>
          <w:rFonts w:ascii="Times New Roman" w:hAnsi="Times New Roman" w:eastAsia="方正仿宋_GBK"/>
          <w:b/>
          <w:sz w:val="30"/>
          <w:szCs w:val="30"/>
        </w:rPr>
      </w:pPr>
      <w:r>
        <w:rPr>
          <w:rFonts w:ascii="Times New Roman" w:hAnsi="Times New Roman" w:eastAsia="方正仿宋_GBK"/>
          <w:b/>
          <w:sz w:val="30"/>
          <w:szCs w:val="30"/>
        </w:rPr>
        <w:t>1.</w:t>
      </w:r>
      <w:r>
        <w:rPr>
          <w:rFonts w:hint="eastAsia" w:ascii="Times New Roman" w:hAnsi="Times New Roman" w:eastAsia="方正仿宋_GBK"/>
          <w:b/>
          <w:sz w:val="30"/>
          <w:szCs w:val="30"/>
        </w:rPr>
        <w:t>公开范围及内容。</w:t>
      </w:r>
    </w:p>
    <w:p>
      <w:pPr>
        <w:pStyle w:val="8"/>
        <w:ind w:firstLine="600"/>
      </w:pPr>
      <w:r>
        <w:rPr>
          <w:rFonts w:hint="eastAsia"/>
        </w:rPr>
        <w:t>（</w:t>
      </w:r>
      <w:r>
        <w:t>1</w:t>
      </w:r>
      <w:r>
        <w:rPr>
          <w:rFonts w:hint="eastAsia"/>
        </w:rPr>
        <w:t>）部门整体绩效</w:t>
      </w:r>
    </w:p>
    <w:p>
      <w:pPr>
        <w:pStyle w:val="8"/>
        <w:numPr>
          <w:ilvl w:val="0"/>
          <w:numId w:val="1"/>
        </w:numPr>
        <w:ind w:firstLine="600"/>
      </w:pPr>
      <w:r>
        <w:rPr>
          <w:rFonts w:hint="eastAsia"/>
        </w:rPr>
        <w:t>行政区划和地名管理项目</w:t>
      </w:r>
    </w:p>
    <w:p>
      <w:pPr>
        <w:pStyle w:val="8"/>
        <w:numPr>
          <w:ilvl w:val="0"/>
          <w:numId w:val="1"/>
        </w:numPr>
        <w:ind w:firstLine="600"/>
      </w:pPr>
      <w:r>
        <w:rPr>
          <w:rFonts w:hint="eastAsia"/>
        </w:rPr>
        <w:t>城市临时救助项目</w:t>
      </w:r>
    </w:p>
    <w:p>
      <w:pPr>
        <w:spacing w:line="594" w:lineRule="exact"/>
        <w:ind w:firstLine="602" w:firstLineChars="200"/>
        <w:jc w:val="both"/>
        <w:rPr>
          <w:rFonts w:ascii="Times New Roman" w:hAnsi="Times New Roman" w:eastAsia="方正仿宋_GBK"/>
          <w:b/>
          <w:sz w:val="30"/>
          <w:szCs w:val="30"/>
        </w:rPr>
      </w:pPr>
      <w:r>
        <w:rPr>
          <w:rFonts w:ascii="Times New Roman" w:hAnsi="Times New Roman" w:eastAsia="方正仿宋_GBK"/>
          <w:b/>
          <w:sz w:val="30"/>
          <w:szCs w:val="30"/>
        </w:rPr>
        <w:t>2.</w:t>
      </w:r>
      <w:r>
        <w:rPr>
          <w:rFonts w:hint="eastAsia" w:ascii="Times New Roman" w:hAnsi="Times New Roman" w:eastAsia="方正仿宋_GBK"/>
          <w:b/>
          <w:sz w:val="30"/>
          <w:szCs w:val="30"/>
        </w:rPr>
        <w:t>绩效自评报告或案例。</w:t>
      </w:r>
    </w:p>
    <w:p>
      <w:pPr>
        <w:pStyle w:val="8"/>
        <w:ind w:firstLine="602"/>
      </w:pPr>
      <w:r>
        <w:rPr>
          <w:rFonts w:hint="eastAsia"/>
          <w:b/>
          <w:szCs w:val="30"/>
        </w:rPr>
        <w:t>（</w:t>
      </w:r>
      <w:r>
        <w:rPr>
          <w:b/>
          <w:szCs w:val="30"/>
        </w:rPr>
        <w:t>1</w:t>
      </w:r>
      <w:r>
        <w:rPr>
          <w:rFonts w:hint="eastAsia"/>
          <w:b/>
          <w:szCs w:val="30"/>
        </w:rPr>
        <w:t>）部门整体绩效自评情况：</w:t>
      </w:r>
      <w:r>
        <w:rPr>
          <w:rFonts w:hint="eastAsia"/>
        </w:rPr>
        <w:t>全年较好的完成工作任务。一是强化精准救助。切实解决特殊困难群体生活困难，完善最低生活保障、特困人员供养、临时救助等社会救助体系。二是加快推进社会福利体系建设。建立养老服务三级管理责任机制、大力推动机构养老服务量质齐升、积极推进居家和社区养老服务体系建设、抓好特困人群福利工作。三是创新推进基层社会治理体系建设。不断深化社区共建共治共享，大力推进社会工作发展。四是抓好民政公共服务体系建设。加强区划地名管理，优化婚姻收养管理服务、殡葬管理服务，加强流浪乞讨人员救助管理。五是保质保量完成人大、政协提案议案工作。</w:t>
      </w:r>
    </w:p>
    <w:p>
      <w:pPr>
        <w:pStyle w:val="8"/>
        <w:ind w:firstLine="602"/>
      </w:pPr>
      <w:r>
        <w:rPr>
          <w:rFonts w:hint="eastAsia"/>
          <w:b/>
          <w:szCs w:val="30"/>
        </w:rPr>
        <w:t>（</w:t>
      </w:r>
      <w:r>
        <w:rPr>
          <w:b/>
          <w:szCs w:val="30"/>
        </w:rPr>
        <w:t>2</w:t>
      </w:r>
      <w:r>
        <w:rPr>
          <w:rFonts w:hint="eastAsia"/>
          <w:b/>
          <w:szCs w:val="30"/>
        </w:rPr>
        <w:t>）行政区划和地名管理绩效自评情况。</w:t>
      </w:r>
      <w:r>
        <w:rPr>
          <w:rFonts w:hint="eastAsia"/>
        </w:rPr>
        <w:t>按计划完成《渝中区地名录》、《渝中区地名词典》、《渝中区地名志》，按上级计划完成国家地名词典、地名志，重庆市地名词典、地名志的渝中区部分编写任务，经国家民政部、市民政局设置的编辑部核稿通过。完成《渝中区政区图》、《渝中区社区地图集》更新印制。并经验收合格，地名普查成果转化形成文献性材料，完成市、区考核任务。</w:t>
      </w:r>
    </w:p>
    <w:p>
      <w:pPr>
        <w:pStyle w:val="8"/>
        <w:ind w:firstLine="602"/>
      </w:pPr>
      <w:r>
        <w:rPr>
          <w:rFonts w:hint="eastAsia"/>
          <w:b/>
          <w:szCs w:val="30"/>
        </w:rPr>
        <w:t>（</w:t>
      </w:r>
      <w:r>
        <w:rPr>
          <w:b/>
          <w:szCs w:val="30"/>
        </w:rPr>
        <w:t>3</w:t>
      </w:r>
      <w:r>
        <w:rPr>
          <w:rFonts w:hint="eastAsia"/>
          <w:b/>
          <w:szCs w:val="30"/>
        </w:rPr>
        <w:t>）城市临时救助项目绩效自评情况。</w:t>
      </w:r>
      <w:r>
        <w:rPr>
          <w:rFonts w:hint="eastAsia"/>
        </w:rPr>
        <w:t>落实临时救助政策，确保应救尽救，有效保障辖区困难群众基本生活权利。</w:t>
      </w:r>
    </w:p>
    <w:p>
      <w:pPr>
        <w:spacing w:line="594" w:lineRule="exact"/>
        <w:ind w:firstLine="600" w:firstLineChars="200"/>
        <w:jc w:val="both"/>
        <w:rPr>
          <w:rFonts w:ascii="方正黑体_GBK" w:hAnsi="Times New Roman" w:eastAsia="方正黑体_GBK"/>
          <w:sz w:val="30"/>
        </w:rPr>
      </w:pPr>
      <w:r>
        <w:rPr>
          <w:rFonts w:hint="eastAsia" w:ascii="方正黑体_GBK" w:hAnsi="Times New Roman" w:eastAsia="方正黑体_GBK"/>
          <w:sz w:val="30"/>
        </w:rPr>
        <w:t>六、专业名词解释</w:t>
      </w:r>
    </w:p>
    <w:p>
      <w:pPr>
        <w:spacing w:line="594" w:lineRule="exact"/>
        <w:ind w:firstLine="600" w:firstLineChars="200"/>
        <w:jc w:val="both"/>
        <w:rPr>
          <w:rFonts w:hint="eastAsia" w:ascii="方正仿宋_GBK" w:hAnsi="Times New Roman" w:eastAsia="方正仿宋_GBK"/>
          <w:sz w:val="30"/>
        </w:rPr>
      </w:pPr>
      <w:r>
        <w:rPr>
          <w:rFonts w:hint="eastAsia" w:ascii="方正楷体_GBK" w:hAnsi="Times New Roman" w:eastAsia="方正楷体_GBK"/>
          <w:sz w:val="30"/>
        </w:rPr>
        <w:t>（一）财政拨款收入：</w:t>
      </w:r>
      <w:r>
        <w:rPr>
          <w:rFonts w:hint="eastAsia" w:ascii="方正仿宋_GBK" w:hAnsi="Times New Roman" w:eastAsia="方正仿宋_GBK"/>
          <w:sz w:val="30"/>
        </w:rPr>
        <w:t>指本年度从本级财政部门取得的财政拨款，包括一般公共预算财政拨款和政府性基金预算财政拨款。</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（二）事业收入：</w:t>
      </w:r>
      <w:r>
        <w:rPr>
          <w:rFonts w:hint="eastAsia" w:ascii="方正仿宋_GBK" w:hAnsi="Times New Roman" w:eastAsia="方正仿宋_GBK"/>
          <w:sz w:val="30"/>
        </w:rPr>
        <w:t>指事业单位开展专业业务活动及其辅助活动取得的现金流入；事业单位收到的财政专户实际核拨的教育收费等资金在此反映。</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（三）经营收入：</w:t>
      </w:r>
      <w:r>
        <w:rPr>
          <w:rFonts w:hint="eastAsia" w:ascii="方正仿宋_GBK" w:hAnsi="Times New Roman" w:eastAsia="方正仿宋_GBK"/>
          <w:sz w:val="30"/>
        </w:rPr>
        <w:t>指事业单位在专业业务活动及其辅助活动之外开展非独立核算经营活动取得的现金流入。</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（四）其他收入：</w:t>
      </w:r>
      <w:r>
        <w:rPr>
          <w:rFonts w:hint="eastAsia" w:ascii="方正仿宋_GBK" w:hAnsi="Times New Roman" w:eastAsia="方正仿宋_GBK"/>
          <w:sz w:val="30"/>
        </w:rPr>
        <w:t>指单位取得的除</w:t>
      </w:r>
      <w:r>
        <w:rPr>
          <w:rFonts w:ascii="方正仿宋_GBK" w:hAnsi="Times New Roman" w:eastAsia="方正仿宋_GBK"/>
          <w:sz w:val="30"/>
        </w:rPr>
        <w:t>“</w:t>
      </w:r>
      <w:r>
        <w:rPr>
          <w:rFonts w:hint="eastAsia" w:ascii="方正仿宋_GBK" w:hAnsi="Times New Roman" w:eastAsia="方正仿宋_GBK"/>
          <w:sz w:val="30"/>
        </w:rPr>
        <w:t>财政拨款收入</w:t>
      </w:r>
      <w:r>
        <w:rPr>
          <w:rFonts w:ascii="方正仿宋_GBK" w:hAnsi="Times New Roman" w:eastAsia="方正仿宋_GBK"/>
          <w:sz w:val="30"/>
        </w:rPr>
        <w:t>”</w:t>
      </w:r>
      <w:r>
        <w:rPr>
          <w:rFonts w:hint="eastAsia" w:ascii="方正仿宋_GBK" w:hAnsi="Times New Roman" w:eastAsia="方正仿宋_GBK"/>
          <w:sz w:val="30"/>
        </w:rPr>
        <w:t>、</w:t>
      </w:r>
      <w:r>
        <w:rPr>
          <w:rFonts w:ascii="方正仿宋_GBK" w:hAnsi="Times New Roman" w:eastAsia="方正仿宋_GBK"/>
          <w:sz w:val="30"/>
        </w:rPr>
        <w:t>“</w:t>
      </w:r>
      <w:r>
        <w:rPr>
          <w:rFonts w:hint="eastAsia" w:ascii="方正仿宋_GBK" w:hAnsi="Times New Roman" w:eastAsia="方正仿宋_GBK"/>
          <w:sz w:val="30"/>
        </w:rPr>
        <w:t>事业收入</w:t>
      </w:r>
      <w:r>
        <w:rPr>
          <w:rFonts w:ascii="方正仿宋_GBK" w:hAnsi="Times New Roman" w:eastAsia="方正仿宋_GBK"/>
          <w:sz w:val="30"/>
        </w:rPr>
        <w:t>”</w:t>
      </w:r>
      <w:r>
        <w:rPr>
          <w:rFonts w:hint="eastAsia" w:ascii="方正仿宋_GBK" w:hAnsi="Times New Roman" w:eastAsia="方正仿宋_GBK"/>
          <w:sz w:val="30"/>
        </w:rPr>
        <w:t>、</w:t>
      </w:r>
      <w:r>
        <w:rPr>
          <w:rFonts w:ascii="方正仿宋_GBK" w:hAnsi="Times New Roman" w:eastAsia="方正仿宋_GBK"/>
          <w:sz w:val="30"/>
        </w:rPr>
        <w:t>“</w:t>
      </w:r>
      <w:r>
        <w:rPr>
          <w:rFonts w:hint="eastAsia" w:ascii="方正仿宋_GBK" w:hAnsi="Times New Roman" w:eastAsia="方正仿宋_GBK"/>
          <w:sz w:val="30"/>
        </w:rPr>
        <w:t>经营收入</w:t>
      </w:r>
      <w:r>
        <w:rPr>
          <w:rFonts w:ascii="方正仿宋_GBK" w:hAnsi="Times New Roman" w:eastAsia="方正仿宋_GBK"/>
          <w:sz w:val="30"/>
        </w:rPr>
        <w:t>”</w:t>
      </w:r>
      <w:r>
        <w:rPr>
          <w:rFonts w:hint="eastAsia" w:ascii="方正仿宋_GBK" w:hAnsi="Times New Roman" w:eastAsia="方正仿宋_GBK"/>
          <w:sz w:val="30"/>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（五）用事业基金弥补收支差额：</w:t>
      </w:r>
      <w:r>
        <w:rPr>
          <w:rFonts w:hint="eastAsia" w:ascii="方正仿宋_GBK" w:hAnsi="Times New Roman" w:eastAsia="方正仿宋_GBK"/>
          <w:sz w:val="30"/>
        </w:rPr>
        <w:t>指事业单位在当年的</w:t>
      </w:r>
      <w:r>
        <w:rPr>
          <w:rFonts w:ascii="方正仿宋_GBK" w:hAnsi="Times New Roman" w:eastAsia="方正仿宋_GBK"/>
          <w:sz w:val="30"/>
        </w:rPr>
        <w:t>“</w:t>
      </w:r>
      <w:r>
        <w:rPr>
          <w:rFonts w:hint="eastAsia" w:ascii="方正仿宋_GBK" w:hAnsi="Times New Roman" w:eastAsia="方正仿宋_GBK"/>
          <w:sz w:val="30"/>
        </w:rPr>
        <w:t>财政拨款收入</w:t>
      </w:r>
      <w:r>
        <w:rPr>
          <w:rFonts w:ascii="方正仿宋_GBK" w:hAnsi="Times New Roman" w:eastAsia="方正仿宋_GBK"/>
          <w:sz w:val="30"/>
        </w:rPr>
        <w:t>”</w:t>
      </w:r>
      <w:r>
        <w:rPr>
          <w:rFonts w:hint="eastAsia" w:ascii="方正仿宋_GBK" w:hAnsi="Times New Roman" w:eastAsia="方正仿宋_GBK"/>
          <w:sz w:val="30"/>
        </w:rPr>
        <w:t>、</w:t>
      </w:r>
      <w:r>
        <w:rPr>
          <w:rFonts w:ascii="方正仿宋_GBK" w:hAnsi="Times New Roman" w:eastAsia="方正仿宋_GBK"/>
          <w:sz w:val="30"/>
        </w:rPr>
        <w:t>“</w:t>
      </w:r>
      <w:r>
        <w:rPr>
          <w:rFonts w:hint="eastAsia" w:ascii="方正仿宋_GBK" w:hAnsi="Times New Roman" w:eastAsia="方正仿宋_GBK"/>
          <w:sz w:val="30"/>
        </w:rPr>
        <w:t>事业收入</w:t>
      </w:r>
      <w:r>
        <w:rPr>
          <w:rFonts w:ascii="方正仿宋_GBK" w:hAnsi="Times New Roman" w:eastAsia="方正仿宋_GBK"/>
          <w:sz w:val="30"/>
        </w:rPr>
        <w:t>”</w:t>
      </w:r>
      <w:r>
        <w:rPr>
          <w:rFonts w:hint="eastAsia" w:ascii="方正仿宋_GBK" w:hAnsi="Times New Roman" w:eastAsia="方正仿宋_GBK"/>
          <w:sz w:val="30"/>
        </w:rPr>
        <w:t>、</w:t>
      </w:r>
      <w:r>
        <w:rPr>
          <w:rFonts w:ascii="方正仿宋_GBK" w:hAnsi="Times New Roman" w:eastAsia="方正仿宋_GBK"/>
          <w:sz w:val="30"/>
        </w:rPr>
        <w:t>“</w:t>
      </w:r>
      <w:r>
        <w:rPr>
          <w:rFonts w:hint="eastAsia" w:ascii="方正仿宋_GBK" w:hAnsi="Times New Roman" w:eastAsia="方正仿宋_GBK"/>
          <w:sz w:val="30"/>
        </w:rPr>
        <w:t>经营收入</w:t>
      </w:r>
      <w:r>
        <w:rPr>
          <w:rFonts w:ascii="方正仿宋_GBK" w:hAnsi="Times New Roman" w:eastAsia="方正仿宋_GBK"/>
          <w:sz w:val="30"/>
        </w:rPr>
        <w:t>”</w:t>
      </w:r>
      <w:r>
        <w:rPr>
          <w:rFonts w:hint="eastAsia" w:ascii="方正仿宋_GBK" w:hAnsi="Times New Roman" w:eastAsia="方正仿宋_GBK"/>
          <w:sz w:val="30"/>
        </w:rPr>
        <w:t>、</w:t>
      </w:r>
      <w:r>
        <w:rPr>
          <w:rFonts w:ascii="方正仿宋_GBK" w:hAnsi="Times New Roman" w:eastAsia="方正仿宋_GBK"/>
          <w:sz w:val="30"/>
        </w:rPr>
        <w:t>“</w:t>
      </w:r>
      <w:r>
        <w:rPr>
          <w:rFonts w:hint="eastAsia" w:ascii="方正仿宋_GBK" w:hAnsi="Times New Roman" w:eastAsia="方正仿宋_GBK"/>
          <w:sz w:val="30"/>
        </w:rPr>
        <w:t>其他收入</w:t>
      </w:r>
      <w:r>
        <w:rPr>
          <w:rFonts w:ascii="方正仿宋_GBK" w:hAnsi="Times New Roman" w:eastAsia="方正仿宋_GBK"/>
          <w:sz w:val="30"/>
        </w:rPr>
        <w:t>”</w:t>
      </w:r>
      <w:r>
        <w:rPr>
          <w:rFonts w:hint="eastAsia" w:ascii="方正仿宋_GBK" w:hAnsi="Times New Roman" w:eastAsia="方正仿宋_GBK"/>
          <w:sz w:val="30"/>
        </w:rPr>
        <w:t>等不足以安排当年支出的情况下，使用以前年度积累的事业基金（事业单位当年收支相抵后按国家规定提取、用于弥补以后年度收支差额的基金）弥补本年度收支缺口的资金。</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（六）年初结转和结余：</w:t>
      </w:r>
      <w:r>
        <w:rPr>
          <w:rFonts w:hint="eastAsia" w:ascii="方正仿宋_GBK" w:hAnsi="Times New Roman" w:eastAsia="方正仿宋_GBK"/>
          <w:sz w:val="30"/>
        </w:rPr>
        <w:t>指单位上年结转本年使用的基本支出结转、项目支出结转和结余、经营结余。</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（七）结余分配：</w:t>
      </w:r>
      <w:r>
        <w:rPr>
          <w:rFonts w:hint="eastAsia" w:ascii="方正仿宋_GBK" w:hAnsi="Times New Roman" w:eastAsia="方正仿宋_GBK"/>
          <w:sz w:val="30"/>
        </w:rPr>
        <w:t>指单位按照国家有关规定，缴纳所得税、提取专用基金、转入事业基金等当年结余的分配情况。</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（八）年末结转和结余：</w:t>
      </w:r>
      <w:r>
        <w:rPr>
          <w:rFonts w:hint="eastAsia" w:ascii="方正仿宋_GBK" w:hAnsi="Times New Roman" w:eastAsia="方正仿宋_GBK"/>
          <w:sz w:val="30"/>
        </w:rPr>
        <w:t>指单位结转下年的基本支出结转、项目支出结转和结余、经营结余。</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（九）基本支出：</w:t>
      </w:r>
      <w:r>
        <w:rPr>
          <w:rFonts w:hint="eastAsia" w:ascii="方正仿宋_GBK" w:hAnsi="Times New Roman" w:eastAsia="方正仿宋_GBK"/>
          <w:sz w:val="30"/>
        </w:rPr>
        <w:t>指为保障机构正常运转、完成日常工作任务而发生的人员经费和公用经费。其中：人员经费指政府收支分类经济科目中的</w:t>
      </w:r>
      <w:r>
        <w:rPr>
          <w:rFonts w:ascii="方正仿宋_GBK" w:hAnsi="Times New Roman" w:eastAsia="方正仿宋_GBK"/>
          <w:sz w:val="30"/>
        </w:rPr>
        <w:t>“</w:t>
      </w:r>
      <w:r>
        <w:rPr>
          <w:rFonts w:hint="eastAsia" w:ascii="方正仿宋_GBK" w:hAnsi="Times New Roman" w:eastAsia="方正仿宋_GBK"/>
          <w:sz w:val="30"/>
        </w:rPr>
        <w:t>工资福利支出</w:t>
      </w:r>
      <w:r>
        <w:rPr>
          <w:rFonts w:ascii="方正仿宋_GBK" w:hAnsi="Times New Roman" w:eastAsia="方正仿宋_GBK"/>
          <w:sz w:val="30"/>
        </w:rPr>
        <w:t>”</w:t>
      </w:r>
      <w:r>
        <w:rPr>
          <w:rFonts w:hint="eastAsia" w:ascii="方正仿宋_GBK" w:hAnsi="Times New Roman" w:eastAsia="方正仿宋_GBK"/>
          <w:sz w:val="30"/>
        </w:rPr>
        <w:t>和</w:t>
      </w:r>
      <w:r>
        <w:rPr>
          <w:rFonts w:ascii="方正仿宋_GBK" w:hAnsi="Times New Roman" w:eastAsia="方正仿宋_GBK"/>
          <w:sz w:val="30"/>
        </w:rPr>
        <w:t>“</w:t>
      </w:r>
      <w:r>
        <w:rPr>
          <w:rFonts w:hint="eastAsia" w:ascii="方正仿宋_GBK" w:hAnsi="Times New Roman" w:eastAsia="方正仿宋_GBK"/>
          <w:sz w:val="30"/>
        </w:rPr>
        <w:t>对个人和家庭的补助</w:t>
      </w:r>
      <w:r>
        <w:rPr>
          <w:rFonts w:ascii="方正仿宋_GBK" w:hAnsi="Times New Roman" w:eastAsia="方正仿宋_GBK"/>
          <w:sz w:val="30"/>
        </w:rPr>
        <w:t>”</w:t>
      </w:r>
      <w:r>
        <w:rPr>
          <w:rFonts w:hint="eastAsia" w:ascii="方正仿宋_GBK" w:hAnsi="Times New Roman" w:eastAsia="方正仿宋_GBK"/>
          <w:sz w:val="30"/>
        </w:rPr>
        <w:t>；公用经费指政府收支分类经济科目中除</w:t>
      </w:r>
      <w:r>
        <w:rPr>
          <w:rFonts w:ascii="方正仿宋_GBK" w:hAnsi="Times New Roman" w:eastAsia="方正仿宋_GBK"/>
          <w:sz w:val="30"/>
        </w:rPr>
        <w:t>“</w:t>
      </w:r>
      <w:r>
        <w:rPr>
          <w:rFonts w:hint="eastAsia" w:ascii="方正仿宋_GBK" w:hAnsi="Times New Roman" w:eastAsia="方正仿宋_GBK"/>
          <w:sz w:val="30"/>
        </w:rPr>
        <w:t>工资福利支出</w:t>
      </w:r>
      <w:r>
        <w:rPr>
          <w:rFonts w:ascii="方正仿宋_GBK" w:hAnsi="Times New Roman" w:eastAsia="方正仿宋_GBK"/>
          <w:sz w:val="30"/>
        </w:rPr>
        <w:t>”</w:t>
      </w:r>
      <w:r>
        <w:rPr>
          <w:rFonts w:hint="eastAsia" w:ascii="方正仿宋_GBK" w:hAnsi="Times New Roman" w:eastAsia="方正仿宋_GBK"/>
          <w:sz w:val="30"/>
        </w:rPr>
        <w:t>和</w:t>
      </w:r>
      <w:r>
        <w:rPr>
          <w:rFonts w:ascii="方正仿宋_GBK" w:hAnsi="Times New Roman" w:eastAsia="方正仿宋_GBK"/>
          <w:sz w:val="30"/>
        </w:rPr>
        <w:t>“</w:t>
      </w:r>
      <w:r>
        <w:rPr>
          <w:rFonts w:hint="eastAsia" w:ascii="方正仿宋_GBK" w:hAnsi="Times New Roman" w:eastAsia="方正仿宋_GBK"/>
          <w:sz w:val="30"/>
        </w:rPr>
        <w:t>对个人和家庭的补助</w:t>
      </w:r>
      <w:r>
        <w:rPr>
          <w:rFonts w:ascii="方正仿宋_GBK" w:hAnsi="Times New Roman" w:eastAsia="方正仿宋_GBK"/>
          <w:sz w:val="30"/>
        </w:rPr>
        <w:t>”</w:t>
      </w:r>
      <w:r>
        <w:rPr>
          <w:rFonts w:hint="eastAsia" w:ascii="方正仿宋_GBK" w:hAnsi="Times New Roman" w:eastAsia="方正仿宋_GBK"/>
          <w:sz w:val="30"/>
        </w:rPr>
        <w:t>外的其他支出。</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（十）项目支出：</w:t>
      </w:r>
      <w:r>
        <w:rPr>
          <w:rFonts w:hint="eastAsia" w:ascii="方正仿宋_GBK" w:hAnsi="Times New Roman" w:eastAsia="方正仿宋_GBK"/>
          <w:sz w:val="30"/>
        </w:rPr>
        <w:t>指在基本支出之外为完成特定行政任务和事业发展目标所发生的支出。</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（十一）经营支出：</w:t>
      </w:r>
      <w:r>
        <w:rPr>
          <w:rFonts w:hint="eastAsia" w:ascii="方正仿宋_GBK" w:hAnsi="Times New Roman" w:eastAsia="方正仿宋_GBK"/>
          <w:sz w:val="30"/>
        </w:rPr>
        <w:t>指事业单位在专业业务活动及其辅助活动之外开展非独立核算经营活动发生的支出。</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（十二）</w:t>
      </w:r>
      <w:r>
        <w:rPr>
          <w:rFonts w:ascii="方正楷体_GBK" w:hAnsi="Times New Roman" w:eastAsia="方正楷体_GBK"/>
          <w:sz w:val="30"/>
        </w:rPr>
        <w:t>“</w:t>
      </w:r>
      <w:r>
        <w:rPr>
          <w:rFonts w:hint="eastAsia" w:ascii="方正楷体_GBK" w:hAnsi="Times New Roman" w:eastAsia="方正楷体_GBK"/>
          <w:sz w:val="30"/>
        </w:rPr>
        <w:t>三公</w:t>
      </w:r>
      <w:r>
        <w:rPr>
          <w:rFonts w:ascii="方正楷体_GBK" w:hAnsi="Times New Roman" w:eastAsia="方正楷体_GBK"/>
          <w:sz w:val="30"/>
        </w:rPr>
        <w:t>”</w:t>
      </w:r>
      <w:r>
        <w:rPr>
          <w:rFonts w:hint="eastAsia" w:ascii="方正楷体_GBK" w:hAnsi="Times New Roman" w:eastAsia="方正楷体_GBK"/>
          <w:sz w:val="30"/>
        </w:rPr>
        <w:t>经费：</w:t>
      </w:r>
      <w:r>
        <w:rPr>
          <w:rFonts w:hint="eastAsia" w:ascii="方正仿宋_GBK" w:hAnsi="Times New Roman" w:eastAsia="方正仿宋_GBK"/>
          <w:sz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（十三）机关运行经费：</w:t>
      </w:r>
      <w:r>
        <w:rPr>
          <w:rFonts w:hint="eastAsia" w:ascii="方正仿宋_GBK" w:hAnsi="Times New Roman" w:eastAsia="方正仿宋_GBK"/>
          <w:sz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（十四）工资福利支出（支出经济分类科目类级）：</w:t>
      </w:r>
      <w:r>
        <w:rPr>
          <w:rFonts w:hint="eastAsia" w:ascii="方正仿宋_GBK" w:hAnsi="Times New Roman" w:eastAsia="方正仿宋_GBK"/>
          <w:sz w:val="30"/>
        </w:rPr>
        <w:t>反映单位开支的在职职工和编制外长期聘用人员的各类劳动报酬，以及为上述人员缴纳的各项社会保险费等</w:t>
      </w:r>
      <w:r>
        <w:rPr>
          <w:rFonts w:hint="eastAsia" w:ascii="方正楷体_GBK" w:hAnsi="Times New Roman" w:eastAsia="方正楷体_GBK"/>
          <w:sz w:val="30"/>
        </w:rPr>
        <w:t>。</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（十五）商品和服务支出（支出经济分类科目类级）：</w:t>
      </w:r>
      <w:r>
        <w:rPr>
          <w:rFonts w:hint="eastAsia" w:ascii="方正仿宋_GBK" w:hAnsi="Times New Roman" w:eastAsia="方正仿宋_GBK"/>
          <w:sz w:val="30"/>
        </w:rPr>
        <w:t>反映单位购买商品和服务的支出（不包括用于购置固定资产的支出、战略性和应急储备支出）。</w:t>
      </w:r>
    </w:p>
    <w:p>
      <w:pPr>
        <w:spacing w:line="594" w:lineRule="exact"/>
        <w:ind w:firstLine="600" w:firstLineChars="200"/>
        <w:jc w:val="both"/>
        <w:rPr>
          <w:rFonts w:ascii="方正楷体_GBK" w:hAnsi="Times New Roman" w:eastAsia="方正楷体_GBK"/>
          <w:sz w:val="30"/>
        </w:rPr>
      </w:pPr>
      <w:r>
        <w:rPr>
          <w:rFonts w:hint="eastAsia" w:ascii="方正楷体_GBK" w:hAnsi="Times New Roman" w:eastAsia="方正楷体_GBK"/>
          <w:sz w:val="30"/>
        </w:rPr>
        <w:t>（十六）对个人和家庭的补助（支出经济分类科目类级）：</w:t>
      </w:r>
      <w:r>
        <w:rPr>
          <w:rFonts w:hint="eastAsia" w:ascii="方正仿宋_GBK" w:hAnsi="Times New Roman" w:eastAsia="方正仿宋_GBK"/>
          <w:sz w:val="30"/>
        </w:rPr>
        <w:t>反映用于对个人和家庭的补助支出。</w:t>
      </w:r>
    </w:p>
    <w:p>
      <w:pPr>
        <w:spacing w:line="594" w:lineRule="exact"/>
        <w:ind w:firstLine="600" w:firstLineChars="200"/>
        <w:jc w:val="both"/>
        <w:rPr>
          <w:rFonts w:ascii="方正仿宋_GBK" w:hAnsi="Times New Roman" w:eastAsia="方正仿宋_GBK"/>
          <w:sz w:val="30"/>
        </w:rPr>
      </w:pPr>
      <w:r>
        <w:rPr>
          <w:rFonts w:hint="eastAsia" w:ascii="方正楷体_GBK" w:hAnsi="Times New Roman" w:eastAsia="方正楷体_GBK"/>
          <w:sz w:val="30"/>
        </w:rPr>
        <w:t>（十七）其他资本性支出（支出经济分类科目类级）：</w:t>
      </w:r>
      <w:r>
        <w:rPr>
          <w:rFonts w:hint="eastAsia" w:ascii="方正仿宋_GBK" w:hAnsi="Times New Roman" w:eastAsia="方正仿宋_GBK"/>
          <w:sz w:val="30"/>
        </w:rPr>
        <w:t>反映非各级发展与改革部门集中安排的用于购置固定资产、战略性和应急性储备、土地和无形资产，以及构建基础设施、大型修缮和财政支持企业更新改造所发生的支出。</w:t>
      </w:r>
    </w:p>
    <w:p>
      <w:pPr>
        <w:spacing w:line="594" w:lineRule="exact"/>
        <w:ind w:firstLine="600" w:firstLineChars="200"/>
        <w:jc w:val="both"/>
        <w:rPr>
          <w:rFonts w:ascii="方正黑体_GBK" w:hAnsi="Times New Roman" w:eastAsia="方正黑体_GBK"/>
          <w:sz w:val="30"/>
        </w:rPr>
      </w:pPr>
      <w:r>
        <w:rPr>
          <w:rFonts w:hint="eastAsia" w:ascii="方正黑体_GBK" w:hAnsi="Times New Roman" w:eastAsia="方正黑体_GBK"/>
          <w:sz w:val="30"/>
        </w:rPr>
        <w:t>七、决算公开联系方式及信息反馈渠道</w:t>
      </w:r>
    </w:p>
    <w:p>
      <w:pPr>
        <w:spacing w:line="594" w:lineRule="exact"/>
        <w:ind w:firstLine="600" w:firstLineChars="200"/>
        <w:jc w:val="both"/>
        <w:rPr>
          <w:rFonts w:ascii="Times New Roman" w:hAnsi="Times New Roman" w:eastAsia="方正仿宋_GBK"/>
          <w:sz w:val="30"/>
        </w:rPr>
      </w:pPr>
      <w:r>
        <w:rPr>
          <w:rFonts w:hint="eastAsia" w:ascii="Times New Roman" w:hAnsi="Times New Roman" w:eastAsia="方正仿宋_GBK"/>
          <w:sz w:val="30"/>
        </w:rPr>
        <w:t>本单位决算公开信息反馈和联系方式：</w:t>
      </w:r>
      <w:r>
        <w:rPr>
          <w:rFonts w:ascii="Times New Roman" w:hAnsi="Times New Roman" w:eastAsia="方正仿宋_GBK"/>
          <w:sz w:val="30"/>
        </w:rPr>
        <w:t>023-63837721</w:t>
      </w:r>
    </w:p>
    <w:sectPr>
      <w:pgSz w:w="16851" w:h="11915" w:orient="landscape"/>
      <w:pgMar w:top="1797" w:right="1440" w:bottom="179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C9AB1"/>
    <w:multiLevelType w:val="singleLevel"/>
    <w:tmpl w:val="32CC9AB1"/>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3NzIyZTdkZTU1NjZlNzAxNTc1YThjYzQwOGQ4MGUifQ=="/>
  </w:docVars>
  <w:rsids>
    <w:rsidRoot w:val="0031740D"/>
    <w:rsid w:val="00001A16"/>
    <w:rsid w:val="00092735"/>
    <w:rsid w:val="00120F74"/>
    <w:rsid w:val="00124DA5"/>
    <w:rsid w:val="00175FD1"/>
    <w:rsid w:val="00184BF0"/>
    <w:rsid w:val="00192855"/>
    <w:rsid w:val="00230AC8"/>
    <w:rsid w:val="002353AC"/>
    <w:rsid w:val="002B6EEA"/>
    <w:rsid w:val="0031740D"/>
    <w:rsid w:val="003A15EC"/>
    <w:rsid w:val="003B1690"/>
    <w:rsid w:val="003C6207"/>
    <w:rsid w:val="003D141F"/>
    <w:rsid w:val="00406577"/>
    <w:rsid w:val="00410DC0"/>
    <w:rsid w:val="004A25FA"/>
    <w:rsid w:val="004A7D76"/>
    <w:rsid w:val="005966AE"/>
    <w:rsid w:val="005C7492"/>
    <w:rsid w:val="005D7322"/>
    <w:rsid w:val="0068210C"/>
    <w:rsid w:val="006B46E0"/>
    <w:rsid w:val="006C4388"/>
    <w:rsid w:val="007357E6"/>
    <w:rsid w:val="00744759"/>
    <w:rsid w:val="0074494E"/>
    <w:rsid w:val="007501F7"/>
    <w:rsid w:val="00764C45"/>
    <w:rsid w:val="00781B07"/>
    <w:rsid w:val="007F73BB"/>
    <w:rsid w:val="0081791E"/>
    <w:rsid w:val="00833000"/>
    <w:rsid w:val="0083630B"/>
    <w:rsid w:val="00890C44"/>
    <w:rsid w:val="009401A4"/>
    <w:rsid w:val="0094725A"/>
    <w:rsid w:val="00960394"/>
    <w:rsid w:val="009E5071"/>
    <w:rsid w:val="009E6A82"/>
    <w:rsid w:val="00A67D88"/>
    <w:rsid w:val="00B371AC"/>
    <w:rsid w:val="00B60ABB"/>
    <w:rsid w:val="00B77FA2"/>
    <w:rsid w:val="00BA5BA0"/>
    <w:rsid w:val="00BD5D95"/>
    <w:rsid w:val="00BE19D4"/>
    <w:rsid w:val="00C5727F"/>
    <w:rsid w:val="00C74CD6"/>
    <w:rsid w:val="00C76B9F"/>
    <w:rsid w:val="00C872D0"/>
    <w:rsid w:val="00CA5BE3"/>
    <w:rsid w:val="00CF7B19"/>
    <w:rsid w:val="00DC2752"/>
    <w:rsid w:val="00DC3EE3"/>
    <w:rsid w:val="00DD2CA0"/>
    <w:rsid w:val="00E07D4B"/>
    <w:rsid w:val="00E11AF3"/>
    <w:rsid w:val="00E71223"/>
    <w:rsid w:val="00E734A0"/>
    <w:rsid w:val="00E848A3"/>
    <w:rsid w:val="00EB72D1"/>
    <w:rsid w:val="00EE3335"/>
    <w:rsid w:val="00EF1DF9"/>
    <w:rsid w:val="00F461C5"/>
    <w:rsid w:val="00FA40D2"/>
    <w:rsid w:val="00FE5C93"/>
    <w:rsid w:val="19472204"/>
    <w:rsid w:val="24C35EB2"/>
    <w:rsid w:val="2BD231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kern w:val="0"/>
      <w:sz w:val="24"/>
      <w:szCs w:val="24"/>
      <w:lang w:val="en-US" w:eastAsia="zh-CN" w:bidi="ar-SA"/>
    </w:rPr>
  </w:style>
  <w:style w:type="paragraph" w:styleId="2">
    <w:name w:val="heading 1"/>
    <w:basedOn w:val="1"/>
    <w:next w:val="1"/>
    <w:link w:val="14"/>
    <w:qFormat/>
    <w:uiPriority w:val="99"/>
    <w:pPr>
      <w:spacing w:beforeAutospacing="1" w:afterAutospacing="1"/>
      <w:outlineLvl w:val="0"/>
    </w:pPr>
    <w:rPr>
      <w:b/>
      <w:kern w:val="44"/>
      <w:sz w:val="48"/>
      <w:szCs w:val="48"/>
    </w:rPr>
  </w:style>
  <w:style w:type="paragraph" w:styleId="3">
    <w:name w:val="heading 2"/>
    <w:basedOn w:val="1"/>
    <w:next w:val="1"/>
    <w:link w:val="15"/>
    <w:qFormat/>
    <w:uiPriority w:val="99"/>
    <w:pPr>
      <w:spacing w:beforeAutospacing="1" w:afterAutospacing="1"/>
      <w:outlineLvl w:val="1"/>
    </w:pPr>
    <w:rPr>
      <w:b/>
      <w:sz w:val="36"/>
      <w:szCs w:val="36"/>
    </w:rPr>
  </w:style>
  <w:style w:type="paragraph" w:styleId="4">
    <w:name w:val="heading 3"/>
    <w:basedOn w:val="1"/>
    <w:next w:val="1"/>
    <w:link w:val="16"/>
    <w:qFormat/>
    <w:uiPriority w:val="99"/>
    <w:pPr>
      <w:spacing w:beforeAutospacing="1" w:afterAutospacing="1"/>
      <w:outlineLvl w:val="2"/>
    </w:pPr>
    <w:rPr>
      <w:b/>
      <w:sz w:val="27"/>
      <w:szCs w:val="27"/>
    </w:rPr>
  </w:style>
  <w:style w:type="paragraph" w:styleId="5">
    <w:name w:val="heading 4"/>
    <w:basedOn w:val="1"/>
    <w:next w:val="1"/>
    <w:link w:val="17"/>
    <w:qFormat/>
    <w:uiPriority w:val="99"/>
    <w:pPr>
      <w:spacing w:beforeAutospacing="1" w:afterAutospacing="1"/>
      <w:outlineLvl w:val="3"/>
    </w:pPr>
    <w:rPr>
      <w:b/>
    </w:rPr>
  </w:style>
  <w:style w:type="paragraph" w:styleId="6">
    <w:name w:val="heading 5"/>
    <w:basedOn w:val="1"/>
    <w:next w:val="1"/>
    <w:link w:val="18"/>
    <w:qFormat/>
    <w:uiPriority w:val="99"/>
    <w:pPr>
      <w:spacing w:beforeAutospacing="1" w:afterAutospacing="1"/>
      <w:outlineLvl w:val="4"/>
    </w:pPr>
    <w:rPr>
      <w:b/>
      <w:sz w:val="20"/>
      <w:szCs w:val="20"/>
    </w:rPr>
  </w:style>
  <w:style w:type="paragraph" w:styleId="7">
    <w:name w:val="heading 6"/>
    <w:basedOn w:val="1"/>
    <w:next w:val="1"/>
    <w:link w:val="19"/>
    <w:qFormat/>
    <w:uiPriority w:val="99"/>
    <w:pPr>
      <w:spacing w:beforeAutospacing="1" w:afterAutospacing="1"/>
      <w:outlineLvl w:val="5"/>
    </w:pPr>
    <w:rPr>
      <w:b/>
      <w:sz w:val="15"/>
      <w:szCs w:val="15"/>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21"/>
    <w:qFormat/>
    <w:locked/>
    <w:uiPriority w:val="99"/>
    <w:pPr>
      <w:spacing w:after="120" w:line="594" w:lineRule="exact"/>
      <w:ind w:firstLine="880" w:firstLineChars="200"/>
      <w:jc w:val="both"/>
    </w:pPr>
    <w:rPr>
      <w:rFonts w:ascii="Times New Roman" w:hAnsi="Times New Roman" w:eastAsia="方正仿宋_GBK"/>
      <w:sz w:val="30"/>
    </w:rPr>
  </w:style>
  <w:style w:type="paragraph" w:styleId="9">
    <w:name w:val="HTML Preformatted"/>
    <w:basedOn w:val="1"/>
    <w:link w:val="2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qFormat/>
    <w:uiPriority w:val="99"/>
    <w:pPr>
      <w:spacing w:beforeAutospacing="1" w:afterAutospacing="1"/>
    </w:pPr>
  </w:style>
  <w:style w:type="character" w:styleId="13">
    <w:name w:val="Strong"/>
    <w:basedOn w:val="12"/>
    <w:qFormat/>
    <w:uiPriority w:val="99"/>
    <w:rPr>
      <w:rFonts w:cs="Times New Roman"/>
      <w:b/>
    </w:rPr>
  </w:style>
  <w:style w:type="character" w:customStyle="1" w:styleId="14">
    <w:name w:val="标题 1 字符"/>
    <w:basedOn w:val="12"/>
    <w:link w:val="2"/>
    <w:qFormat/>
    <w:locked/>
    <w:uiPriority w:val="99"/>
    <w:rPr>
      <w:rFonts w:ascii="宋体" w:eastAsia="宋体" w:cs="Times New Roman"/>
      <w:b/>
      <w:bCs/>
      <w:kern w:val="44"/>
      <w:sz w:val="44"/>
      <w:szCs w:val="44"/>
    </w:rPr>
  </w:style>
  <w:style w:type="character" w:customStyle="1" w:styleId="15">
    <w:name w:val="标题 2 字符"/>
    <w:basedOn w:val="12"/>
    <w:link w:val="3"/>
    <w:semiHidden/>
    <w:qFormat/>
    <w:locked/>
    <w:uiPriority w:val="99"/>
    <w:rPr>
      <w:rFonts w:ascii="Cambria" w:hAnsi="Cambria" w:eastAsia="宋体" w:cs="Times New Roman"/>
      <w:b/>
      <w:bCs/>
      <w:kern w:val="0"/>
      <w:sz w:val="32"/>
      <w:szCs w:val="32"/>
    </w:rPr>
  </w:style>
  <w:style w:type="character" w:customStyle="1" w:styleId="16">
    <w:name w:val="标题 3 字符"/>
    <w:basedOn w:val="12"/>
    <w:link w:val="4"/>
    <w:semiHidden/>
    <w:qFormat/>
    <w:locked/>
    <w:uiPriority w:val="99"/>
    <w:rPr>
      <w:rFonts w:ascii="宋体" w:eastAsia="宋体" w:cs="Times New Roman"/>
      <w:b/>
      <w:bCs/>
      <w:kern w:val="0"/>
      <w:sz w:val="32"/>
      <w:szCs w:val="32"/>
    </w:rPr>
  </w:style>
  <w:style w:type="character" w:customStyle="1" w:styleId="17">
    <w:name w:val="标题 4 字符"/>
    <w:basedOn w:val="12"/>
    <w:link w:val="5"/>
    <w:semiHidden/>
    <w:qFormat/>
    <w:locked/>
    <w:uiPriority w:val="99"/>
    <w:rPr>
      <w:rFonts w:ascii="Cambria" w:hAnsi="Cambria" w:eastAsia="宋体" w:cs="Times New Roman"/>
      <w:b/>
      <w:bCs/>
      <w:kern w:val="0"/>
      <w:sz w:val="28"/>
      <w:szCs w:val="28"/>
    </w:rPr>
  </w:style>
  <w:style w:type="character" w:customStyle="1" w:styleId="18">
    <w:name w:val="标题 5 字符"/>
    <w:basedOn w:val="12"/>
    <w:link w:val="6"/>
    <w:semiHidden/>
    <w:qFormat/>
    <w:locked/>
    <w:uiPriority w:val="99"/>
    <w:rPr>
      <w:rFonts w:ascii="宋体" w:eastAsia="宋体" w:cs="Times New Roman"/>
      <w:b/>
      <w:bCs/>
      <w:kern w:val="0"/>
      <w:sz w:val="28"/>
      <w:szCs w:val="28"/>
    </w:rPr>
  </w:style>
  <w:style w:type="character" w:customStyle="1" w:styleId="19">
    <w:name w:val="标题 6 字符"/>
    <w:basedOn w:val="12"/>
    <w:link w:val="7"/>
    <w:semiHidden/>
    <w:qFormat/>
    <w:locked/>
    <w:uiPriority w:val="99"/>
    <w:rPr>
      <w:rFonts w:ascii="Cambria" w:hAnsi="Cambria" w:eastAsia="宋体" w:cs="Times New Roman"/>
      <w:b/>
      <w:bCs/>
      <w:kern w:val="0"/>
      <w:sz w:val="24"/>
      <w:szCs w:val="24"/>
    </w:rPr>
  </w:style>
  <w:style w:type="character" w:customStyle="1" w:styleId="20">
    <w:name w:val="HTML 预设格式 字符"/>
    <w:basedOn w:val="12"/>
    <w:link w:val="9"/>
    <w:semiHidden/>
    <w:qFormat/>
    <w:locked/>
    <w:uiPriority w:val="99"/>
    <w:rPr>
      <w:rFonts w:ascii="Courier New" w:hAnsi="Courier New" w:cs="Courier New"/>
      <w:kern w:val="0"/>
      <w:sz w:val="20"/>
      <w:szCs w:val="20"/>
    </w:rPr>
  </w:style>
  <w:style w:type="character" w:customStyle="1" w:styleId="21">
    <w:name w:val="正文文本 字符"/>
    <w:basedOn w:val="12"/>
    <w:link w:val="8"/>
    <w:semiHidden/>
    <w:qFormat/>
    <w:locked/>
    <w:uiPriority w:val="99"/>
    <w:rPr>
      <w:rFonts w:asci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5589</Words>
  <Characters>6145</Characters>
  <Lines>44</Lines>
  <Paragraphs>12</Paragraphs>
  <TotalTime>130</TotalTime>
  <ScaleCrop>false</ScaleCrop>
  <LinksUpToDate>false</LinksUpToDate>
  <CharactersWithSpaces>6159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2022-11-04T08:53:00Z</dcterms:created>
  <dc:creator>Administrator</dc:creator>
  <cp:lastModifiedBy>asus</cp:lastModifiedBy>
  <dcterms:modified xsi:type="dcterms:W3CDTF">2024-05-31T02:10:39Z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DCFA6999252A48CEA1158883309D5C50</vt:lpwstr>
  </property>
</Properties>
</file>