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重庆市渝中区司法局关于报送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eastAsia" w:asci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eastAsia="方正小标宋_GBK" w:cs="方正小标宋_GBK"/>
          <w:sz w:val="44"/>
          <w:szCs w:val="44"/>
          <w:lang w:eastAsia="zh-CN"/>
        </w:rPr>
        <w:t>上半年行政应诉工作情况的通知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center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区级国家机关各部门，各管委会、街道办事处，有关单位：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为深入推进法治政府建设，全面掌握我区行政应诉工作情况，请各部门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（街道办事处、管委会）于2023年7月27日（星期四）17:00前将本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（街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道办事处、管委会）2023年1月1日至6月30日期间的一审行政应诉案件情况（包含区法院审理及异地管辖审理案件）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及行政机关负责人出庭应诉情况（包括本部门作为事权单位的区政府作为被告的一审行政诉讼案件）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报送至区司法局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行政复议应诉科。凡未按照要求进行填报造成漏报、错报的，将纳入2023年依法治区工作考核。</w:t>
      </w:r>
    </w:p>
    <w:p>
      <w:pPr>
        <w:pStyle w:val="9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 系 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杨单单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陈银</w:t>
      </w:r>
    </w:p>
    <w:p>
      <w:pPr>
        <w:pStyle w:val="9"/>
        <w:spacing w:line="594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联系电话：023-</w:t>
      </w:r>
      <w:r>
        <w:rPr>
          <w:rFonts w:ascii="Times New Roman" w:hAnsi="Times New Roman" w:eastAsia="方正仿宋_GBK" w:cs="Times New Roman"/>
          <w:sz w:val="32"/>
          <w:szCs w:val="32"/>
        </w:rPr>
        <w:t>63765355</w:t>
      </w:r>
    </w:p>
    <w:p>
      <w:pPr>
        <w:pStyle w:val="9"/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邮    箱：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u w:val="none"/>
        </w:rPr>
        <w:t>yzqfzb@126.com</w:t>
      </w:r>
    </w:p>
    <w:p>
      <w:pPr>
        <w:pStyle w:val="9"/>
        <w:spacing w:line="594" w:lineRule="exact"/>
        <w:ind w:firstLine="64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.行政机关负责人出庭应诉明细表</w:t>
      </w:r>
    </w:p>
    <w:p>
      <w:pPr>
        <w:pStyle w:val="9"/>
        <w:spacing w:line="594" w:lineRule="exact"/>
        <w:ind w:firstLine="64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2.行政机关败诉案件明细表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3520" w:firstLineChars="11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重庆市渝中区司法局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2023年7月25日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(此件公开发布)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</w:rPr>
        <w:pgNum/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1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eastAsia="方正小标宋_GBK" w:cs="Times New Roman"/>
          <w:b w:val="0"/>
          <w:bCs w:val="0"/>
          <w:kern w:val="2"/>
          <w:sz w:val="36"/>
          <w:szCs w:val="36"/>
        </w:rPr>
      </w:pPr>
      <w:r>
        <w:rPr>
          <w:rFonts w:ascii="Times New Roman" w:hAnsi="Times New Roman" w:eastAsia="方正小标宋_GBK" w:cs="Times New Roman"/>
          <w:b w:val="0"/>
          <w:bCs w:val="0"/>
          <w:kern w:val="2"/>
          <w:sz w:val="36"/>
          <w:szCs w:val="36"/>
        </w:rPr>
        <w:t>行政机关负责人出庭应诉明细表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 w:eastAsia="方正楷体_GBK" w:cs="Times New Roman"/>
          <w:b w:val="0"/>
          <w:sz w:val="32"/>
          <w:szCs w:val="32"/>
        </w:rPr>
        <w:t>（202</w:t>
      </w:r>
      <w:r>
        <w:rPr>
          <w:rFonts w:ascii="Times New Roman" w:hAnsi="Times New Roman" w:eastAsia="方正楷体_GBK" w:cs="Times New Roman"/>
          <w:b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  <w:t>上半年</w:t>
      </w:r>
      <w:r>
        <w:rPr>
          <w:rFonts w:ascii="Times New Roman" w:hAnsi="Times New Roman" w:eastAsia="方正楷体_GBK" w:cs="Times New Roman"/>
          <w:b w:val="0"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eastAsia="方正黑体_GBK" w:cs="Times New Roman"/>
          <w:b w:val="0"/>
          <w:bCs w:val="0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表1：本机关负责人出庭应诉情况</w:t>
      </w:r>
    </w:p>
    <w:tbl>
      <w:tblPr>
        <w:tblStyle w:val="7"/>
        <w:tblW w:w="7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819"/>
        <w:gridCol w:w="2008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819" w:type="dxa"/>
            <w:vAlign w:val="center"/>
          </w:tcPr>
          <w:p>
            <w:pPr>
              <w:pStyle w:val="9"/>
              <w:spacing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行政机关名称</w:t>
            </w:r>
          </w:p>
        </w:tc>
        <w:tc>
          <w:tcPr>
            <w:tcW w:w="1819" w:type="dxa"/>
            <w:vAlign w:val="center"/>
          </w:tcPr>
          <w:p>
            <w:pPr>
              <w:pStyle w:val="9"/>
              <w:spacing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一审行政应诉案件经法院开庭审理数</w:t>
            </w:r>
          </w:p>
        </w:tc>
        <w:tc>
          <w:tcPr>
            <w:tcW w:w="2008" w:type="dxa"/>
            <w:vAlign w:val="center"/>
          </w:tcPr>
          <w:p>
            <w:pPr>
              <w:pStyle w:val="9"/>
              <w:spacing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负责人出庭应诉件数</w:t>
            </w:r>
          </w:p>
        </w:tc>
        <w:tc>
          <w:tcPr>
            <w:tcW w:w="2293" w:type="dxa"/>
            <w:vAlign w:val="center"/>
          </w:tcPr>
          <w:p>
            <w:pPr>
              <w:pStyle w:val="9"/>
              <w:spacing w:line="594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本季度行政机关负责人出庭应诉比例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1819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2293" w:type="dxa"/>
            <w:vAlign w:val="center"/>
          </w:tcPr>
          <w:p>
            <w:pPr>
              <w:pStyle w:val="4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pStyle w:val="2"/>
        <w:spacing w:line="594" w:lineRule="exact"/>
        <w:ind w:left="0" w:leftChars="0"/>
        <w:rPr>
          <w:rFonts w:ascii="Times New Roman" w:hAnsi="Times New Roman" w:cs="Times New Roman"/>
        </w:rPr>
      </w:pP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黑体_GBK" w:cs="Times New Roman"/>
          <w:b w:val="0"/>
          <w:bCs w:val="0"/>
          <w:kern w:val="2"/>
          <w:sz w:val="32"/>
          <w:szCs w:val="32"/>
        </w:rPr>
        <w:t>表2：行政机关负责人出庭应诉明细</w:t>
      </w:r>
    </w:p>
    <w:p>
      <w:pPr>
        <w:pStyle w:val="2"/>
        <w:spacing w:line="594" w:lineRule="exact"/>
        <w:rPr>
          <w:rFonts w:ascii="Times New Roman" w:hAnsi="Times New Roman" w:cs="Times New Roman"/>
        </w:rPr>
      </w:pPr>
    </w:p>
    <w:tbl>
      <w:tblPr>
        <w:tblStyle w:val="7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945"/>
        <w:gridCol w:w="1031"/>
        <w:gridCol w:w="1031"/>
        <w:gridCol w:w="1031"/>
        <w:gridCol w:w="1031"/>
        <w:gridCol w:w="1031"/>
        <w:gridCol w:w="773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行政机关名 称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  <w:lang w:eastAsia="zh-CN"/>
              </w:rPr>
              <w:t>审理法院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案号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案由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开庭时间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出庭应诉 负责人</w:t>
            </w:r>
          </w:p>
        </w:tc>
        <w:tc>
          <w:tcPr>
            <w:tcW w:w="773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职务</w:t>
            </w:r>
          </w:p>
        </w:tc>
        <w:tc>
          <w:tcPr>
            <w:tcW w:w="1098" w:type="dxa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94" w:lineRule="exact"/>
              <w:jc w:val="center"/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b w:val="0"/>
                <w:bCs w:val="0"/>
                <w:kern w:val="2"/>
                <w:sz w:val="28"/>
                <w:szCs w:val="28"/>
              </w:rPr>
              <w:t>裁判结果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31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773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  <w:tc>
          <w:tcPr>
            <w:tcW w:w="1098" w:type="dxa"/>
          </w:tcPr>
          <w:p>
            <w:pPr>
              <w:pStyle w:val="4"/>
              <w:spacing w:before="0" w:beforeAutospacing="0" w:after="0" w:afterAutospacing="0" w:line="594" w:lineRule="exact"/>
              <w:jc w:val="both"/>
              <w:rPr>
                <w:rFonts w:ascii="Times New Roman" w:hAnsi="Times New Roman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kern w:val="2"/>
          <w:sz w:val="32"/>
          <w:szCs w:val="32"/>
          <w:lang w:val="en-US" w:eastAsia="zh-CN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行政机关败诉案件</w:t>
      </w:r>
      <w:r>
        <w:rPr>
          <w:rFonts w:hint="eastAsia"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明细</w:t>
      </w:r>
      <w:r>
        <w:rPr>
          <w:rFonts w:ascii="Times New Roman" w:hAnsi="Times New Roman" w:eastAsia="方正小标宋_GBK" w:cs="Times New Roman"/>
          <w:b w:val="0"/>
          <w:bCs w:val="0"/>
          <w:kern w:val="2"/>
          <w:sz w:val="36"/>
          <w:szCs w:val="36"/>
          <w:lang w:val="en-US" w:eastAsia="zh-CN"/>
        </w:rPr>
        <w:t>表</w:t>
      </w:r>
    </w:p>
    <w:p>
      <w:pPr>
        <w:pStyle w:val="4"/>
        <w:shd w:val="clear" w:color="auto" w:fill="FFFFFF"/>
        <w:spacing w:before="0" w:beforeAutospacing="0" w:after="0" w:afterAutospacing="0" w:line="594" w:lineRule="exact"/>
        <w:jc w:val="center"/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</w:pPr>
      <w:r>
        <w:rPr>
          <w:rFonts w:ascii="Times New Roman" w:hAnsi="Times New Roman" w:eastAsia="方正楷体_GBK" w:cs="Times New Roman"/>
          <w:b w:val="0"/>
          <w:sz w:val="32"/>
          <w:szCs w:val="32"/>
        </w:rPr>
        <w:t>（202</w:t>
      </w:r>
      <w:r>
        <w:rPr>
          <w:rFonts w:ascii="Times New Roman" w:hAnsi="Times New Roman" w:eastAsia="方正楷体_GBK" w:cs="Times New Roman"/>
          <w:b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楷体_GBK" w:cs="Times New Roman"/>
          <w:b w:val="0"/>
          <w:sz w:val="32"/>
          <w:szCs w:val="32"/>
        </w:rPr>
        <w:t>年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  <w:t>上半年</w:t>
      </w:r>
      <w:r>
        <w:rPr>
          <w:rFonts w:ascii="Times New Roman" w:hAnsi="Times New Roman" w:eastAsia="方正楷体_GBK" w:cs="Times New Roman"/>
          <w:b w:val="0"/>
          <w:sz w:val="32"/>
          <w:szCs w:val="32"/>
        </w:rPr>
        <w:t>）</w:t>
      </w:r>
    </w:p>
    <w:p>
      <w:pPr>
        <w:pStyle w:val="2"/>
        <w:rPr>
          <w:lang w:val="en-US" w:eastAsia="zh-CN"/>
        </w:rPr>
      </w:pPr>
    </w:p>
    <w:p>
      <w:pPr>
        <w:rPr>
          <w:lang w:val="en-US" w:eastAsia="zh-CN"/>
        </w:rPr>
      </w:pPr>
    </w:p>
    <w:tbl>
      <w:tblPr>
        <w:tblStyle w:val="7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411"/>
        <w:gridCol w:w="1637"/>
        <w:gridCol w:w="1846"/>
        <w:gridCol w:w="1979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行政机关名称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案号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  <w:lang w:eastAsia="zh-CN"/>
              </w:rPr>
              <w:t>案由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  <w:t>裁判结果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right="0" w:firstLine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败诉原因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1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84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51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0"/>
              <w:jc w:val="center"/>
              <w:textAlignment w:val="auto"/>
              <w:outlineLvl w:val="2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right="0" w:firstLine="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bCs w:val="0"/>
          <w:kern w:val="2"/>
          <w:sz w:val="28"/>
          <w:szCs w:val="28"/>
        </w:rPr>
        <w:t>说明：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“案号”“裁判结果”以人民法院行政判决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书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或者裁定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书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为准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“败诉原因”包括：主要证据不足、违反法定程序、超越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或者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</w:rPr>
        <w:t>滥用职权、适用法律法规错误、不履行法定职责或不履行给付义务、行政行为明显不当、不具有行政主体资格、行政行为没有法律法规依据等</w:t>
      </w:r>
      <w:r>
        <w:rPr>
          <w:rFonts w:ascii="Times New Roman" w:hAnsi="Times New Roman" w:eastAsia="方正仿宋_GBK" w:cs="Times New Roman"/>
          <w:b w:val="0"/>
          <w:bCs w:val="0"/>
          <w:kern w:val="2"/>
          <w:sz w:val="28"/>
          <w:szCs w:val="28"/>
          <w:lang w:eastAsia="zh-CN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94335" cy="20574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4652" cy="2054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eastAsia="方正仿宋_GBK" w:cs="方正仿宋_GBK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6.2pt;width:31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Nkmt1wAAAAMBAAAPAAAAAAAAAAEAIAAAACIAAABkcnMv&#10;ZG93bnJldi54bWxQSwECFAAUAAAACACHTuJAqTOXygQCAAD0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eastAsia="方正仿宋_GBK" w:cs="方正仿宋_GBK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eastAsia="方正仿宋_GBK" w:cs="方正仿宋_GBK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eastAsia="方正仿宋_GBK" w:cs="方正仿宋_GBK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WE3NzIyZTdkZTU1NjZlNzAxNTc1YThjYzQwOGQ4MGUifQ=="/>
  </w:docVars>
  <w:rsids>
    <w:rsidRoot w:val="00000000"/>
    <w:rsid w:val="3A956B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outlineLvl w:val="2"/>
    </w:pPr>
    <w:rPr>
      <w:rFonts w:ascii="宋体" w:eastAsia="宋体" w:cs="宋体"/>
      <w:b/>
      <w:bCs/>
      <w:sz w:val="27"/>
      <w:szCs w:val="27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 w:val="0"/>
      <w:ind w:left="100" w:leftChars="100" w:right="100" w:rightChars="10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样式 10 磅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customStyle="1" w:styleId="10">
    <w:name w:val="正文缩进2"/>
    <w:basedOn w:val="1"/>
    <w:qFormat/>
    <w:uiPriority w:val="0"/>
    <w:rPr>
      <w:rFonts w:ascii="Calibri" w:hAnsi="Calibri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631</Words>
  <Characters>687</Characters>
  <Lines>161</Lines>
  <Paragraphs>40</Paragraphs>
  <TotalTime>1</TotalTime>
  <ScaleCrop>false</ScaleCrop>
  <LinksUpToDate>false</LinksUpToDate>
  <CharactersWithSpaces>757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asus</cp:lastModifiedBy>
  <cp:lastPrinted>2023-02-10T03:12:00Z</cp:lastPrinted>
  <dcterms:modified xsi:type="dcterms:W3CDTF">2024-06-17T03:39:28Z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917086F1BF584794A03F0C0AE9C06999_13</vt:lpwstr>
  </property>
</Properties>
</file>