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sz w:val="44"/>
          <w:szCs w:val="44"/>
        </w:rPr>
      </w:pPr>
      <w:r>
        <w:rPr>
          <w:rFonts w:hint="default" w:ascii="Times New Roman" w:hAnsi="Times New Roman" w:cs="Times New Roman"/>
          <w:sz w:val="20"/>
        </w:rPr>
        <w:pict>
          <v:shape id="_x0000_s2050" o:spid="_x0000_s2050" o:spt="136" type="#_x0000_t136" style="position:absolute;left:0pt;margin-left:-4.05pt;margin-top:13.75pt;height:61.5pt;width:453.3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渝中区司法局文件" style="font-family:方正小标宋_GBK;font-size:36pt;v-text-align:center;"/>
          </v:shape>
        </w:pict>
      </w:r>
    </w:p>
    <w:p>
      <w:pPr>
        <w:spacing w:line="594" w:lineRule="exact"/>
        <w:jc w:val="center"/>
        <w:rPr>
          <w:rFonts w:ascii="方正小标宋_GBK" w:eastAsia="方正小标宋_GBK"/>
          <w:sz w:val="44"/>
          <w:szCs w:val="44"/>
        </w:rPr>
      </w:pPr>
    </w:p>
    <w:p>
      <w:pPr>
        <w:spacing w:line="594" w:lineRule="exact"/>
        <w:jc w:val="center"/>
        <w:rPr>
          <w:rFonts w:ascii="方正小标宋_GBK" w:eastAsia="方正小标宋_GBK"/>
          <w:sz w:val="44"/>
          <w:szCs w:val="44"/>
        </w:rPr>
      </w:pPr>
    </w:p>
    <w:p>
      <w:pPr>
        <w:jc w:val="center"/>
        <w:rPr>
          <w:rFonts w:hint="eastAsia" w:ascii="方正小标宋_GBK" w:eastAsia="方正小标宋_GBK"/>
          <w:sz w:val="44"/>
          <w:szCs w:val="44"/>
        </w:rPr>
      </w:pPr>
      <w:r>
        <w:rPr>
          <w:rFonts w:hint="default" w:ascii="Times New Roman" w:hAnsi="Times New Roman" w:eastAsia="黑体" w:cs="Times New Roman"/>
          <w:sz w:val="36"/>
        </w:rPr>
        <w:pict>
          <v:line id="_x0000_s2051" o:spid="_x0000_s2051" o:spt="20" style="position:absolute;left:0pt;margin-left:-2.45pt;margin-top:30.25pt;height:0.75pt;width:450.4pt;z-index:251660288;mso-width-relative:page;mso-height-relative:page;" filled="f" stroked="t" coordsize="21600,21600">
            <v:path arrowok="t"/>
            <v:fill on="f" focussize="0,0"/>
            <v:stroke weight="1.5pt" color="#FF0000"/>
            <v:imagedata o:title=""/>
            <o:lock v:ext="edit" aspectratio="f"/>
          </v:line>
        </w:pict>
      </w:r>
      <w:r>
        <w:rPr>
          <w:rFonts w:hint="default" w:ascii="Times New Roman" w:hAnsi="Times New Roman" w:eastAsia="方正仿宋_GBK" w:cs="Times New Roman"/>
          <w:spacing w:val="20"/>
          <w:sz w:val="32"/>
          <w:u w:val="none" w:color="FF0000"/>
        </w:rPr>
        <w:t>渝中司</w:t>
      </w:r>
      <w:r>
        <w:rPr>
          <w:rFonts w:hint="default" w:ascii="Times New Roman" w:hAnsi="Times New Roman" w:eastAsia="方正仿宋_GBK" w:cs="Times New Roman"/>
          <w:spacing w:val="20"/>
          <w:sz w:val="32"/>
          <w:u w:val="none" w:color="FF0000"/>
          <w:lang w:val="en-US" w:eastAsia="zh-CN"/>
        </w:rPr>
        <w:t>发〔2023〕</w:t>
      </w:r>
      <w:r>
        <w:rPr>
          <w:rFonts w:hint="eastAsia" w:ascii="Times New Roman" w:hAnsi="Times New Roman" w:eastAsia="方正仿宋_GBK" w:cs="Times New Roman"/>
          <w:spacing w:val="20"/>
          <w:sz w:val="32"/>
          <w:u w:val="none" w:color="FF0000"/>
          <w:lang w:val="en-US" w:eastAsia="zh-CN"/>
        </w:rPr>
        <w:t>32</w:t>
      </w:r>
      <w:r>
        <w:rPr>
          <w:rFonts w:hint="default" w:ascii="Times New Roman" w:hAnsi="Times New Roman" w:eastAsia="方正仿宋_GBK" w:cs="Times New Roman"/>
          <w:spacing w:val="20"/>
          <w:sz w:val="32"/>
          <w:u w:val="none" w:color="FF0000"/>
        </w:rPr>
        <w:t>号</w:t>
      </w:r>
    </w:p>
    <w:p>
      <w:pPr>
        <w:spacing w:line="594" w:lineRule="exact"/>
        <w:jc w:val="center"/>
        <w:rPr>
          <w:rFonts w:hint="eastAsia" w:ascii="方正小标宋_GBK" w:eastAsia="方正小标宋_GBK"/>
          <w:sz w:val="44"/>
          <w:szCs w:val="44"/>
        </w:rPr>
      </w:pPr>
    </w:p>
    <w:p>
      <w:pPr>
        <w:spacing w:line="594" w:lineRule="exact"/>
        <w:jc w:val="center"/>
        <w:rPr>
          <w:rFonts w:ascii="方正小标宋_GBK" w:eastAsia="方正小标宋_GBK"/>
          <w:sz w:val="44"/>
          <w:szCs w:val="44"/>
        </w:rPr>
      </w:pPr>
      <w:r>
        <w:rPr>
          <w:rFonts w:hint="eastAsia" w:ascii="方正小标宋_GBK" w:eastAsia="方正小标宋_GBK"/>
          <w:sz w:val="44"/>
          <w:szCs w:val="44"/>
        </w:rPr>
        <w:t>渝中区司</w:t>
      </w:r>
      <w:bookmarkStart w:id="0" w:name="_GoBack"/>
      <w:bookmarkEnd w:id="0"/>
      <w:r>
        <w:rPr>
          <w:rFonts w:hint="eastAsia" w:ascii="方正小标宋_GBK" w:eastAsia="方正小标宋_GBK"/>
          <w:sz w:val="44"/>
          <w:szCs w:val="44"/>
        </w:rPr>
        <w:t>法局</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关于表扬渝中区优秀社区法律顾问暨社区法律顾问服务典型案例的通报</w:t>
      </w:r>
    </w:p>
    <w:p>
      <w:pPr>
        <w:spacing w:line="594" w:lineRule="exact"/>
        <w:jc w:val="center"/>
        <w:rPr>
          <w:rFonts w:ascii="方正小标宋_GBK" w:hAnsi="方正小标宋_GBK" w:eastAsia="方正小标宋_GBK" w:cs="方正小标宋_GBK"/>
          <w:sz w:val="44"/>
          <w:szCs w:val="44"/>
        </w:rPr>
      </w:pPr>
    </w:p>
    <w:p>
      <w:pPr>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各街道办事处</w:t>
      </w:r>
      <w:r>
        <w:rPr>
          <w:rFonts w:hint="eastAsia" w:ascii="Times New Roman" w:hAnsi="Times New Roman" w:eastAsia="方正仿宋_GBK" w:cs="Times New Roman"/>
          <w:sz w:val="32"/>
          <w:szCs w:val="32"/>
        </w:rPr>
        <w:t>、社区法律顾问所属律所</w:t>
      </w:r>
      <w:r>
        <w:rPr>
          <w:rFonts w:ascii="Times New Roman" w:hAnsi="Times New Roman" w:eastAsia="方正仿宋_GBK" w:cs="Times New Roman"/>
          <w:sz w:val="32"/>
          <w:szCs w:val="32"/>
        </w:rPr>
        <w:t>：</w:t>
      </w:r>
    </w:p>
    <w:p>
      <w:pPr>
        <w:spacing w:line="594" w:lineRule="exact"/>
        <w:ind w:firstLine="63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近年来，全区认真</w:t>
      </w:r>
      <w:r>
        <w:rPr>
          <w:rFonts w:ascii="Times New Roman" w:hAnsi="Times New Roman" w:eastAsia="方正仿宋_GBK" w:cs="Times New Roman"/>
          <w:sz w:val="32"/>
          <w:szCs w:val="32"/>
        </w:rPr>
        <w:t>贯彻落实</w:t>
      </w:r>
      <w:r>
        <w:rPr>
          <w:rFonts w:hint="eastAsia" w:ascii="Times New Roman" w:hAnsi="Times New Roman" w:eastAsia="方正仿宋_GBK" w:cs="Times New Roman"/>
          <w:sz w:val="32"/>
          <w:szCs w:val="32"/>
        </w:rPr>
        <w:t>中央、市委部署，积极推进社区法律顾问工作，引导广大律师为辖区群众、企业等提供法律咨询，开展法治宣传，参与人民调解和法律援助等，受到辖区群众普遍欢迎，取得良好的社会效果，涌现出一批优秀社区法律顾问和服务典型案例。</w:t>
      </w:r>
    </w:p>
    <w:p>
      <w:pPr>
        <w:spacing w:line="594" w:lineRule="exact"/>
        <w:ind w:firstLine="63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充分发挥优秀法律顾问和</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典型案例的引领示范作用，不断提升社区法律顾问服务质量和规范化水平</w:t>
      </w:r>
      <w:r>
        <w:rPr>
          <w:rFonts w:hint="eastAsia" w:ascii="Times New Roman" w:hAnsi="Times New Roman" w:eastAsia="方正仿宋_GBK" w:cs="Times New Roman"/>
          <w:sz w:val="32"/>
          <w:szCs w:val="32"/>
        </w:rPr>
        <w:t>，区司法局决定对</w:t>
      </w:r>
      <w:r>
        <w:rPr>
          <w:rFonts w:ascii="Times New Roman" w:hAnsi="Times New Roman" w:eastAsia="方正仿宋_GBK" w:cs="Times New Roman"/>
          <w:sz w:val="32"/>
          <w:szCs w:val="32"/>
        </w:rPr>
        <w:t>王舒等10名优秀社区法律顾问</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10个社区法律顾问服务典型案例</w:t>
      </w:r>
      <w:r>
        <w:rPr>
          <w:rFonts w:hint="eastAsia" w:ascii="Times New Roman" w:hAnsi="Times New Roman" w:eastAsia="方正仿宋_GBK" w:cs="Times New Roman"/>
          <w:sz w:val="32"/>
          <w:szCs w:val="32"/>
        </w:rPr>
        <w:t>（详见附件）给予通报表扬。希望受到表扬的社区法律顾问珍惜荣誉、再接再厉，继续发挥模范示范作用，不断取得新的成绩。</w:t>
      </w:r>
    </w:p>
    <w:p>
      <w:pPr>
        <w:pStyle w:val="3"/>
        <w:ind w:firstLine="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街道要认真组织开展学习先进、宣传先进活动，引导社区基层干部、人民调解员、法律明白人、法律顾问等向获得表扬的社区法律顾问学习，学习典型案例的成功经验和做法。各社区法律顾问要坚持以习近平新时代中国特色社会主义法治思想为指导，继续扎实工作，开拓创新，不断推进社区法律顾问工作质效，努力为建设更高水平的平安渝中、法治渝中作出新的更大贡献。</w:t>
      </w:r>
    </w:p>
    <w:p>
      <w:pPr>
        <w:ind w:firstLine="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附件：渝中区优秀社区法律顾问暨社区法律顾问服务典型案例表扬名单</w:t>
      </w:r>
    </w:p>
    <w:p>
      <w:pPr>
        <w:pStyle w:val="3"/>
        <w:jc w:val="right"/>
        <w:rPr>
          <w:rFonts w:ascii="Times New Roman" w:hAnsi="Times New Roman" w:eastAsia="方正仿宋_GBK" w:cs="Times New Roman"/>
          <w:sz w:val="32"/>
          <w:szCs w:val="32"/>
        </w:rPr>
      </w:pPr>
    </w:p>
    <w:p>
      <w:pPr>
        <w:jc w:val="right"/>
        <w:rPr>
          <w:rFonts w:ascii="Times New Roman" w:hAnsi="Times New Roman" w:eastAsia="方正仿宋_GBK" w:cs="Times New Roman"/>
          <w:sz w:val="32"/>
          <w:szCs w:val="32"/>
        </w:rPr>
      </w:pPr>
    </w:p>
    <w:p>
      <w:pPr>
        <w:pStyle w:val="3"/>
        <w:ind w:right="32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重庆市渝中区司法局</w:t>
      </w:r>
    </w:p>
    <w:p>
      <w:pPr>
        <w:ind w:right="48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2023年11月8日</w:t>
      </w:r>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附件：渝中区优秀社区法律顾问暨社区法律顾问服务典型案例表扬名单</w:t>
      </w:r>
    </w:p>
    <w:p>
      <w:pPr>
        <w:spacing w:line="594" w:lineRule="exact"/>
        <w:jc w:val="left"/>
        <w:rPr>
          <w:rFonts w:ascii="方正仿宋_GBK" w:eastAsia="方正仿宋_GBK"/>
          <w:sz w:val="32"/>
          <w:szCs w:val="32"/>
        </w:rPr>
      </w:pPr>
      <w:r>
        <w:rPr>
          <w:rFonts w:hint="eastAsia" w:ascii="方正仿宋_GBK" w:eastAsia="方正仿宋_GBK"/>
          <w:sz w:val="32"/>
          <w:szCs w:val="32"/>
        </w:rPr>
        <w:t>一、优秀社区法律顾问</w:t>
      </w:r>
      <w:r>
        <w:rPr>
          <w:rFonts w:ascii="Times New Roman" w:hAnsi="Times New Roman" w:eastAsia="方正仿宋_GBK" w:cs="Times New Roman"/>
          <w:sz w:val="32"/>
          <w:szCs w:val="32"/>
        </w:rPr>
        <w:t>名单（10名）：</w:t>
      </w:r>
    </w:p>
    <w:tbl>
      <w:tblPr>
        <w:tblStyle w:val="10"/>
        <w:tblW w:w="9796" w:type="dxa"/>
        <w:tblInd w:w="93" w:type="dxa"/>
        <w:tblLayout w:type="autofit"/>
        <w:tblCellMar>
          <w:top w:w="0" w:type="dxa"/>
          <w:left w:w="108" w:type="dxa"/>
          <w:bottom w:w="0" w:type="dxa"/>
          <w:right w:w="108" w:type="dxa"/>
        </w:tblCellMar>
      </w:tblPr>
      <w:tblGrid>
        <w:gridCol w:w="958"/>
        <w:gridCol w:w="1605"/>
        <w:gridCol w:w="1915"/>
        <w:gridCol w:w="3475"/>
        <w:gridCol w:w="1843"/>
      </w:tblGrid>
      <w:tr>
        <w:tblPrEx>
          <w:tblCellMar>
            <w:top w:w="0" w:type="dxa"/>
            <w:left w:w="108" w:type="dxa"/>
            <w:bottom w:w="0" w:type="dxa"/>
            <w:right w:w="108" w:type="dxa"/>
          </w:tblCellMar>
        </w:tblPrEx>
        <w:trPr>
          <w:trHeight w:val="968"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rPr>
            </w:pPr>
            <w:r>
              <w:rPr>
                <w:rFonts w:hint="eastAsia" w:ascii="宋体" w:hAnsi="宋体" w:eastAsia="宋体" w:cs="Times New Roman"/>
                <w:b/>
                <w:bCs/>
                <w:color w:val="000000"/>
                <w:kern w:val="0"/>
                <w:sz w:val="24"/>
              </w:rPr>
              <w:t>序号</w:t>
            </w:r>
          </w:p>
        </w:tc>
        <w:tc>
          <w:tcPr>
            <w:tcW w:w="1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rPr>
            </w:pPr>
            <w:r>
              <w:rPr>
                <w:rFonts w:hint="eastAsia" w:ascii="宋体" w:hAnsi="宋体" w:eastAsia="宋体" w:cs="Times New Roman"/>
                <w:b/>
                <w:bCs/>
                <w:color w:val="000000"/>
                <w:kern w:val="0"/>
                <w:sz w:val="24"/>
              </w:rPr>
              <w:t>服务街道</w:t>
            </w:r>
          </w:p>
        </w:tc>
        <w:tc>
          <w:tcPr>
            <w:tcW w:w="1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rPr>
            </w:pPr>
            <w:r>
              <w:rPr>
                <w:rFonts w:hint="eastAsia" w:ascii="宋体" w:hAnsi="宋体" w:eastAsia="宋体" w:cs="Times New Roman"/>
                <w:b/>
                <w:bCs/>
                <w:color w:val="000000"/>
                <w:kern w:val="0"/>
                <w:sz w:val="24"/>
              </w:rPr>
              <w:t>推荐社区</w:t>
            </w:r>
          </w:p>
        </w:tc>
        <w:tc>
          <w:tcPr>
            <w:tcW w:w="3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rPr>
            </w:pPr>
            <w:r>
              <w:rPr>
                <w:rFonts w:hint="eastAsia" w:ascii="宋体" w:hAnsi="宋体" w:eastAsia="宋体" w:cs="Times New Roman"/>
                <w:b/>
                <w:bCs/>
                <w:color w:val="000000"/>
                <w:kern w:val="0"/>
                <w:sz w:val="24"/>
              </w:rPr>
              <w:t>所在律所</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rPr>
            </w:pPr>
            <w:r>
              <w:rPr>
                <w:rFonts w:hint="eastAsia" w:ascii="宋体" w:hAnsi="宋体" w:eastAsia="宋体" w:cs="Times New Roman"/>
                <w:b/>
                <w:bCs/>
                <w:color w:val="000000"/>
                <w:kern w:val="0"/>
                <w:sz w:val="24"/>
              </w:rPr>
              <w:t>顾问姓名</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1</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朝天门</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陕西路</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重庆志和智律师事务所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王舒</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2</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两路口</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铁路坡</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重庆树深律师事务所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张燕</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解放碑</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莲花池</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上海段和段（重庆）律师事务所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刘建晶</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4</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石油路</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民乐村</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重庆新隆基律师事务所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杨青</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解放碑</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临江门</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重庆静昇律师事务所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黄佳</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七星岗</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领事巷</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重庆渝正律师事务所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王小琴</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解放碑</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邹容路</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重庆康实律师事务所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陈涨</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8</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大坪</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浮图关</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重庆立万律师事务所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张悦</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大溪沟</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张家花园</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北京天驰君泰（重庆）律师事务所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成静轶</w:t>
            </w:r>
          </w:p>
        </w:tc>
      </w:tr>
      <w:tr>
        <w:tblPrEx>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10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两路口</w:t>
            </w:r>
          </w:p>
        </w:tc>
        <w:tc>
          <w:tcPr>
            <w:tcW w:w="19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桂花园新村</w:t>
            </w:r>
          </w:p>
        </w:tc>
        <w:tc>
          <w:tcPr>
            <w:tcW w:w="34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北京天驰君泰（重庆）律师事务所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宋体" w:hAnsi="宋体" w:eastAsia="宋体" w:cs="Times New Roman"/>
                <w:color w:val="000000"/>
                <w:kern w:val="0"/>
                <w:sz w:val="22"/>
              </w:rPr>
              <w:t>张礼节</w:t>
            </w:r>
          </w:p>
        </w:tc>
      </w:tr>
    </w:tbl>
    <w:p>
      <w:pPr>
        <w:spacing w:line="594" w:lineRule="exact"/>
        <w:jc w:val="left"/>
        <w:rPr>
          <w:rFonts w:ascii="方正仿宋_GBK" w:eastAsia="方正仿宋_GBK"/>
          <w:sz w:val="32"/>
          <w:szCs w:val="32"/>
        </w:rPr>
      </w:pPr>
      <w:r>
        <w:rPr>
          <w:rFonts w:hint="eastAsia" w:ascii="方正仿宋_GBK" w:eastAsia="方正仿宋_GBK"/>
          <w:sz w:val="32"/>
          <w:szCs w:val="32"/>
        </w:rPr>
        <w:t>二、社区法律顾问服务典型案例</w:t>
      </w:r>
      <w:r>
        <w:rPr>
          <w:rFonts w:ascii="Times New Roman" w:hAnsi="Times New Roman" w:eastAsia="方正仿宋_GBK" w:cs="Times New Roman"/>
          <w:sz w:val="32"/>
          <w:szCs w:val="32"/>
        </w:rPr>
        <w:t>名单（10个）</w:t>
      </w:r>
      <w:r>
        <w:rPr>
          <w:rFonts w:hint="eastAsia" w:ascii="方正仿宋_GBK" w:eastAsia="方正仿宋_GBK"/>
          <w:sz w:val="32"/>
          <w:szCs w:val="32"/>
        </w:rPr>
        <w:t>：</w:t>
      </w:r>
    </w:p>
    <w:tbl>
      <w:tblPr>
        <w:tblStyle w:val="10"/>
        <w:tblW w:w="9796" w:type="dxa"/>
        <w:tblInd w:w="93" w:type="dxa"/>
        <w:tblLayout w:type="autofit"/>
        <w:tblCellMar>
          <w:top w:w="0" w:type="dxa"/>
          <w:left w:w="108" w:type="dxa"/>
          <w:bottom w:w="0" w:type="dxa"/>
          <w:right w:w="108" w:type="dxa"/>
        </w:tblCellMar>
      </w:tblPr>
      <w:tblGrid>
        <w:gridCol w:w="1008"/>
        <w:gridCol w:w="1275"/>
        <w:gridCol w:w="1276"/>
        <w:gridCol w:w="1418"/>
        <w:gridCol w:w="4819"/>
      </w:tblGrid>
      <w:tr>
        <w:tblPrEx>
          <w:tblCellMar>
            <w:top w:w="0" w:type="dxa"/>
            <w:left w:w="108" w:type="dxa"/>
            <w:bottom w:w="0" w:type="dxa"/>
            <w:right w:w="108" w:type="dxa"/>
          </w:tblCellMar>
        </w:tblPrEx>
        <w:trPr>
          <w:trHeight w:val="67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服务街道</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服务社区</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顾问姓名</w:t>
            </w:r>
          </w:p>
        </w:tc>
        <w:tc>
          <w:tcPr>
            <w:tcW w:w="48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案例标题</w:t>
            </w:r>
          </w:p>
        </w:tc>
      </w:tr>
      <w:tr>
        <w:tblPrEx>
          <w:tblCellMar>
            <w:top w:w="0" w:type="dxa"/>
            <w:left w:w="108" w:type="dxa"/>
            <w:bottom w:w="0" w:type="dxa"/>
            <w:right w:w="108" w:type="dxa"/>
          </w:tblCellMar>
        </w:tblPrEx>
        <w:trPr>
          <w:trHeight w:val="61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石油路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茶亭北路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杨青</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天台晾衣意外摔伤，谁负责？</w:t>
            </w:r>
          </w:p>
        </w:tc>
      </w:tr>
      <w:tr>
        <w:tblPrEx>
          <w:tblCellMar>
            <w:top w:w="0" w:type="dxa"/>
            <w:left w:w="108" w:type="dxa"/>
            <w:bottom w:w="0" w:type="dxa"/>
            <w:right w:w="108" w:type="dxa"/>
          </w:tblCellMar>
        </w:tblPrEx>
        <w:trPr>
          <w:trHeight w:val="61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解放碑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自力巷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刘建晶</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多方联动调解，小区“互殴”纠纷及时就地化解</w:t>
            </w:r>
          </w:p>
        </w:tc>
      </w:tr>
      <w:tr>
        <w:tblPrEx>
          <w:tblCellMar>
            <w:top w:w="0" w:type="dxa"/>
            <w:left w:w="108" w:type="dxa"/>
            <w:bottom w:w="0" w:type="dxa"/>
            <w:right w:w="108" w:type="dxa"/>
          </w:tblCellMar>
        </w:tblPrEx>
        <w:trPr>
          <w:trHeight w:val="61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解放碑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自力巷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刘建晶</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齐心齐力修睦邻里“漏水”困扰</w:t>
            </w:r>
          </w:p>
        </w:tc>
      </w:tr>
      <w:tr>
        <w:tblPrEx>
          <w:tblCellMar>
            <w:top w:w="0" w:type="dxa"/>
            <w:left w:w="108" w:type="dxa"/>
            <w:bottom w:w="0" w:type="dxa"/>
            <w:right w:w="108" w:type="dxa"/>
          </w:tblCellMar>
        </w:tblPrEx>
        <w:trPr>
          <w:trHeight w:val="61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解放碑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邹容路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陈涨</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交通事故引侵权，社区法律顾问全程服务解纠纷</w:t>
            </w:r>
          </w:p>
        </w:tc>
      </w:tr>
      <w:tr>
        <w:tblPrEx>
          <w:tblCellMar>
            <w:top w:w="0" w:type="dxa"/>
            <w:left w:w="108" w:type="dxa"/>
            <w:bottom w:w="0" w:type="dxa"/>
            <w:right w:w="108" w:type="dxa"/>
          </w:tblCellMar>
        </w:tblPrEx>
        <w:trPr>
          <w:trHeight w:val="61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5</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两路口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铁路坡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张燕</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暖心专业调解，47个月分期借款一次性偿还</w:t>
            </w:r>
          </w:p>
        </w:tc>
      </w:tr>
      <w:tr>
        <w:tblPrEx>
          <w:tblCellMar>
            <w:top w:w="0" w:type="dxa"/>
            <w:left w:w="108" w:type="dxa"/>
            <w:bottom w:w="0" w:type="dxa"/>
            <w:right w:w="108" w:type="dxa"/>
          </w:tblCellMar>
        </w:tblPrEx>
        <w:trPr>
          <w:trHeight w:val="61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6</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大溪沟</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张家花园</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成静轶</w:t>
            </w:r>
          </w:p>
        </w:tc>
        <w:tc>
          <w:tcPr>
            <w:tcW w:w="48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被妻女“骗房”过户，社区法律顾问探明真相</w:t>
            </w:r>
          </w:p>
        </w:tc>
      </w:tr>
      <w:tr>
        <w:tblPrEx>
          <w:tblCellMar>
            <w:top w:w="0" w:type="dxa"/>
            <w:left w:w="108" w:type="dxa"/>
            <w:bottom w:w="0" w:type="dxa"/>
            <w:right w:w="108" w:type="dxa"/>
          </w:tblCellMar>
        </w:tblPrEx>
        <w:trPr>
          <w:trHeight w:val="61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7</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大溪沟</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双钢路</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周玉婕</w:t>
            </w:r>
          </w:p>
        </w:tc>
        <w:tc>
          <w:tcPr>
            <w:tcW w:w="48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大厦租户过失引发多楼层火灾， 社区法律顾问共情调解止纷争</w:t>
            </w:r>
          </w:p>
        </w:tc>
      </w:tr>
      <w:tr>
        <w:tblPrEx>
          <w:tblCellMar>
            <w:top w:w="0" w:type="dxa"/>
            <w:left w:w="108" w:type="dxa"/>
            <w:bottom w:w="0" w:type="dxa"/>
            <w:right w:w="108" w:type="dxa"/>
          </w:tblCellMar>
        </w:tblPrEx>
        <w:trPr>
          <w:trHeight w:val="61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8</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朝天门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陕西路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王舒</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社区法律顾问细致专业调解，小商户3年租赁纠纷终化解</w:t>
            </w:r>
          </w:p>
        </w:tc>
      </w:tr>
      <w:tr>
        <w:tblPrEx>
          <w:tblCellMar>
            <w:top w:w="0" w:type="dxa"/>
            <w:left w:w="108" w:type="dxa"/>
            <w:bottom w:w="0" w:type="dxa"/>
            <w:right w:w="108" w:type="dxa"/>
          </w:tblCellMar>
        </w:tblPrEx>
        <w:trPr>
          <w:trHeight w:val="61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9</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朝天门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棉花街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王舒</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社区法律顾问联盟多方有奇招 ，网约房公约助力矛盾化解有效</w:t>
            </w:r>
          </w:p>
        </w:tc>
      </w:tr>
      <w:tr>
        <w:tblPrEx>
          <w:tblCellMar>
            <w:top w:w="0" w:type="dxa"/>
            <w:left w:w="108" w:type="dxa"/>
            <w:bottom w:w="0" w:type="dxa"/>
            <w:right w:w="108" w:type="dxa"/>
          </w:tblCellMar>
        </w:tblPrEx>
        <w:trPr>
          <w:trHeight w:val="61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10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浮图关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张悦</w:t>
            </w:r>
          </w:p>
        </w:tc>
        <w:tc>
          <w:tcPr>
            <w:tcW w:w="48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众业主苦心购“学区房”被“欺诈”，多方联动齐心解决退款问题</w:t>
            </w:r>
          </w:p>
        </w:tc>
      </w:tr>
    </w:tbl>
    <w:p>
      <w:pPr>
        <w:spacing w:line="594" w:lineRule="exact"/>
        <w:jc w:val="left"/>
        <w:rPr>
          <w:rFonts w:ascii="方正仿宋_GBK" w:eastAsia="方正仿宋_GBK"/>
          <w:sz w:val="32"/>
          <w:szCs w:val="32"/>
        </w:rPr>
      </w:pPr>
    </w:p>
    <w:p>
      <w:pPr>
        <w:spacing w:line="594" w:lineRule="exact"/>
        <w:ind w:right="420" w:rightChars="200"/>
        <w:jc w:val="right"/>
      </w:pPr>
      <w:r>
        <w:rPr>
          <w:rFonts w:hint="eastAsia" w:ascii="Times New Roman" w:hAnsi="Times New Roman" w:eastAsia="方正仿宋_GBK" w:cs="Times New Roman"/>
          <w:sz w:val="32"/>
          <w:szCs w:val="32"/>
        </w:rPr>
        <w:t xml:space="preserve">  </w:t>
      </w:r>
    </w:p>
    <w:sectPr>
      <w:pgSz w:w="11906" w:h="16838"/>
      <w:pgMar w:top="1984" w:right="1417" w:bottom="164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5NjQ1MzM2NDFjODM3NTBkYTZjN2EyOTI5YmM5MzgifQ=="/>
  </w:docVars>
  <w:rsids>
    <w:rsidRoot w:val="667C183D"/>
    <w:rsid w:val="000401A4"/>
    <w:rsid w:val="00056232"/>
    <w:rsid w:val="0008648D"/>
    <w:rsid w:val="000D6479"/>
    <w:rsid w:val="001937EE"/>
    <w:rsid w:val="001C22F5"/>
    <w:rsid w:val="001E4504"/>
    <w:rsid w:val="001E7EB3"/>
    <w:rsid w:val="00234A5A"/>
    <w:rsid w:val="0024475F"/>
    <w:rsid w:val="002564C4"/>
    <w:rsid w:val="002D297E"/>
    <w:rsid w:val="002E346E"/>
    <w:rsid w:val="002E66B6"/>
    <w:rsid w:val="00312586"/>
    <w:rsid w:val="0031641E"/>
    <w:rsid w:val="003177E2"/>
    <w:rsid w:val="00337141"/>
    <w:rsid w:val="0038704E"/>
    <w:rsid w:val="00393774"/>
    <w:rsid w:val="003C5E9E"/>
    <w:rsid w:val="003E1DD9"/>
    <w:rsid w:val="003E28D1"/>
    <w:rsid w:val="003F7490"/>
    <w:rsid w:val="00424446"/>
    <w:rsid w:val="00435627"/>
    <w:rsid w:val="00436E16"/>
    <w:rsid w:val="00445F94"/>
    <w:rsid w:val="0045741C"/>
    <w:rsid w:val="004669D3"/>
    <w:rsid w:val="004D3812"/>
    <w:rsid w:val="00500D1E"/>
    <w:rsid w:val="00500FCE"/>
    <w:rsid w:val="005350C1"/>
    <w:rsid w:val="005453CD"/>
    <w:rsid w:val="00570A15"/>
    <w:rsid w:val="005B48D2"/>
    <w:rsid w:val="005C0225"/>
    <w:rsid w:val="005C13FE"/>
    <w:rsid w:val="005C55C0"/>
    <w:rsid w:val="005E4B19"/>
    <w:rsid w:val="00621CFA"/>
    <w:rsid w:val="006253E8"/>
    <w:rsid w:val="00635F82"/>
    <w:rsid w:val="006B3698"/>
    <w:rsid w:val="006C125F"/>
    <w:rsid w:val="006F705C"/>
    <w:rsid w:val="00766B10"/>
    <w:rsid w:val="007770C7"/>
    <w:rsid w:val="00781B25"/>
    <w:rsid w:val="00781D36"/>
    <w:rsid w:val="00796B91"/>
    <w:rsid w:val="007A67C7"/>
    <w:rsid w:val="007A7151"/>
    <w:rsid w:val="007D19C4"/>
    <w:rsid w:val="007D1FA1"/>
    <w:rsid w:val="007F5358"/>
    <w:rsid w:val="00805244"/>
    <w:rsid w:val="0083515A"/>
    <w:rsid w:val="008657E9"/>
    <w:rsid w:val="00873EA3"/>
    <w:rsid w:val="00881EA5"/>
    <w:rsid w:val="00883401"/>
    <w:rsid w:val="008A51FE"/>
    <w:rsid w:val="008A6EBD"/>
    <w:rsid w:val="008B00E2"/>
    <w:rsid w:val="00930E6F"/>
    <w:rsid w:val="00943E24"/>
    <w:rsid w:val="00952E59"/>
    <w:rsid w:val="00966D51"/>
    <w:rsid w:val="00981676"/>
    <w:rsid w:val="00981813"/>
    <w:rsid w:val="009A25C6"/>
    <w:rsid w:val="009B28CC"/>
    <w:rsid w:val="009B76EB"/>
    <w:rsid w:val="009D32D5"/>
    <w:rsid w:val="009D3DDC"/>
    <w:rsid w:val="009E6D34"/>
    <w:rsid w:val="00A02B77"/>
    <w:rsid w:val="00A14170"/>
    <w:rsid w:val="00A16050"/>
    <w:rsid w:val="00A2063C"/>
    <w:rsid w:val="00A75F89"/>
    <w:rsid w:val="00A773BF"/>
    <w:rsid w:val="00AB2045"/>
    <w:rsid w:val="00AE4089"/>
    <w:rsid w:val="00AE5267"/>
    <w:rsid w:val="00B034F3"/>
    <w:rsid w:val="00B266A0"/>
    <w:rsid w:val="00B5312E"/>
    <w:rsid w:val="00B56BC6"/>
    <w:rsid w:val="00BA7B21"/>
    <w:rsid w:val="00C249EA"/>
    <w:rsid w:val="00C540A1"/>
    <w:rsid w:val="00CB0AFF"/>
    <w:rsid w:val="00D014D0"/>
    <w:rsid w:val="00D02443"/>
    <w:rsid w:val="00D10CA7"/>
    <w:rsid w:val="00D13FD7"/>
    <w:rsid w:val="00D20C0E"/>
    <w:rsid w:val="00D851D4"/>
    <w:rsid w:val="00DC621F"/>
    <w:rsid w:val="00DC7CB2"/>
    <w:rsid w:val="00DE1DA5"/>
    <w:rsid w:val="00DE31E6"/>
    <w:rsid w:val="00DE7C91"/>
    <w:rsid w:val="00DF59B2"/>
    <w:rsid w:val="00E15506"/>
    <w:rsid w:val="00E55AA4"/>
    <w:rsid w:val="00E6594F"/>
    <w:rsid w:val="00E815D7"/>
    <w:rsid w:val="00EB3EFF"/>
    <w:rsid w:val="00EB4520"/>
    <w:rsid w:val="00ED0CDA"/>
    <w:rsid w:val="00F1588C"/>
    <w:rsid w:val="00F47877"/>
    <w:rsid w:val="00F62289"/>
    <w:rsid w:val="00F6235D"/>
    <w:rsid w:val="00F702F9"/>
    <w:rsid w:val="00F77A29"/>
    <w:rsid w:val="00F93DB2"/>
    <w:rsid w:val="00FA7C16"/>
    <w:rsid w:val="00FC19C2"/>
    <w:rsid w:val="00FE0099"/>
    <w:rsid w:val="048E5B9B"/>
    <w:rsid w:val="04F307D3"/>
    <w:rsid w:val="054F1167"/>
    <w:rsid w:val="06A14D48"/>
    <w:rsid w:val="08DC34BF"/>
    <w:rsid w:val="0A723B89"/>
    <w:rsid w:val="0F4851E6"/>
    <w:rsid w:val="119A5920"/>
    <w:rsid w:val="11D94C3C"/>
    <w:rsid w:val="13A24AA1"/>
    <w:rsid w:val="13B109B7"/>
    <w:rsid w:val="148F1C65"/>
    <w:rsid w:val="16C50EA4"/>
    <w:rsid w:val="17F22E39"/>
    <w:rsid w:val="20AB1929"/>
    <w:rsid w:val="25F53CD4"/>
    <w:rsid w:val="27011871"/>
    <w:rsid w:val="29F45719"/>
    <w:rsid w:val="346848B5"/>
    <w:rsid w:val="36386351"/>
    <w:rsid w:val="393B7EC3"/>
    <w:rsid w:val="3B754C30"/>
    <w:rsid w:val="3DA521EF"/>
    <w:rsid w:val="41F47643"/>
    <w:rsid w:val="4324186B"/>
    <w:rsid w:val="44516A50"/>
    <w:rsid w:val="453559C7"/>
    <w:rsid w:val="48B8324A"/>
    <w:rsid w:val="4B5B3033"/>
    <w:rsid w:val="4C2641E5"/>
    <w:rsid w:val="4C85134A"/>
    <w:rsid w:val="4FF20170"/>
    <w:rsid w:val="55801408"/>
    <w:rsid w:val="5E9D5B92"/>
    <w:rsid w:val="64C9384D"/>
    <w:rsid w:val="667C183D"/>
    <w:rsid w:val="6AF25FE5"/>
    <w:rsid w:val="6E7A2A9F"/>
    <w:rsid w:val="6EFF7A7C"/>
    <w:rsid w:val="78322176"/>
    <w:rsid w:val="78C70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toc 5"/>
    <w:basedOn w:val="1"/>
    <w:next w:val="1"/>
    <w:qFormat/>
    <w:uiPriority w:val="0"/>
    <w:pPr>
      <w:ind w:left="1680" w:leftChars="800"/>
    </w:pPr>
  </w:style>
  <w:style w:type="paragraph" w:styleId="5">
    <w:name w:val="Date"/>
    <w:basedOn w:val="1"/>
    <w:next w:val="1"/>
    <w:link w:val="13"/>
    <w:qFormat/>
    <w:uiPriority w:val="0"/>
    <w:pPr>
      <w:ind w:left="100" w:leftChars="2500"/>
    </w:pPr>
  </w:style>
  <w:style w:type="paragraph" w:styleId="6">
    <w:name w:val="Body Text Indent 2"/>
    <w:basedOn w:val="1"/>
    <w:qFormat/>
    <w:uiPriority w:val="0"/>
    <w:pPr>
      <w:ind w:firstLine="624" w:firstLineChars="195"/>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qFormat/>
    <w:uiPriority w:val="0"/>
    <w:pPr>
      <w:ind w:firstLine="420" w:firstLineChars="100"/>
    </w:pPr>
  </w:style>
  <w:style w:type="character" w:customStyle="1" w:styleId="12">
    <w:name w:val="页眉 Char"/>
    <w:basedOn w:val="11"/>
    <w:link w:val="8"/>
    <w:qFormat/>
    <w:uiPriority w:val="0"/>
    <w:rPr>
      <w:kern w:val="2"/>
      <w:sz w:val="18"/>
      <w:szCs w:val="18"/>
    </w:rPr>
  </w:style>
  <w:style w:type="character" w:customStyle="1" w:styleId="13">
    <w:name w:val="日期 Char"/>
    <w:basedOn w:val="11"/>
    <w:link w:val="5"/>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198</Words>
  <Characters>1132</Characters>
  <Lines>9</Lines>
  <Paragraphs>2</Paragraphs>
  <TotalTime>0</TotalTime>
  <ScaleCrop>false</ScaleCrop>
  <LinksUpToDate>false</LinksUpToDate>
  <CharactersWithSpaces>1328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2021-04-12T07:45:00Z</dcterms:created>
  <dc:creator>Administrator</dc:creator>
  <cp:lastModifiedBy>Administrator</cp:lastModifiedBy>
  <cp:lastPrinted>2023-11-02T09:12:00Z</cp:lastPrinted>
  <dcterms:modified xsi:type="dcterms:W3CDTF">2023-11-09T06:28:47Z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D0D8AEC03B1D4165804AEECD85130F4D_13</vt:lpwstr>
  </property>
</Properties>
</file>