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rPr>
      </w:pPr>
    </w:p>
    <w:p>
      <w:pPr>
        <w:rPr>
          <w:rFonts w:ascii="仿宋" w:hAnsi="仿宋" w:eastAsia="仿宋"/>
          <w:color w:val="000000"/>
        </w:rPr>
      </w:pPr>
    </w:p>
    <w:tbl>
      <w:tblPr>
        <w:tblStyle w:val="8"/>
        <w:tblpPr w:leftFromText="180" w:rightFromText="180" w:vertAnchor="page" w:horzAnchor="margin" w:tblpXSpec="center" w:tblpY="3946"/>
        <w:tblW w:w="7088" w:type="dxa"/>
        <w:tblInd w:w="0" w:type="dxa"/>
        <w:tblLayout w:type="fixed"/>
        <w:tblCellMar>
          <w:top w:w="0" w:type="dxa"/>
          <w:left w:w="108" w:type="dxa"/>
          <w:bottom w:w="0" w:type="dxa"/>
          <w:right w:w="108" w:type="dxa"/>
        </w:tblCellMar>
      </w:tblPr>
      <w:tblGrid>
        <w:gridCol w:w="7088"/>
      </w:tblGrid>
      <w:tr>
        <w:tblPrEx>
          <w:tblCellMar>
            <w:top w:w="0" w:type="dxa"/>
            <w:left w:w="108" w:type="dxa"/>
            <w:bottom w:w="0" w:type="dxa"/>
            <w:right w:w="108" w:type="dxa"/>
          </w:tblCellMar>
        </w:tblPrEx>
        <w:trPr>
          <w:trHeight w:val="680" w:hRule="atLeast"/>
        </w:trPr>
        <w:tc>
          <w:tcPr>
            <w:tcW w:w="7088" w:type="dxa"/>
          </w:tcPr>
          <w:p>
            <w:pPr>
              <w:snapToGrid w:val="0"/>
              <w:jc w:val="center"/>
              <w:rPr>
                <w:rFonts w:ascii="仿宋" w:hAnsi="仿宋" w:eastAsia="仿宋"/>
                <w:b/>
                <w:color w:val="000000"/>
                <w:sz w:val="32"/>
                <w:szCs w:val="32"/>
              </w:rPr>
            </w:pPr>
            <w:r>
              <w:rPr>
                <w:rFonts w:hint="eastAsia" w:ascii="仿宋" w:hAnsi="仿宋" w:eastAsia="仿宋"/>
                <w:b/>
                <w:color w:val="000000"/>
                <w:sz w:val="32"/>
                <w:szCs w:val="32"/>
              </w:rPr>
              <w:t>重庆市渝中</w:t>
            </w:r>
            <w:r>
              <w:rPr>
                <w:rFonts w:ascii="仿宋" w:hAnsi="仿宋" w:eastAsia="仿宋"/>
                <w:b/>
                <w:color w:val="000000"/>
                <w:sz w:val="32"/>
                <w:szCs w:val="32"/>
              </w:rPr>
              <w:t>区</w:t>
            </w:r>
            <w:r>
              <w:rPr>
                <w:rFonts w:hint="eastAsia" w:ascii="仿宋" w:hAnsi="仿宋" w:eastAsia="仿宋"/>
                <w:b/>
                <w:color w:val="000000"/>
                <w:sz w:val="32"/>
                <w:szCs w:val="32"/>
              </w:rPr>
              <w:t>生态环境局</w:t>
            </w:r>
          </w:p>
        </w:tc>
      </w:tr>
      <w:tr>
        <w:tblPrEx>
          <w:tblCellMar>
            <w:top w:w="0" w:type="dxa"/>
            <w:left w:w="108" w:type="dxa"/>
            <w:bottom w:w="0" w:type="dxa"/>
            <w:right w:w="108" w:type="dxa"/>
          </w:tblCellMar>
        </w:tblPrEx>
        <w:trPr>
          <w:trHeight w:val="680" w:hRule="atLeast"/>
        </w:trPr>
        <w:tc>
          <w:tcPr>
            <w:tcW w:w="7088" w:type="dxa"/>
          </w:tcPr>
          <w:p>
            <w:pPr>
              <w:jc w:val="center"/>
              <w:rPr>
                <w:rFonts w:ascii="仿宋" w:hAnsi="仿宋" w:eastAsia="仿宋"/>
                <w:b/>
                <w:color w:val="000000"/>
                <w:sz w:val="32"/>
                <w:szCs w:val="32"/>
              </w:rPr>
            </w:pPr>
            <w:r>
              <w:rPr>
                <w:rFonts w:hint="eastAsia" w:ascii="仿宋" w:hAnsi="仿宋" w:eastAsia="仿宋"/>
                <w:b/>
                <w:color w:val="000000"/>
                <w:sz w:val="32"/>
                <w:szCs w:val="32"/>
              </w:rPr>
              <w:t>2020年部门整体支出绩效评价报告</w:t>
            </w:r>
          </w:p>
          <w:p>
            <w:pPr>
              <w:jc w:val="center"/>
              <w:rPr>
                <w:rFonts w:ascii="仿宋" w:hAnsi="仿宋" w:eastAsia="仿宋"/>
              </w:rPr>
            </w:pPr>
          </w:p>
        </w:tc>
      </w:tr>
      <w:tr>
        <w:tblPrEx>
          <w:tblCellMar>
            <w:top w:w="0" w:type="dxa"/>
            <w:left w:w="108" w:type="dxa"/>
            <w:bottom w:w="0" w:type="dxa"/>
            <w:right w:w="108" w:type="dxa"/>
          </w:tblCellMar>
        </w:tblPrEx>
        <w:trPr>
          <w:trHeight w:val="680" w:hRule="atLeast"/>
        </w:trPr>
        <w:tc>
          <w:tcPr>
            <w:tcW w:w="7088" w:type="dxa"/>
            <w:vAlign w:val="center"/>
          </w:tcPr>
          <w:p>
            <w:pPr>
              <w:snapToGrid w:val="0"/>
              <w:jc w:val="center"/>
              <w:rPr>
                <w:rFonts w:ascii="仿宋" w:hAnsi="仿宋" w:eastAsia="仿宋"/>
                <w:b/>
                <w:bCs/>
                <w:color w:val="000000"/>
                <w:szCs w:val="21"/>
              </w:rPr>
            </w:pPr>
            <w:r>
              <w:rPr>
                <w:rFonts w:ascii="仿宋" w:hAnsi="仿宋" w:eastAsia="仿宋"/>
                <w:b/>
                <w:szCs w:val="21"/>
              </w:rPr>
              <w:t>大华咨字[2021]250023号</w:t>
            </w:r>
          </w:p>
        </w:tc>
      </w:tr>
    </w:tbl>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snapToGrid w:val="0"/>
        <w:rPr>
          <w:rFonts w:ascii="仿宋" w:hAnsi="仿宋" w:eastAsia="仿宋"/>
          <w:b/>
          <w:color w:val="000000"/>
          <w:spacing w:val="40"/>
          <w:sz w:val="30"/>
          <w:szCs w:val="30"/>
        </w:rPr>
      </w:pPr>
    </w:p>
    <w:p>
      <w:pPr>
        <w:snapToGrid w:val="0"/>
        <w:jc w:val="center"/>
        <w:rPr>
          <w:rFonts w:ascii="仿宋" w:hAnsi="仿宋" w:eastAsia="仿宋"/>
          <w:b/>
          <w:color w:val="000000"/>
          <w:spacing w:val="40"/>
          <w:sz w:val="30"/>
          <w:szCs w:val="30"/>
        </w:rPr>
      </w:pPr>
    </w:p>
    <w:p>
      <w:pPr>
        <w:snapToGrid w:val="0"/>
        <w:jc w:val="center"/>
        <w:rPr>
          <w:rFonts w:ascii="仿宋" w:hAnsi="仿宋" w:eastAsia="仿宋"/>
          <w:b/>
          <w:color w:val="000000"/>
          <w:spacing w:val="40"/>
          <w:sz w:val="30"/>
          <w:szCs w:val="30"/>
        </w:rPr>
      </w:pPr>
    </w:p>
    <w:p>
      <w:pPr>
        <w:snapToGrid w:val="0"/>
        <w:jc w:val="center"/>
        <w:rPr>
          <w:rFonts w:ascii="仿宋" w:hAnsi="仿宋" w:eastAsia="仿宋"/>
          <w:b/>
          <w:color w:val="000000"/>
          <w:spacing w:val="40"/>
          <w:sz w:val="30"/>
          <w:szCs w:val="30"/>
        </w:rPr>
      </w:pPr>
    </w:p>
    <w:p>
      <w:pPr>
        <w:snapToGrid w:val="0"/>
        <w:jc w:val="center"/>
        <w:rPr>
          <w:rFonts w:ascii="仿宋" w:hAnsi="仿宋" w:eastAsia="仿宋"/>
          <w:b/>
          <w:color w:val="000000"/>
          <w:spacing w:val="40"/>
          <w:sz w:val="30"/>
          <w:szCs w:val="30"/>
        </w:rPr>
      </w:pPr>
    </w:p>
    <w:p>
      <w:pPr>
        <w:snapToGrid w:val="0"/>
        <w:jc w:val="center"/>
        <w:rPr>
          <w:rFonts w:ascii="仿宋" w:hAnsi="仿宋" w:eastAsia="仿宋"/>
          <w:b/>
          <w:color w:val="000000"/>
          <w:spacing w:val="40"/>
          <w:sz w:val="30"/>
          <w:szCs w:val="30"/>
        </w:rPr>
      </w:pPr>
    </w:p>
    <w:p>
      <w:pPr>
        <w:snapToGrid w:val="0"/>
        <w:jc w:val="center"/>
        <w:rPr>
          <w:rFonts w:ascii="仿宋" w:hAnsi="仿宋" w:eastAsia="仿宋"/>
          <w:b/>
          <w:color w:val="000000"/>
          <w:spacing w:val="40"/>
          <w:sz w:val="30"/>
          <w:szCs w:val="30"/>
        </w:rPr>
      </w:pPr>
    </w:p>
    <w:p>
      <w:pPr>
        <w:snapToGrid w:val="0"/>
        <w:jc w:val="center"/>
        <w:rPr>
          <w:rFonts w:ascii="仿宋" w:hAnsi="仿宋" w:eastAsia="仿宋"/>
          <w:b/>
          <w:color w:val="000000"/>
          <w:spacing w:val="40"/>
          <w:sz w:val="30"/>
          <w:szCs w:val="30"/>
        </w:rPr>
      </w:pPr>
    </w:p>
    <w:p>
      <w:pPr>
        <w:snapToGrid w:val="0"/>
        <w:jc w:val="center"/>
        <w:rPr>
          <w:rFonts w:ascii="仿宋" w:hAnsi="仿宋" w:eastAsia="仿宋"/>
          <w:b/>
          <w:color w:val="000000"/>
          <w:spacing w:val="40"/>
          <w:sz w:val="30"/>
          <w:szCs w:val="30"/>
        </w:rPr>
      </w:pPr>
    </w:p>
    <w:p>
      <w:pPr>
        <w:snapToGrid w:val="0"/>
        <w:jc w:val="center"/>
        <w:rPr>
          <w:rFonts w:ascii="仿宋" w:hAnsi="仿宋" w:eastAsia="仿宋"/>
          <w:b/>
          <w:spacing w:val="40"/>
          <w:sz w:val="30"/>
          <w:szCs w:val="30"/>
        </w:rPr>
      </w:pPr>
      <w:r>
        <w:rPr>
          <w:rFonts w:ascii="仿宋" w:hAnsi="仿宋" w:eastAsia="仿宋"/>
          <w:b/>
          <w:spacing w:val="40"/>
          <w:sz w:val="30"/>
          <w:szCs w:val="30"/>
        </w:rPr>
        <w:t>大华会计师事务所(特殊普通合伙)</w:t>
      </w:r>
    </w:p>
    <w:p>
      <w:pPr>
        <w:rPr>
          <w:rFonts w:ascii="仿宋" w:hAnsi="仿宋" w:eastAsia="仿宋"/>
        </w:rPr>
      </w:pPr>
    </w:p>
    <w:p>
      <w:pPr>
        <w:snapToGrid w:val="0"/>
        <w:jc w:val="center"/>
        <w:rPr>
          <w:rFonts w:ascii="仿宋" w:hAnsi="仿宋" w:eastAsia="仿宋"/>
          <w:spacing w:val="-8"/>
        </w:rPr>
      </w:pPr>
      <w:r>
        <w:rPr>
          <w:rFonts w:ascii="仿宋" w:hAnsi="仿宋" w:eastAsia="仿宋"/>
          <w:spacing w:val="-8"/>
        </w:rPr>
        <w:t>D</w:t>
      </w:r>
      <w:r>
        <w:rPr>
          <w:rFonts w:hint="eastAsia" w:ascii="仿宋" w:hAnsi="仿宋" w:eastAsia="仿宋"/>
          <w:spacing w:val="-8"/>
        </w:rPr>
        <w:t>a</w:t>
      </w:r>
      <w:r>
        <w:rPr>
          <w:rFonts w:ascii="仿宋" w:hAnsi="仿宋" w:eastAsia="仿宋"/>
          <w:spacing w:val="-8"/>
        </w:rPr>
        <w:t xml:space="preserve"> H</w:t>
      </w:r>
      <w:r>
        <w:rPr>
          <w:rFonts w:hint="eastAsia" w:ascii="仿宋" w:hAnsi="仿宋" w:eastAsia="仿宋"/>
          <w:spacing w:val="-8"/>
        </w:rPr>
        <w:t xml:space="preserve">ua </w:t>
      </w:r>
      <w:r>
        <w:rPr>
          <w:rFonts w:ascii="仿宋" w:hAnsi="仿宋" w:eastAsia="仿宋"/>
          <w:spacing w:val="-8"/>
        </w:rPr>
        <w:t>Certified Public Accountants</w:t>
      </w:r>
      <w:r>
        <w:rPr>
          <w:rFonts w:hint="eastAsia" w:ascii="仿宋" w:hAnsi="仿宋" w:eastAsia="仿宋"/>
          <w:spacing w:val="-8"/>
        </w:rPr>
        <w:t>（Special General Partnership）</w:t>
      </w:r>
    </w:p>
    <w:p>
      <w:pPr>
        <w:snapToGrid w:val="0"/>
        <w:jc w:val="center"/>
        <w:rPr>
          <w:rFonts w:ascii="仿宋" w:hAnsi="仿宋" w:eastAsia="仿宋"/>
          <w:spacing w:val="-8"/>
        </w:rPr>
      </w:pPr>
    </w:p>
    <w:p>
      <w:pPr>
        <w:snapToGrid w:val="0"/>
        <w:jc w:val="center"/>
        <w:rPr>
          <w:rFonts w:ascii="仿宋" w:hAnsi="仿宋" w:eastAsia="仿宋"/>
          <w:spacing w:val="-8"/>
        </w:rPr>
      </w:pPr>
    </w:p>
    <w:p>
      <w:pPr>
        <w:snapToGrid w:val="0"/>
        <w:jc w:val="center"/>
        <w:rPr>
          <w:rFonts w:ascii="仿宋" w:hAnsi="仿宋" w:eastAsia="仿宋"/>
          <w:spacing w:val="-8"/>
        </w:rPr>
      </w:pPr>
    </w:p>
    <w:p>
      <w:pPr>
        <w:snapToGrid w:val="0"/>
        <w:jc w:val="center"/>
        <w:rPr>
          <w:rFonts w:ascii="仿宋" w:hAnsi="仿宋" w:eastAsia="仿宋"/>
          <w:spacing w:val="-8"/>
        </w:rPr>
      </w:pPr>
    </w:p>
    <w:p>
      <w:pPr>
        <w:snapToGrid w:val="0"/>
        <w:jc w:val="center"/>
        <w:rPr>
          <w:rFonts w:ascii="仿宋" w:hAnsi="仿宋" w:eastAsia="仿宋"/>
          <w:spacing w:val="-8"/>
        </w:rPr>
      </w:pPr>
    </w:p>
    <w:p>
      <w:pPr>
        <w:snapToGrid w:val="0"/>
        <w:jc w:val="center"/>
        <w:rPr>
          <w:rFonts w:ascii="仿宋" w:hAnsi="仿宋" w:eastAsia="仿宋"/>
          <w:spacing w:val="-8"/>
        </w:rPr>
      </w:pPr>
    </w:p>
    <w:p>
      <w:pPr>
        <w:snapToGrid w:val="0"/>
        <w:spacing w:after="312" w:afterLines="100"/>
        <w:jc w:val="center"/>
        <w:rPr>
          <w:rFonts w:ascii="仿宋" w:hAnsi="仿宋" w:eastAsia="仿宋"/>
          <w:b/>
          <w:color w:val="000000"/>
          <w:sz w:val="32"/>
          <w:szCs w:val="32"/>
        </w:rPr>
      </w:pPr>
      <w:r>
        <w:rPr>
          <w:rFonts w:hint="eastAsia" w:ascii="仿宋" w:hAnsi="仿宋" w:eastAsia="仿宋"/>
          <w:b/>
          <w:color w:val="000000"/>
          <w:sz w:val="32"/>
          <w:szCs w:val="32"/>
        </w:rPr>
        <w:t>重庆市渝中</w:t>
      </w:r>
      <w:r>
        <w:rPr>
          <w:rFonts w:ascii="仿宋" w:hAnsi="仿宋" w:eastAsia="仿宋"/>
          <w:b/>
          <w:color w:val="000000"/>
          <w:sz w:val="32"/>
          <w:szCs w:val="32"/>
        </w:rPr>
        <w:t>区</w:t>
      </w:r>
      <w:r>
        <w:rPr>
          <w:rFonts w:hint="eastAsia" w:ascii="仿宋" w:hAnsi="仿宋" w:eastAsia="仿宋"/>
          <w:b/>
          <w:color w:val="000000"/>
          <w:sz w:val="32"/>
          <w:szCs w:val="32"/>
        </w:rPr>
        <w:t>生态环境局</w:t>
      </w:r>
    </w:p>
    <w:p>
      <w:pPr>
        <w:snapToGrid w:val="0"/>
        <w:spacing w:after="312" w:afterLines="100"/>
        <w:jc w:val="center"/>
        <w:rPr>
          <w:rFonts w:ascii="仿宋" w:hAnsi="仿宋" w:eastAsia="仿宋"/>
          <w:b/>
          <w:color w:val="000000"/>
          <w:sz w:val="32"/>
          <w:szCs w:val="32"/>
        </w:rPr>
      </w:pPr>
      <w:r>
        <w:rPr>
          <w:rFonts w:ascii="仿宋" w:hAnsi="仿宋" w:eastAsia="仿宋"/>
          <w:b/>
          <w:color w:val="000000"/>
          <w:sz w:val="32"/>
          <w:szCs w:val="32"/>
        </w:rPr>
        <w:t>20</w:t>
      </w:r>
      <w:r>
        <w:rPr>
          <w:rFonts w:hint="eastAsia" w:ascii="仿宋" w:hAnsi="仿宋" w:eastAsia="仿宋"/>
          <w:b/>
          <w:color w:val="000000"/>
          <w:sz w:val="32"/>
          <w:szCs w:val="32"/>
        </w:rPr>
        <w:t>20</w:t>
      </w:r>
      <w:r>
        <w:rPr>
          <w:rFonts w:ascii="仿宋" w:hAnsi="仿宋" w:eastAsia="仿宋"/>
          <w:b/>
          <w:color w:val="000000"/>
          <w:sz w:val="32"/>
          <w:szCs w:val="32"/>
        </w:rPr>
        <w:t>年</w:t>
      </w:r>
      <w:r>
        <w:rPr>
          <w:rFonts w:hint="eastAsia" w:ascii="仿宋" w:hAnsi="仿宋" w:eastAsia="仿宋"/>
          <w:b/>
          <w:color w:val="000000"/>
          <w:sz w:val="32"/>
          <w:szCs w:val="32"/>
        </w:rPr>
        <w:t>部门整体支出绩效评价报告</w:t>
      </w:r>
    </w:p>
    <w:p>
      <w:pPr>
        <w:snapToGrid w:val="0"/>
        <w:spacing w:before="312" w:beforeLines="100" w:line="360" w:lineRule="auto"/>
        <w:jc w:val="center"/>
        <w:rPr>
          <w:rFonts w:ascii="仿宋" w:hAnsi="仿宋" w:eastAsia="仿宋"/>
          <w:color w:val="000000"/>
        </w:rPr>
      </w:pPr>
      <w:r>
        <w:rPr>
          <w:rFonts w:hint="eastAsia" w:ascii="仿宋" w:hAnsi="仿宋" w:eastAsia="仿宋"/>
          <w:color w:val="000000"/>
        </w:rPr>
        <w:t>（绩效评价期间：</w:t>
      </w:r>
      <w:r>
        <w:rPr>
          <w:rFonts w:ascii="仿宋" w:hAnsi="仿宋" w:eastAsia="仿宋"/>
          <w:color w:val="000000"/>
        </w:rPr>
        <w:t>20</w:t>
      </w:r>
      <w:r>
        <w:rPr>
          <w:rFonts w:hint="eastAsia" w:ascii="仿宋" w:hAnsi="仿宋" w:eastAsia="仿宋"/>
          <w:color w:val="000000"/>
        </w:rPr>
        <w:t>20</w:t>
      </w:r>
      <w:r>
        <w:rPr>
          <w:rFonts w:ascii="仿宋" w:hAnsi="仿宋" w:eastAsia="仿宋"/>
          <w:color w:val="000000"/>
        </w:rPr>
        <w:t>年1月1日至20</w:t>
      </w:r>
      <w:r>
        <w:rPr>
          <w:rFonts w:hint="eastAsia" w:ascii="仿宋" w:hAnsi="仿宋" w:eastAsia="仿宋"/>
          <w:color w:val="000000"/>
        </w:rPr>
        <w:t>20</w:t>
      </w:r>
      <w:r>
        <w:rPr>
          <w:rFonts w:ascii="仿宋" w:hAnsi="仿宋" w:eastAsia="仿宋"/>
          <w:color w:val="000000"/>
        </w:rPr>
        <w:t>年12月31日</w:t>
      </w:r>
      <w:r>
        <w:rPr>
          <w:rFonts w:hint="eastAsia" w:ascii="仿宋" w:hAnsi="仿宋" w:eastAsia="仿宋"/>
          <w:color w:val="000000"/>
        </w:rPr>
        <w:t>）</w:t>
      </w:r>
    </w:p>
    <w:p>
      <w:pPr>
        <w:snapToGrid w:val="0"/>
        <w:spacing w:line="360" w:lineRule="auto"/>
        <w:jc w:val="center"/>
        <w:rPr>
          <w:rFonts w:ascii="仿宋" w:hAnsi="仿宋" w:eastAsia="仿宋"/>
          <w:color w:val="000000"/>
        </w:rPr>
      </w:pPr>
    </w:p>
    <w:p>
      <w:pPr>
        <w:adjustRightInd w:val="0"/>
        <w:snapToGrid w:val="0"/>
        <w:spacing w:line="360" w:lineRule="auto"/>
        <w:jc w:val="center"/>
        <w:rPr>
          <w:rFonts w:ascii="仿宋" w:hAnsi="仿宋" w:eastAsia="仿宋"/>
          <w:b/>
          <w:color w:val="000000"/>
          <w:highlight w:val="yellow"/>
        </w:rPr>
      </w:pPr>
    </w:p>
    <w:p>
      <w:pPr>
        <w:adjustRightInd w:val="0"/>
        <w:snapToGrid w:val="0"/>
        <w:spacing w:line="360" w:lineRule="auto"/>
        <w:jc w:val="center"/>
        <w:rPr>
          <w:rFonts w:ascii="仿宋" w:hAnsi="仿宋" w:eastAsia="仿宋"/>
          <w:b/>
          <w:color w:val="000000"/>
        </w:rPr>
      </w:pPr>
    </w:p>
    <w:tbl>
      <w:tblPr>
        <w:tblStyle w:val="8"/>
        <w:tblW w:w="8874" w:type="dxa"/>
        <w:tblInd w:w="0" w:type="dxa"/>
        <w:tblLayout w:type="fixed"/>
        <w:tblCellMar>
          <w:top w:w="0" w:type="dxa"/>
          <w:left w:w="108" w:type="dxa"/>
          <w:bottom w:w="0" w:type="dxa"/>
          <w:right w:w="108" w:type="dxa"/>
        </w:tblCellMar>
      </w:tblPr>
      <w:tblGrid>
        <w:gridCol w:w="994"/>
        <w:gridCol w:w="5828"/>
        <w:gridCol w:w="373"/>
        <w:gridCol w:w="1679"/>
      </w:tblGrid>
      <w:tr>
        <w:tblPrEx>
          <w:tblCellMar>
            <w:top w:w="0" w:type="dxa"/>
            <w:left w:w="108" w:type="dxa"/>
            <w:bottom w:w="0" w:type="dxa"/>
            <w:right w:w="108" w:type="dxa"/>
          </w:tblCellMar>
        </w:tblPrEx>
        <w:tc>
          <w:tcPr>
            <w:tcW w:w="994" w:type="dxa"/>
          </w:tcPr>
          <w:p>
            <w:pPr>
              <w:keepLines/>
              <w:tabs>
                <w:tab w:val="right" w:pos="8280"/>
              </w:tabs>
              <w:spacing w:line="400" w:lineRule="exact"/>
              <w:jc w:val="center"/>
              <w:rPr>
                <w:rFonts w:ascii="仿宋" w:hAnsi="仿宋" w:eastAsia="仿宋"/>
                <w:color w:val="000000"/>
                <w:sz w:val="28"/>
                <w:szCs w:val="28"/>
              </w:rPr>
            </w:pPr>
          </w:p>
        </w:tc>
        <w:tc>
          <w:tcPr>
            <w:tcW w:w="5828" w:type="dxa"/>
          </w:tcPr>
          <w:p>
            <w:pPr>
              <w:keepLines/>
              <w:tabs>
                <w:tab w:val="right" w:pos="8280"/>
              </w:tabs>
              <w:spacing w:line="400" w:lineRule="exact"/>
              <w:jc w:val="center"/>
              <w:rPr>
                <w:rFonts w:ascii="仿宋" w:hAnsi="仿宋" w:eastAsia="仿宋"/>
                <w:b/>
                <w:color w:val="000000"/>
                <w:sz w:val="28"/>
                <w:szCs w:val="28"/>
              </w:rPr>
            </w:pPr>
            <w:r>
              <w:rPr>
                <w:rFonts w:ascii="仿宋" w:hAnsi="仿宋" w:eastAsia="仿宋"/>
                <w:b/>
                <w:color w:val="000000"/>
                <w:sz w:val="28"/>
                <w:szCs w:val="28"/>
              </w:rPr>
              <w:t>目     录</w:t>
            </w:r>
          </w:p>
          <w:p>
            <w:pPr>
              <w:keepLines/>
              <w:tabs>
                <w:tab w:val="right" w:pos="8280"/>
              </w:tabs>
              <w:spacing w:line="400" w:lineRule="exact"/>
              <w:jc w:val="center"/>
              <w:rPr>
                <w:rFonts w:ascii="仿宋" w:hAnsi="仿宋" w:eastAsia="仿宋"/>
                <w:b/>
                <w:color w:val="000000"/>
                <w:sz w:val="28"/>
                <w:szCs w:val="28"/>
              </w:rPr>
            </w:pPr>
          </w:p>
        </w:tc>
        <w:tc>
          <w:tcPr>
            <w:tcW w:w="373" w:type="dxa"/>
          </w:tcPr>
          <w:p>
            <w:pPr>
              <w:keepLines/>
              <w:tabs>
                <w:tab w:val="right" w:pos="8280"/>
              </w:tabs>
              <w:spacing w:line="400" w:lineRule="exact"/>
              <w:jc w:val="center"/>
              <w:rPr>
                <w:rFonts w:ascii="仿宋" w:hAnsi="仿宋" w:eastAsia="仿宋"/>
                <w:b/>
                <w:color w:val="000000"/>
                <w:sz w:val="28"/>
                <w:szCs w:val="28"/>
              </w:rPr>
            </w:pPr>
          </w:p>
        </w:tc>
        <w:tc>
          <w:tcPr>
            <w:tcW w:w="1679" w:type="dxa"/>
          </w:tcPr>
          <w:p>
            <w:pPr>
              <w:keepLines/>
              <w:tabs>
                <w:tab w:val="right" w:pos="8280"/>
              </w:tabs>
              <w:spacing w:line="400" w:lineRule="exact"/>
              <w:jc w:val="center"/>
              <w:rPr>
                <w:rFonts w:ascii="仿宋" w:hAnsi="仿宋" w:eastAsia="仿宋"/>
                <w:b/>
                <w:color w:val="000000"/>
                <w:sz w:val="28"/>
                <w:szCs w:val="28"/>
              </w:rPr>
            </w:pPr>
            <w:r>
              <w:rPr>
                <w:rFonts w:ascii="仿宋" w:hAnsi="仿宋" w:eastAsia="仿宋"/>
                <w:b/>
                <w:color w:val="000000"/>
                <w:sz w:val="28"/>
                <w:szCs w:val="28"/>
              </w:rPr>
              <w:t>页  次</w:t>
            </w:r>
          </w:p>
        </w:tc>
      </w:tr>
      <w:tr>
        <w:tblPrEx>
          <w:tblCellMar>
            <w:top w:w="0" w:type="dxa"/>
            <w:left w:w="108" w:type="dxa"/>
            <w:bottom w:w="0" w:type="dxa"/>
            <w:right w:w="108" w:type="dxa"/>
          </w:tblCellMar>
        </w:tblPrEx>
        <w:tc>
          <w:tcPr>
            <w:tcW w:w="994" w:type="dxa"/>
          </w:tcPr>
          <w:p>
            <w:pPr>
              <w:keepLines/>
              <w:tabs>
                <w:tab w:val="right" w:pos="8280"/>
              </w:tabs>
              <w:spacing w:line="400" w:lineRule="exact"/>
              <w:rPr>
                <w:rFonts w:ascii="仿宋" w:hAnsi="仿宋" w:eastAsia="仿宋"/>
                <w:b/>
                <w:color w:val="000000"/>
                <w:sz w:val="28"/>
                <w:szCs w:val="28"/>
              </w:rPr>
            </w:pPr>
            <w:r>
              <w:rPr>
                <w:rFonts w:ascii="仿宋" w:hAnsi="仿宋" w:eastAsia="仿宋"/>
                <w:b/>
                <w:color w:val="000000"/>
                <w:sz w:val="28"/>
                <w:szCs w:val="28"/>
              </w:rPr>
              <w:t>一、</w:t>
            </w:r>
          </w:p>
        </w:tc>
        <w:tc>
          <w:tcPr>
            <w:tcW w:w="5828" w:type="dxa"/>
          </w:tcPr>
          <w:p>
            <w:pPr>
              <w:keepLines/>
              <w:tabs>
                <w:tab w:val="right" w:pos="8280"/>
              </w:tabs>
              <w:spacing w:line="400" w:lineRule="exact"/>
              <w:rPr>
                <w:rFonts w:ascii="仿宋" w:hAnsi="仿宋" w:eastAsia="仿宋"/>
                <w:b/>
                <w:color w:val="000000"/>
                <w:sz w:val="28"/>
                <w:szCs w:val="28"/>
              </w:rPr>
            </w:pPr>
            <w:r>
              <w:rPr>
                <w:rFonts w:hint="eastAsia" w:ascii="仿宋" w:hAnsi="仿宋" w:eastAsia="仿宋"/>
                <w:b/>
                <w:color w:val="000000"/>
                <w:sz w:val="28"/>
                <w:szCs w:val="28"/>
              </w:rPr>
              <w:t>重庆市</w:t>
            </w:r>
            <w:r>
              <w:rPr>
                <w:rFonts w:ascii="仿宋" w:hAnsi="仿宋" w:eastAsia="仿宋"/>
                <w:b/>
                <w:color w:val="000000"/>
                <w:sz w:val="28"/>
                <w:szCs w:val="28"/>
              </w:rPr>
              <w:t>渝中区生态环境局</w:t>
            </w:r>
            <w:r>
              <w:rPr>
                <w:rFonts w:hint="eastAsia" w:ascii="仿宋" w:hAnsi="仿宋" w:eastAsia="仿宋"/>
                <w:b/>
                <w:color w:val="000000"/>
                <w:sz w:val="28"/>
                <w:szCs w:val="28"/>
              </w:rPr>
              <w:t>2020年</w:t>
            </w:r>
            <w:r>
              <w:rPr>
                <w:rFonts w:ascii="仿宋" w:hAnsi="仿宋" w:eastAsia="仿宋"/>
                <w:b/>
                <w:color w:val="000000"/>
                <w:sz w:val="28"/>
                <w:szCs w:val="28"/>
              </w:rPr>
              <w:t>部门</w:t>
            </w:r>
            <w:r>
              <w:rPr>
                <w:rFonts w:hint="eastAsia" w:ascii="仿宋" w:hAnsi="仿宋" w:eastAsia="仿宋"/>
                <w:b/>
                <w:color w:val="000000"/>
                <w:sz w:val="28"/>
                <w:szCs w:val="28"/>
              </w:rPr>
              <w:t>整体支出绩效评价报告</w:t>
            </w:r>
          </w:p>
        </w:tc>
        <w:tc>
          <w:tcPr>
            <w:tcW w:w="373" w:type="dxa"/>
          </w:tcPr>
          <w:p>
            <w:pPr>
              <w:keepLines/>
              <w:tabs>
                <w:tab w:val="right" w:pos="8280"/>
              </w:tabs>
              <w:spacing w:line="400" w:lineRule="exact"/>
              <w:jc w:val="right"/>
              <w:rPr>
                <w:rFonts w:ascii="仿宋" w:hAnsi="仿宋" w:eastAsia="仿宋"/>
                <w:b/>
                <w:color w:val="000000"/>
                <w:sz w:val="28"/>
                <w:szCs w:val="28"/>
              </w:rPr>
            </w:pPr>
          </w:p>
        </w:tc>
        <w:tc>
          <w:tcPr>
            <w:tcW w:w="1679" w:type="dxa"/>
          </w:tcPr>
          <w:p>
            <w:pPr>
              <w:keepLines/>
              <w:tabs>
                <w:tab w:val="right" w:pos="8280"/>
              </w:tabs>
              <w:spacing w:line="400" w:lineRule="exact"/>
              <w:jc w:val="center"/>
              <w:rPr>
                <w:rFonts w:ascii="仿宋" w:hAnsi="仿宋" w:eastAsia="仿宋"/>
                <w:color w:val="000000"/>
                <w:sz w:val="28"/>
                <w:szCs w:val="28"/>
              </w:rPr>
            </w:pPr>
            <w:r>
              <w:rPr>
                <w:rFonts w:hint="eastAsia" w:ascii="仿宋" w:hAnsi="仿宋" w:eastAsia="仿宋"/>
                <w:color w:val="000000"/>
                <w:sz w:val="28"/>
                <w:szCs w:val="28"/>
              </w:rPr>
              <w:t>1-24</w:t>
            </w:r>
          </w:p>
        </w:tc>
      </w:tr>
      <w:tr>
        <w:tblPrEx>
          <w:tblCellMar>
            <w:top w:w="0" w:type="dxa"/>
            <w:left w:w="108" w:type="dxa"/>
            <w:bottom w:w="0" w:type="dxa"/>
            <w:right w:w="108" w:type="dxa"/>
          </w:tblCellMar>
        </w:tblPrEx>
        <w:tc>
          <w:tcPr>
            <w:tcW w:w="994" w:type="dxa"/>
          </w:tcPr>
          <w:p>
            <w:pPr>
              <w:keepLines/>
              <w:tabs>
                <w:tab w:val="right" w:pos="8280"/>
              </w:tabs>
              <w:spacing w:line="400" w:lineRule="exact"/>
              <w:rPr>
                <w:rFonts w:ascii="仿宋" w:hAnsi="仿宋" w:eastAsia="仿宋"/>
                <w:b/>
                <w:color w:val="000000"/>
                <w:sz w:val="28"/>
                <w:szCs w:val="28"/>
              </w:rPr>
            </w:pPr>
            <w:r>
              <w:rPr>
                <w:rFonts w:ascii="仿宋" w:hAnsi="仿宋" w:eastAsia="仿宋"/>
                <w:b/>
                <w:color w:val="000000"/>
                <w:sz w:val="28"/>
                <w:szCs w:val="28"/>
              </w:rPr>
              <w:t>二、</w:t>
            </w:r>
          </w:p>
        </w:tc>
        <w:tc>
          <w:tcPr>
            <w:tcW w:w="5828" w:type="dxa"/>
          </w:tcPr>
          <w:p>
            <w:pPr>
              <w:keepLines/>
              <w:tabs>
                <w:tab w:val="right" w:pos="8280"/>
              </w:tabs>
              <w:snapToGrid w:val="0"/>
              <w:spacing w:line="400" w:lineRule="exact"/>
              <w:rPr>
                <w:rFonts w:ascii="仿宋" w:hAnsi="仿宋" w:eastAsia="仿宋"/>
                <w:b/>
                <w:color w:val="000000"/>
                <w:sz w:val="28"/>
                <w:szCs w:val="28"/>
              </w:rPr>
            </w:pPr>
            <w:r>
              <w:rPr>
                <w:rFonts w:hint="eastAsia" w:ascii="仿宋" w:hAnsi="仿宋" w:eastAsia="仿宋"/>
                <w:b/>
                <w:color w:val="000000"/>
                <w:sz w:val="28"/>
                <w:szCs w:val="28"/>
              </w:rPr>
              <w:t>报告附表</w:t>
            </w:r>
          </w:p>
          <w:p>
            <w:pPr>
              <w:keepLines/>
              <w:tabs>
                <w:tab w:val="right" w:pos="8280"/>
              </w:tabs>
              <w:spacing w:line="400" w:lineRule="exact"/>
              <w:rPr>
                <w:rFonts w:ascii="仿宋" w:hAnsi="仿宋" w:eastAsia="仿宋"/>
                <w:b/>
                <w:color w:val="000000"/>
                <w:sz w:val="28"/>
                <w:szCs w:val="28"/>
              </w:rPr>
            </w:pPr>
          </w:p>
        </w:tc>
        <w:tc>
          <w:tcPr>
            <w:tcW w:w="373" w:type="dxa"/>
          </w:tcPr>
          <w:p>
            <w:pPr>
              <w:keepLines/>
              <w:tabs>
                <w:tab w:val="right" w:pos="8280"/>
              </w:tabs>
              <w:spacing w:line="400" w:lineRule="exact"/>
              <w:jc w:val="right"/>
              <w:rPr>
                <w:rFonts w:ascii="仿宋" w:hAnsi="仿宋" w:eastAsia="仿宋"/>
                <w:b/>
                <w:color w:val="000000"/>
                <w:sz w:val="28"/>
                <w:szCs w:val="28"/>
              </w:rPr>
            </w:pPr>
          </w:p>
        </w:tc>
        <w:tc>
          <w:tcPr>
            <w:tcW w:w="1679" w:type="dxa"/>
          </w:tcPr>
          <w:p>
            <w:pPr>
              <w:keepLines/>
              <w:tabs>
                <w:tab w:val="right" w:pos="8280"/>
              </w:tabs>
              <w:spacing w:line="400" w:lineRule="exact"/>
              <w:jc w:val="center"/>
              <w:rPr>
                <w:rFonts w:ascii="仿宋" w:hAnsi="仿宋" w:eastAsia="仿宋"/>
                <w:b/>
                <w:color w:val="000000"/>
                <w:sz w:val="28"/>
                <w:szCs w:val="28"/>
              </w:rPr>
            </w:pPr>
          </w:p>
        </w:tc>
      </w:tr>
      <w:tr>
        <w:tblPrEx>
          <w:tblCellMar>
            <w:top w:w="0" w:type="dxa"/>
            <w:left w:w="108" w:type="dxa"/>
            <w:bottom w:w="0" w:type="dxa"/>
            <w:right w:w="108" w:type="dxa"/>
          </w:tblCellMar>
        </w:tblPrEx>
        <w:trPr>
          <w:trHeight w:val="668" w:hRule="atLeast"/>
        </w:trPr>
        <w:tc>
          <w:tcPr>
            <w:tcW w:w="994" w:type="dxa"/>
          </w:tcPr>
          <w:p>
            <w:pPr>
              <w:keepLines/>
              <w:tabs>
                <w:tab w:val="right" w:pos="8280"/>
              </w:tabs>
              <w:spacing w:line="400" w:lineRule="exact"/>
              <w:rPr>
                <w:rFonts w:ascii="仿宋" w:hAnsi="仿宋" w:eastAsia="仿宋"/>
                <w:color w:val="000000"/>
                <w:sz w:val="28"/>
                <w:szCs w:val="28"/>
              </w:rPr>
            </w:pPr>
          </w:p>
        </w:tc>
        <w:tc>
          <w:tcPr>
            <w:tcW w:w="5828" w:type="dxa"/>
          </w:tcPr>
          <w:p>
            <w:pPr>
              <w:keepLines/>
              <w:tabs>
                <w:tab w:val="right" w:pos="8280"/>
              </w:tabs>
              <w:snapToGrid w:val="0"/>
              <w:spacing w:line="400" w:lineRule="exact"/>
              <w:rPr>
                <w:rFonts w:ascii="仿宋" w:hAnsi="仿宋" w:eastAsia="仿宋"/>
                <w:color w:val="000000"/>
                <w:sz w:val="28"/>
                <w:szCs w:val="28"/>
              </w:rPr>
            </w:pPr>
            <w:r>
              <w:rPr>
                <w:rFonts w:hint="eastAsia" w:ascii="仿宋" w:hAnsi="仿宋" w:eastAsia="仿宋"/>
                <w:color w:val="000000"/>
                <w:sz w:val="28"/>
                <w:szCs w:val="28"/>
              </w:rPr>
              <w:t>重庆市</w:t>
            </w:r>
            <w:r>
              <w:rPr>
                <w:rFonts w:ascii="仿宋" w:hAnsi="仿宋" w:eastAsia="仿宋"/>
                <w:color w:val="000000"/>
                <w:sz w:val="28"/>
                <w:szCs w:val="28"/>
              </w:rPr>
              <w:t>渝中区生态环境局</w:t>
            </w:r>
            <w:r>
              <w:rPr>
                <w:rFonts w:hint="eastAsia" w:ascii="仿宋" w:hAnsi="仿宋" w:eastAsia="仿宋"/>
                <w:color w:val="000000"/>
                <w:sz w:val="28"/>
                <w:szCs w:val="28"/>
              </w:rPr>
              <w:t>2020年</w:t>
            </w:r>
            <w:r>
              <w:rPr>
                <w:rFonts w:ascii="仿宋" w:hAnsi="仿宋" w:eastAsia="仿宋"/>
                <w:color w:val="000000"/>
                <w:sz w:val="28"/>
                <w:szCs w:val="28"/>
              </w:rPr>
              <w:t>部门整体支出绩效</w:t>
            </w:r>
            <w:r>
              <w:rPr>
                <w:rFonts w:hint="eastAsia" w:ascii="仿宋" w:hAnsi="仿宋" w:eastAsia="仿宋"/>
                <w:color w:val="000000"/>
                <w:sz w:val="28"/>
                <w:szCs w:val="28"/>
              </w:rPr>
              <w:t>指标</w:t>
            </w:r>
            <w:r>
              <w:rPr>
                <w:rFonts w:ascii="仿宋" w:hAnsi="仿宋" w:eastAsia="仿宋"/>
                <w:color w:val="000000"/>
                <w:sz w:val="28"/>
                <w:szCs w:val="28"/>
              </w:rPr>
              <w:t>评分表</w:t>
            </w:r>
          </w:p>
          <w:p>
            <w:pPr>
              <w:keepLines/>
              <w:tabs>
                <w:tab w:val="right" w:pos="8280"/>
              </w:tabs>
              <w:snapToGrid w:val="0"/>
              <w:spacing w:line="400" w:lineRule="exact"/>
              <w:rPr>
                <w:rFonts w:ascii="仿宋" w:hAnsi="仿宋" w:eastAsia="仿宋"/>
                <w:color w:val="000000"/>
                <w:sz w:val="28"/>
                <w:szCs w:val="28"/>
              </w:rPr>
            </w:pPr>
          </w:p>
        </w:tc>
        <w:tc>
          <w:tcPr>
            <w:tcW w:w="373" w:type="dxa"/>
          </w:tcPr>
          <w:p>
            <w:pPr>
              <w:keepLines/>
              <w:tabs>
                <w:tab w:val="right" w:pos="8280"/>
              </w:tabs>
              <w:spacing w:line="400" w:lineRule="exact"/>
              <w:jc w:val="right"/>
              <w:rPr>
                <w:rFonts w:ascii="仿宋" w:hAnsi="仿宋" w:eastAsia="仿宋"/>
                <w:color w:val="000000"/>
                <w:sz w:val="28"/>
                <w:szCs w:val="28"/>
              </w:rPr>
            </w:pPr>
          </w:p>
        </w:tc>
        <w:tc>
          <w:tcPr>
            <w:tcW w:w="1679" w:type="dxa"/>
          </w:tcPr>
          <w:p>
            <w:pPr>
              <w:keepLines/>
              <w:tabs>
                <w:tab w:val="right" w:pos="8280"/>
              </w:tabs>
              <w:spacing w:line="400" w:lineRule="exact"/>
              <w:jc w:val="center"/>
              <w:rPr>
                <w:rFonts w:ascii="仿宋" w:hAnsi="仿宋" w:eastAsia="仿宋"/>
                <w:color w:val="000000"/>
                <w:sz w:val="28"/>
                <w:szCs w:val="28"/>
              </w:rPr>
            </w:pPr>
            <w:r>
              <w:rPr>
                <w:rFonts w:hint="eastAsia" w:ascii="仿宋" w:hAnsi="仿宋" w:eastAsia="仿宋"/>
                <w:color w:val="000000"/>
                <w:sz w:val="28"/>
                <w:szCs w:val="28"/>
              </w:rPr>
              <w:t>1-2</w:t>
            </w:r>
          </w:p>
        </w:tc>
      </w:tr>
    </w:tbl>
    <w:p>
      <w:pPr>
        <w:adjustRightInd w:val="0"/>
        <w:ind w:right="540"/>
        <w:jc w:val="right"/>
        <w:rPr>
          <w:rFonts w:ascii="仿宋" w:hAnsi="仿宋" w:eastAsia="仿宋"/>
          <w:color w:val="000000"/>
          <w:sz w:val="18"/>
          <w:szCs w:val="18"/>
        </w:rPr>
        <w:sectPr>
          <w:footerReference r:id="rId3" w:type="first"/>
          <w:pgSz w:w="11906" w:h="16838"/>
          <w:pgMar w:top="1701" w:right="1474" w:bottom="1474" w:left="1588" w:header="851" w:footer="992" w:gutter="0"/>
          <w:cols w:space="720" w:num="1"/>
          <w:titlePg/>
          <w:docGrid w:type="lines" w:linePitch="312" w:charSpace="0"/>
        </w:sectPr>
      </w:pPr>
    </w:p>
    <w:p>
      <w:pPr>
        <w:adjustRightInd w:val="0"/>
        <w:spacing w:before="156" w:beforeLines="50" w:line="360" w:lineRule="auto"/>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重庆市</w:t>
      </w:r>
      <w:r>
        <w:rPr>
          <w:rFonts w:ascii="仿宋" w:hAnsi="仿宋" w:eastAsia="仿宋" w:cs="仿宋"/>
          <w:b/>
          <w:bCs/>
          <w:color w:val="000000" w:themeColor="text1"/>
          <w:sz w:val="32"/>
          <w:szCs w:val="32"/>
          <w14:textFill>
            <w14:solidFill>
              <w14:schemeClr w14:val="tx1"/>
            </w14:solidFill>
          </w14:textFill>
        </w:rPr>
        <w:t>渝中区生态环境局</w:t>
      </w:r>
    </w:p>
    <w:p>
      <w:pPr>
        <w:adjustRightInd w:val="0"/>
        <w:spacing w:line="360" w:lineRule="auto"/>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2020年</w:t>
      </w:r>
      <w:r>
        <w:rPr>
          <w:rFonts w:ascii="仿宋" w:hAnsi="仿宋" w:eastAsia="仿宋" w:cs="仿宋"/>
          <w:b/>
          <w:bCs/>
          <w:color w:val="000000" w:themeColor="text1"/>
          <w:sz w:val="32"/>
          <w:szCs w:val="32"/>
          <w14:textFill>
            <w14:solidFill>
              <w14:schemeClr w14:val="tx1"/>
            </w14:solidFill>
          </w14:textFill>
        </w:rPr>
        <w:t>部门</w:t>
      </w:r>
      <w:r>
        <w:rPr>
          <w:rFonts w:hint="eastAsia" w:ascii="仿宋" w:hAnsi="仿宋" w:eastAsia="仿宋" w:cs="仿宋"/>
          <w:b/>
          <w:bCs/>
          <w:color w:val="000000" w:themeColor="text1"/>
          <w:sz w:val="32"/>
          <w:szCs w:val="32"/>
          <w14:textFill>
            <w14:solidFill>
              <w14:schemeClr w14:val="tx1"/>
            </w14:solidFill>
          </w14:textFill>
        </w:rPr>
        <w:t>整体支出绩效评价报告</w:t>
      </w:r>
    </w:p>
    <w:p>
      <w:pPr>
        <w:autoSpaceDE w:val="0"/>
        <w:autoSpaceDN w:val="0"/>
        <w:adjustRightInd w:val="0"/>
        <w:spacing w:line="360" w:lineRule="auto"/>
        <w:rPr>
          <w:rFonts w:ascii="仿宋" w:hAnsi="仿宋" w:eastAsia="仿宋"/>
          <w:b/>
          <w:color w:val="000000"/>
        </w:rPr>
      </w:pPr>
    </w:p>
    <w:p>
      <w:pPr>
        <w:autoSpaceDE w:val="0"/>
        <w:autoSpaceDN w:val="0"/>
        <w:adjustRightInd w:val="0"/>
        <w:spacing w:line="360" w:lineRule="auto"/>
        <w:jc w:val="right"/>
        <w:rPr>
          <w:rFonts w:ascii="仿宋" w:hAnsi="仿宋" w:eastAsia="仿宋"/>
          <w:b/>
          <w:bCs/>
          <w:color w:val="000000"/>
          <w:szCs w:val="21"/>
        </w:rPr>
      </w:pPr>
      <w:r>
        <w:rPr>
          <w:rFonts w:hint="eastAsia" w:ascii="仿宋" w:hAnsi="仿宋" w:eastAsia="仿宋"/>
          <w:b/>
          <w:bCs/>
          <w:color w:val="000000"/>
          <w:szCs w:val="21"/>
        </w:rPr>
        <w:t>大华咨字</w:t>
      </w:r>
      <w:r>
        <w:rPr>
          <w:rFonts w:ascii="仿宋" w:hAnsi="仿宋" w:eastAsia="仿宋"/>
          <w:b/>
          <w:bCs/>
          <w:color w:val="000000"/>
          <w:szCs w:val="21"/>
        </w:rPr>
        <w:t>[20</w:t>
      </w:r>
      <w:r>
        <w:rPr>
          <w:rFonts w:hint="eastAsia" w:ascii="仿宋" w:hAnsi="仿宋" w:eastAsia="仿宋"/>
          <w:b/>
          <w:bCs/>
          <w:color w:val="000000"/>
          <w:szCs w:val="21"/>
        </w:rPr>
        <w:t>21</w:t>
      </w:r>
      <w:r>
        <w:rPr>
          <w:rFonts w:ascii="仿宋" w:hAnsi="仿宋" w:eastAsia="仿宋"/>
          <w:b/>
          <w:bCs/>
          <w:color w:val="000000"/>
          <w:szCs w:val="21"/>
        </w:rPr>
        <w:t>]250</w:t>
      </w:r>
      <w:r>
        <w:rPr>
          <w:rFonts w:hint="eastAsia" w:ascii="仿宋" w:hAnsi="仿宋" w:eastAsia="仿宋"/>
          <w:b/>
          <w:bCs/>
          <w:color w:val="000000"/>
          <w:szCs w:val="21"/>
        </w:rPr>
        <w:t>023</w:t>
      </w:r>
      <w:r>
        <w:rPr>
          <w:rFonts w:ascii="仿宋" w:hAnsi="仿宋" w:eastAsia="仿宋"/>
          <w:b/>
          <w:bCs/>
          <w:color w:val="000000"/>
          <w:szCs w:val="21"/>
        </w:rPr>
        <w:t>号</w:t>
      </w:r>
    </w:p>
    <w:p>
      <w:pPr>
        <w:autoSpaceDE w:val="0"/>
        <w:autoSpaceDN w:val="0"/>
        <w:adjustRightInd w:val="0"/>
        <w:spacing w:line="360" w:lineRule="auto"/>
        <w:jc w:val="right"/>
        <w:rPr>
          <w:rFonts w:ascii="仿宋" w:hAnsi="仿宋" w:eastAsia="仿宋"/>
          <w:b/>
          <w:color w:val="000000"/>
          <w:szCs w:val="21"/>
        </w:rPr>
      </w:pPr>
    </w:p>
    <w:p>
      <w:pPr>
        <w:pStyle w:val="19"/>
        <w:snapToGrid w:val="0"/>
        <w:spacing w:line="360" w:lineRule="auto"/>
        <w:ind w:firstLine="560" w:firstLineChars="200"/>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我们接受重庆市渝中区财政局委托，于2021年3月</w:t>
      </w:r>
      <w:r>
        <w:rPr>
          <w:rFonts w:ascii="仿宋" w:hAnsi="仿宋" w:eastAsia="仿宋" w:cs="仿宋"/>
          <w:color w:val="000000" w:themeColor="text1"/>
          <w:sz w:val="28"/>
          <w:szCs w:val="28"/>
          <w14:textFill>
            <w14:solidFill>
              <w14:schemeClr w14:val="tx1"/>
            </w14:solidFill>
          </w14:textFill>
        </w:rPr>
        <w:t>22日至2021年</w:t>
      </w:r>
      <w:r>
        <w:rPr>
          <w:rFonts w:hint="eastAsia" w:ascii="仿宋" w:hAnsi="仿宋" w:eastAsia="仿宋" w:cs="仿宋"/>
          <w:color w:val="000000" w:themeColor="text1"/>
          <w:sz w:val="28"/>
          <w:szCs w:val="28"/>
          <w14:textFill>
            <w14:solidFill>
              <w14:schemeClr w14:val="tx1"/>
            </w14:solidFill>
          </w14:textFill>
        </w:rPr>
        <w:t>6</w:t>
      </w:r>
      <w:r>
        <w:rPr>
          <w:rFonts w:ascii="仿宋" w:hAnsi="仿宋" w:eastAsia="仿宋" w:cs="仿宋"/>
          <w:color w:val="000000" w:themeColor="text1"/>
          <w:sz w:val="28"/>
          <w:szCs w:val="28"/>
          <w14:textFill>
            <w14:solidFill>
              <w14:schemeClr w14:val="tx1"/>
            </w14:solidFill>
          </w14:textFill>
        </w:rPr>
        <w:t>月24日</w:t>
      </w:r>
      <w:r>
        <w:rPr>
          <w:rFonts w:hint="eastAsia" w:ascii="仿宋" w:hAnsi="仿宋" w:eastAsia="仿宋" w:cs="仿宋"/>
          <w:color w:val="000000" w:themeColor="text1"/>
          <w:sz w:val="28"/>
          <w:szCs w:val="28"/>
          <w14:textFill>
            <w14:solidFill>
              <w14:schemeClr w14:val="tx1"/>
            </w14:solidFill>
          </w14:textFill>
        </w:rPr>
        <w:t>对重庆市渝中区生态环境局（以下简称“区生态环境局”）2020年部门整体支出进行了绩效评价。现将评价工作报告如下：</w:t>
      </w:r>
    </w:p>
    <w:p>
      <w:pPr>
        <w:keepLines/>
        <w:tabs>
          <w:tab w:val="right" w:pos="8280"/>
        </w:tabs>
        <w:spacing w:line="40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摘要</w:t>
      </w:r>
    </w:p>
    <w:p>
      <w:pPr>
        <w:pStyle w:val="18"/>
        <w:numPr>
          <w:ilvl w:val="0"/>
          <w:numId w:val="1"/>
        </w:numPr>
        <w:autoSpaceDE w:val="0"/>
        <w:autoSpaceDN w:val="0"/>
        <w:adjustRightInd w:val="0"/>
        <w:snapToGrid w:val="0"/>
        <w:spacing w:before="312" w:beforeLines="100" w:line="360" w:lineRule="auto"/>
        <w:ind w:firstLineChars="0"/>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基本情况</w:t>
      </w:r>
    </w:p>
    <w:p>
      <w:pPr>
        <w:pStyle w:val="19"/>
        <w:snapToGrid w:val="0"/>
        <w:spacing w:line="360" w:lineRule="auto"/>
        <w:ind w:firstLine="560" w:firstLineChars="200"/>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区生态环境局是区政府工作部门，为正处级；重庆市渝中区生态环境保护综合行政执法支队(以下简称“生态环境执法支队”)，为区生态环境局管理的行政执法机构，机构规格为副处级；重庆市渝中区生态环境监测站（以下简称“生态环境监测站”）为重庆市渝中区生态环境局所属的公益一类、正科级事业单位，经费渠道为财政全额拨款。2020年预算数</w:t>
      </w:r>
      <w:r>
        <w:rPr>
          <w:rFonts w:ascii="仿宋" w:hAnsi="仿宋" w:eastAsia="仿宋" w:cs="仿宋"/>
          <w:color w:val="000000" w:themeColor="text1"/>
          <w:sz w:val="28"/>
          <w:szCs w:val="28"/>
          <w14:textFill>
            <w14:solidFill>
              <w14:schemeClr w14:val="tx1"/>
            </w14:solidFill>
          </w14:textFill>
        </w:rPr>
        <w:t>5,013.18</w:t>
      </w:r>
      <w:r>
        <w:rPr>
          <w:rFonts w:hint="eastAsia" w:ascii="仿宋" w:hAnsi="仿宋" w:eastAsia="仿宋" w:cs="仿宋"/>
          <w:color w:val="000000" w:themeColor="text1"/>
          <w:sz w:val="28"/>
          <w:szCs w:val="28"/>
          <w14:textFill>
            <w14:solidFill>
              <w14:schemeClr w14:val="tx1"/>
            </w14:solidFill>
          </w14:textFill>
        </w:rPr>
        <w:t>万元,全年执行数</w:t>
      </w:r>
      <w:r>
        <w:rPr>
          <w:rFonts w:ascii="仿宋" w:hAnsi="仿宋" w:eastAsia="仿宋" w:cs="仿宋"/>
          <w:color w:val="000000" w:themeColor="text1"/>
          <w:sz w:val="28"/>
          <w:szCs w:val="28"/>
          <w14:textFill>
            <w14:solidFill>
              <w14:schemeClr w14:val="tx1"/>
            </w14:solidFill>
          </w14:textFill>
        </w:rPr>
        <w:t>3,140.65万</w:t>
      </w:r>
      <w:r>
        <w:rPr>
          <w:rFonts w:hint="eastAsia" w:ascii="仿宋" w:hAnsi="仿宋" w:eastAsia="仿宋" w:cs="仿宋"/>
          <w:color w:val="000000" w:themeColor="text1"/>
          <w:sz w:val="28"/>
          <w:szCs w:val="28"/>
          <w14:textFill>
            <w14:solidFill>
              <w14:schemeClr w14:val="tx1"/>
            </w14:solidFill>
          </w14:textFill>
        </w:rPr>
        <w:t>元,执行率为62.65%。</w:t>
      </w:r>
    </w:p>
    <w:p>
      <w:pPr>
        <w:autoSpaceDE w:val="0"/>
        <w:autoSpaceDN w:val="0"/>
        <w:adjustRightInd w:val="0"/>
        <w:snapToGrid w:val="0"/>
        <w:spacing w:before="312" w:beforeLines="100" w:line="360" w:lineRule="auto"/>
        <w:ind w:firstLine="562" w:firstLineChars="200"/>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二、绩效评价结果</w:t>
      </w:r>
    </w:p>
    <w:p>
      <w:pPr>
        <w:pStyle w:val="19"/>
        <w:snapToGrid w:val="0"/>
        <w:spacing w:line="360" w:lineRule="auto"/>
        <w:ind w:firstLine="560" w:firstLineChars="200"/>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经对区生态环境局履职效能、社会效应、可持续发展能力、服务对象满意度、管理类四个方面进行综合评价，区生态环境局2020年部门整体支出绩效评价得分为90.00分，评定等级为“优”。</w:t>
      </w:r>
    </w:p>
    <w:p>
      <w:pPr>
        <w:autoSpaceDE w:val="0"/>
        <w:autoSpaceDN w:val="0"/>
        <w:adjustRightInd w:val="0"/>
        <w:snapToGrid w:val="0"/>
        <w:spacing w:before="312" w:beforeLines="100" w:line="360" w:lineRule="auto"/>
        <w:ind w:firstLine="562" w:firstLineChars="200"/>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三、发现的主要问题及建议</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（一）根据重庆市社情民意调查中心出具的《2020年渝中区社会公众生态环境满意度调查报告》（2021年第47期（总第500期））：满意度最低的是“空气质量改善认可度”指标，为58.17%，“生态环境改善认可度”、 “声环境质量满意度”和“生活垃圾处理情况满意度”等指标满意度得分较低。根据满意度调查报告提出的建议，延长优良空气天数，达到全市平均水平；加大宣传，提高民众对生态环境工作的认可度。</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二）预算执行率较低。建议区生态环境局积极全面收集区生态环境局、监测站、执法支队各方面意见，进行多层次、多方面的调查论证，形成与设定的绩效目标匹配的预算资金，最终提高资金使用效率；并加强部门内部监督，强化预算约束。</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（三）部分固定资产卡片不全。建议管理人员应完善固定资产卡片、以使账账、账卡、账实相符，方便固定资产的盘点和清理。</w:t>
      </w:r>
    </w:p>
    <w:p>
      <w:pPr>
        <w:spacing w:line="360" w:lineRule="auto"/>
        <w:ind w:firstLine="560" w:firstLineChars="200"/>
        <w:rPr>
          <w:rFonts w:ascii="仿宋" w:hAnsi="仿宋" w:eastAsia="仿宋"/>
          <w:color w:val="000000"/>
          <w:sz w:val="28"/>
          <w:szCs w:val="28"/>
        </w:rPr>
      </w:pPr>
    </w:p>
    <w:p>
      <w:pPr>
        <w:adjustRightInd w:val="0"/>
        <w:rPr>
          <w:rFonts w:ascii="仿宋" w:hAnsi="仿宋" w:eastAsia="仿宋" w:cs="黑体"/>
          <w:b/>
          <w:bCs/>
          <w:color w:val="000000"/>
          <w:spacing w:val="80"/>
          <w:sz w:val="32"/>
          <w:szCs w:val="32"/>
        </w:rPr>
      </w:pPr>
    </w:p>
    <w:p>
      <w:pPr>
        <w:adjustRightInd w:val="0"/>
        <w:rPr>
          <w:rFonts w:ascii="仿宋" w:hAnsi="仿宋" w:eastAsia="仿宋" w:cs="黑体"/>
          <w:b/>
          <w:bCs/>
          <w:color w:val="000000"/>
          <w:spacing w:val="80"/>
          <w:sz w:val="32"/>
          <w:szCs w:val="32"/>
        </w:rPr>
      </w:pPr>
    </w:p>
    <w:p>
      <w:pPr>
        <w:adjustRightInd w:val="0"/>
        <w:rPr>
          <w:rFonts w:ascii="仿宋" w:hAnsi="仿宋" w:eastAsia="仿宋" w:cs="黑体"/>
          <w:b/>
          <w:bCs/>
          <w:color w:val="000000"/>
          <w:spacing w:val="80"/>
          <w:sz w:val="32"/>
          <w:szCs w:val="32"/>
        </w:rPr>
      </w:pPr>
    </w:p>
    <w:p>
      <w:pPr>
        <w:adjustRightInd w:val="0"/>
        <w:rPr>
          <w:rFonts w:ascii="仿宋" w:hAnsi="仿宋" w:eastAsia="仿宋" w:cs="黑体"/>
          <w:b/>
          <w:bCs/>
          <w:color w:val="000000"/>
          <w:spacing w:val="80"/>
          <w:sz w:val="32"/>
          <w:szCs w:val="32"/>
        </w:rPr>
      </w:pPr>
    </w:p>
    <w:p>
      <w:pPr>
        <w:adjustRightInd w:val="0"/>
        <w:rPr>
          <w:rFonts w:ascii="仿宋" w:hAnsi="仿宋" w:eastAsia="仿宋" w:cs="黑体"/>
          <w:b/>
          <w:bCs/>
          <w:color w:val="000000"/>
          <w:spacing w:val="80"/>
          <w:sz w:val="32"/>
          <w:szCs w:val="32"/>
        </w:rPr>
      </w:pPr>
    </w:p>
    <w:p>
      <w:pPr>
        <w:adjustRightInd w:val="0"/>
        <w:rPr>
          <w:rFonts w:ascii="仿宋" w:hAnsi="仿宋" w:eastAsia="仿宋" w:cs="黑体"/>
          <w:b/>
          <w:bCs/>
          <w:color w:val="000000"/>
          <w:spacing w:val="80"/>
          <w:sz w:val="32"/>
          <w:szCs w:val="32"/>
        </w:rPr>
      </w:pPr>
    </w:p>
    <w:p>
      <w:pPr>
        <w:adjustRightInd w:val="0"/>
        <w:rPr>
          <w:rFonts w:ascii="仿宋" w:hAnsi="仿宋" w:eastAsia="仿宋" w:cs="黑体"/>
          <w:b/>
          <w:bCs/>
          <w:color w:val="000000"/>
          <w:spacing w:val="80"/>
          <w:sz w:val="32"/>
          <w:szCs w:val="32"/>
        </w:rPr>
      </w:pPr>
    </w:p>
    <w:p>
      <w:pPr>
        <w:adjustRightInd w:val="0"/>
        <w:rPr>
          <w:rFonts w:ascii="仿宋" w:hAnsi="仿宋" w:eastAsia="仿宋" w:cs="黑体"/>
          <w:b/>
          <w:bCs/>
          <w:color w:val="000000"/>
          <w:spacing w:val="80"/>
          <w:sz w:val="32"/>
          <w:szCs w:val="32"/>
        </w:rPr>
      </w:pPr>
    </w:p>
    <w:p>
      <w:pPr>
        <w:adjustRightInd w:val="0"/>
        <w:rPr>
          <w:rFonts w:ascii="仿宋" w:hAnsi="仿宋" w:eastAsia="仿宋" w:cs="黑体"/>
          <w:b/>
          <w:bCs/>
          <w:color w:val="000000"/>
          <w:spacing w:val="80"/>
          <w:sz w:val="32"/>
          <w:szCs w:val="32"/>
        </w:rPr>
      </w:pPr>
    </w:p>
    <w:p>
      <w:pPr>
        <w:adjustRightInd w:val="0"/>
        <w:rPr>
          <w:rFonts w:ascii="仿宋" w:hAnsi="仿宋" w:eastAsia="仿宋" w:cs="黑体"/>
          <w:b/>
          <w:bCs/>
          <w:color w:val="000000"/>
          <w:spacing w:val="80"/>
          <w:sz w:val="32"/>
          <w:szCs w:val="32"/>
        </w:rPr>
      </w:pPr>
    </w:p>
    <w:p>
      <w:pPr>
        <w:adjustRightInd w:val="0"/>
        <w:rPr>
          <w:rFonts w:ascii="仿宋" w:hAnsi="仿宋" w:eastAsia="仿宋" w:cs="黑体"/>
          <w:b/>
          <w:bCs/>
          <w:color w:val="000000"/>
          <w:spacing w:val="80"/>
          <w:sz w:val="32"/>
          <w:szCs w:val="32"/>
        </w:rPr>
      </w:pPr>
    </w:p>
    <w:p>
      <w:pPr>
        <w:adjustRightInd w:val="0"/>
        <w:rPr>
          <w:rFonts w:ascii="仿宋" w:hAnsi="仿宋" w:eastAsia="仿宋" w:cs="黑体"/>
          <w:b/>
          <w:bCs/>
          <w:color w:val="000000"/>
          <w:spacing w:val="80"/>
          <w:sz w:val="32"/>
          <w:szCs w:val="32"/>
        </w:rPr>
      </w:pPr>
    </w:p>
    <w:p>
      <w:pPr>
        <w:adjustRightInd w:val="0"/>
        <w:spacing w:before="156" w:beforeLines="50" w:line="360" w:lineRule="auto"/>
        <w:jc w:val="center"/>
        <w:rPr>
          <w:rFonts w:ascii="仿宋" w:hAnsi="仿宋" w:eastAsia="仿宋" w:cs="仿宋"/>
          <w:b/>
          <w:bCs/>
          <w:color w:val="000000" w:themeColor="text1"/>
          <w:sz w:val="32"/>
          <w:szCs w:val="32"/>
          <w14:textFill>
            <w14:solidFill>
              <w14:schemeClr w14:val="tx1"/>
            </w14:solidFill>
          </w14:textFill>
        </w:rPr>
      </w:pPr>
    </w:p>
    <w:p>
      <w:pPr>
        <w:adjustRightInd w:val="0"/>
        <w:spacing w:before="156" w:beforeLines="50" w:line="360" w:lineRule="auto"/>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重庆市</w:t>
      </w:r>
      <w:r>
        <w:rPr>
          <w:rFonts w:ascii="仿宋" w:hAnsi="仿宋" w:eastAsia="仿宋" w:cs="仿宋"/>
          <w:b/>
          <w:bCs/>
          <w:color w:val="000000" w:themeColor="text1"/>
          <w:sz w:val="32"/>
          <w:szCs w:val="32"/>
          <w14:textFill>
            <w14:solidFill>
              <w14:schemeClr w14:val="tx1"/>
            </w14:solidFill>
          </w14:textFill>
        </w:rPr>
        <w:t>渝中区生态环境局</w:t>
      </w:r>
    </w:p>
    <w:p>
      <w:pPr>
        <w:adjustRightInd w:val="0"/>
        <w:spacing w:line="360" w:lineRule="auto"/>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2020年</w:t>
      </w:r>
      <w:r>
        <w:rPr>
          <w:rFonts w:ascii="仿宋" w:hAnsi="仿宋" w:eastAsia="仿宋" w:cs="仿宋"/>
          <w:b/>
          <w:bCs/>
          <w:color w:val="000000" w:themeColor="text1"/>
          <w:sz w:val="32"/>
          <w:szCs w:val="32"/>
          <w14:textFill>
            <w14:solidFill>
              <w14:schemeClr w14:val="tx1"/>
            </w14:solidFill>
          </w14:textFill>
        </w:rPr>
        <w:t>部门</w:t>
      </w:r>
      <w:r>
        <w:rPr>
          <w:rFonts w:hint="eastAsia" w:ascii="仿宋" w:hAnsi="仿宋" w:eastAsia="仿宋" w:cs="仿宋"/>
          <w:b/>
          <w:bCs/>
          <w:color w:val="000000" w:themeColor="text1"/>
          <w:sz w:val="32"/>
          <w:szCs w:val="32"/>
          <w14:textFill>
            <w14:solidFill>
              <w14:schemeClr w14:val="tx1"/>
            </w14:solidFill>
          </w14:textFill>
        </w:rPr>
        <w:t>整体支出绩效评价报告</w:t>
      </w:r>
    </w:p>
    <w:p>
      <w:pPr>
        <w:autoSpaceDE w:val="0"/>
        <w:autoSpaceDN w:val="0"/>
        <w:adjustRightInd w:val="0"/>
        <w:spacing w:line="360" w:lineRule="auto"/>
        <w:rPr>
          <w:rFonts w:ascii="仿宋" w:hAnsi="仿宋" w:eastAsia="仿宋"/>
          <w:b/>
          <w:color w:val="000000"/>
        </w:rPr>
      </w:pPr>
    </w:p>
    <w:p>
      <w:pPr>
        <w:autoSpaceDE w:val="0"/>
        <w:autoSpaceDN w:val="0"/>
        <w:adjustRightInd w:val="0"/>
        <w:spacing w:line="360" w:lineRule="auto"/>
        <w:jc w:val="right"/>
        <w:rPr>
          <w:rFonts w:ascii="仿宋" w:hAnsi="仿宋" w:eastAsia="仿宋"/>
          <w:b/>
          <w:color w:val="000000"/>
          <w:szCs w:val="21"/>
        </w:rPr>
      </w:pPr>
      <w:r>
        <w:rPr>
          <w:rFonts w:hint="eastAsia" w:ascii="仿宋" w:hAnsi="仿宋" w:eastAsia="仿宋"/>
          <w:b/>
          <w:bCs/>
          <w:color w:val="000000"/>
          <w:szCs w:val="21"/>
        </w:rPr>
        <w:t>大华咨字</w:t>
      </w:r>
      <w:r>
        <w:rPr>
          <w:rFonts w:ascii="仿宋" w:hAnsi="仿宋" w:eastAsia="仿宋"/>
          <w:b/>
          <w:bCs/>
          <w:color w:val="000000"/>
          <w:szCs w:val="21"/>
        </w:rPr>
        <w:t>[20</w:t>
      </w:r>
      <w:r>
        <w:rPr>
          <w:rFonts w:hint="eastAsia" w:ascii="仿宋" w:hAnsi="仿宋" w:eastAsia="仿宋"/>
          <w:b/>
          <w:bCs/>
          <w:color w:val="000000"/>
          <w:szCs w:val="21"/>
        </w:rPr>
        <w:t>21</w:t>
      </w:r>
      <w:r>
        <w:rPr>
          <w:rFonts w:ascii="仿宋" w:hAnsi="仿宋" w:eastAsia="仿宋"/>
          <w:b/>
          <w:bCs/>
          <w:color w:val="000000"/>
          <w:szCs w:val="21"/>
        </w:rPr>
        <w:t>]250</w:t>
      </w:r>
      <w:r>
        <w:rPr>
          <w:rFonts w:hint="eastAsia" w:ascii="仿宋" w:hAnsi="仿宋" w:eastAsia="仿宋"/>
          <w:b/>
          <w:bCs/>
          <w:color w:val="000000"/>
          <w:szCs w:val="21"/>
        </w:rPr>
        <w:t>023</w:t>
      </w:r>
      <w:r>
        <w:rPr>
          <w:rFonts w:ascii="仿宋" w:hAnsi="仿宋" w:eastAsia="仿宋"/>
          <w:b/>
          <w:bCs/>
          <w:color w:val="000000"/>
          <w:szCs w:val="21"/>
        </w:rPr>
        <w:t>号</w:t>
      </w:r>
    </w:p>
    <w:p>
      <w:pPr>
        <w:autoSpaceDE w:val="0"/>
        <w:autoSpaceDN w:val="0"/>
        <w:adjustRightInd w:val="0"/>
        <w:spacing w:line="360" w:lineRule="auto"/>
        <w:rPr>
          <w:rFonts w:ascii="仿宋" w:hAnsi="仿宋" w:eastAsia="仿宋"/>
          <w:b/>
          <w:color w:val="000000"/>
        </w:rPr>
      </w:pPr>
    </w:p>
    <w:p>
      <w:pPr>
        <w:autoSpaceDE w:val="0"/>
        <w:autoSpaceDN w:val="0"/>
        <w:adjustRightInd w:val="0"/>
        <w:spacing w:line="360" w:lineRule="auto"/>
        <w:rPr>
          <w:rFonts w:ascii="仿宋" w:hAnsi="仿宋" w:eastAsia="仿宋"/>
          <w:b/>
          <w:color w:val="000000"/>
          <w:sz w:val="28"/>
          <w:szCs w:val="28"/>
        </w:rPr>
      </w:pPr>
      <w:r>
        <w:rPr>
          <w:rFonts w:hint="eastAsia" w:ascii="仿宋" w:hAnsi="仿宋" w:eastAsia="仿宋"/>
          <w:b/>
          <w:color w:val="000000"/>
          <w:sz w:val="28"/>
          <w:szCs w:val="28"/>
        </w:rPr>
        <w:t>重庆市渝中区财政局：</w:t>
      </w:r>
    </w:p>
    <w:p>
      <w:pPr>
        <w:pStyle w:val="19"/>
        <w:spacing w:line="360" w:lineRule="auto"/>
        <w:ind w:firstLine="560" w:firstLineChars="200"/>
        <w:rPr>
          <w:rFonts w:ascii="仿宋" w:hAnsi="仿宋" w:eastAsia="仿宋"/>
          <w:sz w:val="28"/>
          <w:szCs w:val="28"/>
        </w:rPr>
      </w:pPr>
      <w:r>
        <w:rPr>
          <w:rFonts w:hint="eastAsia" w:ascii="仿宋" w:hAnsi="仿宋" w:eastAsia="仿宋"/>
          <w:sz w:val="28"/>
          <w:szCs w:val="28"/>
        </w:rPr>
        <w:t>我们接受委托，对重庆市渝中区生态环境局（以下简称“区生态环境局”）</w:t>
      </w:r>
      <w:r>
        <w:rPr>
          <w:rFonts w:ascii="仿宋" w:hAnsi="仿宋" w:eastAsia="仿宋"/>
          <w:sz w:val="28"/>
          <w:szCs w:val="28"/>
        </w:rPr>
        <w:t>20</w:t>
      </w:r>
      <w:r>
        <w:rPr>
          <w:rFonts w:hint="eastAsia" w:ascii="仿宋" w:hAnsi="仿宋" w:eastAsia="仿宋"/>
          <w:sz w:val="28"/>
          <w:szCs w:val="28"/>
        </w:rPr>
        <w:t>20</w:t>
      </w:r>
      <w:r>
        <w:rPr>
          <w:rFonts w:ascii="仿宋" w:hAnsi="仿宋" w:eastAsia="仿宋"/>
          <w:sz w:val="28"/>
          <w:szCs w:val="28"/>
        </w:rPr>
        <w:t>年</w:t>
      </w:r>
      <w:r>
        <w:rPr>
          <w:rFonts w:hint="eastAsia" w:ascii="仿宋" w:hAnsi="仿宋" w:eastAsia="仿宋"/>
          <w:sz w:val="28"/>
          <w:szCs w:val="28"/>
        </w:rPr>
        <w:t>部门整体支出进行绩效评价。我们按照《会计师事务所财政支出绩效评价业务指引》和《重庆市渝中区财政局关于开展2020年度预算绩效重点评价工作的通知》（渝中财绩[2021]2号）规定执行了绩效评价工作。我们相信，我们获取的证据是充分、适当的，为发表绩效评价意见提供了基础。我们经过对区生态环境局部门</w:t>
      </w:r>
      <w:r>
        <w:rPr>
          <w:rFonts w:hint="eastAsia" w:ascii="仿宋" w:hAnsi="仿宋" w:eastAsia="仿宋" w:cs="仿宋"/>
          <w:color w:val="000000" w:themeColor="text1"/>
          <w:sz w:val="28"/>
          <w:szCs w:val="28"/>
          <w14:textFill>
            <w14:solidFill>
              <w14:schemeClr w14:val="tx1"/>
            </w14:solidFill>
          </w14:textFill>
        </w:rPr>
        <w:t>整体的履职效能、社会效应、可持续发展能力、服务对象满意度、管理类指标</w:t>
      </w:r>
      <w:r>
        <w:rPr>
          <w:rFonts w:hint="eastAsia" w:ascii="仿宋" w:hAnsi="仿宋" w:eastAsia="仿宋"/>
          <w:sz w:val="28"/>
          <w:szCs w:val="28"/>
        </w:rPr>
        <w:t>调查了解后，形成绩效评价报告，具体情况如下：</w:t>
      </w:r>
    </w:p>
    <w:p>
      <w:pPr>
        <w:autoSpaceDE w:val="0"/>
        <w:autoSpaceDN w:val="0"/>
        <w:adjustRightInd w:val="0"/>
        <w:spacing w:before="312" w:beforeLines="100"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一、基本概况</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区生态环境局是区政府工作部门，为正处级；重庆市渝中区生态环境保护综合行政执法支队(以下简称“生态环境执法支队”</w:t>
      </w:r>
      <w:r>
        <w:rPr>
          <w:rFonts w:ascii="仿宋" w:hAnsi="仿宋" w:eastAsia="仿宋"/>
          <w:color w:val="000000"/>
          <w:sz w:val="28"/>
          <w:szCs w:val="28"/>
        </w:rPr>
        <w:t>)</w:t>
      </w:r>
      <w:r>
        <w:rPr>
          <w:rFonts w:hint="eastAsia" w:ascii="仿宋" w:hAnsi="仿宋" w:eastAsia="仿宋"/>
          <w:color w:val="000000"/>
          <w:sz w:val="28"/>
          <w:szCs w:val="28"/>
        </w:rPr>
        <w:t>，为区生态环境局管理的行政执法机构，机构规格为副处级；重庆市渝中区生态环境监测站（以下简称“生态环境监测站”）为重庆市渝中区生态环境局所属的公益一类、正科级事业单位，经费渠道为财政全额拨款。</w:t>
      </w:r>
    </w:p>
    <w:p>
      <w:pPr>
        <w:widowControl/>
        <w:autoSpaceDE w:val="0"/>
        <w:autoSpaceDN w:val="0"/>
        <w:adjustRightInd w:val="0"/>
        <w:spacing w:before="156" w:beforeLines="50" w:line="360" w:lineRule="auto"/>
        <w:ind w:left="357" w:firstLine="562" w:firstLineChars="200"/>
        <w:jc w:val="left"/>
        <w:outlineLvl w:val="0"/>
        <w:rPr>
          <w:rFonts w:ascii="仿宋" w:hAnsi="仿宋" w:eastAsia="仿宋"/>
          <w:b/>
          <w:color w:val="000000"/>
          <w:sz w:val="28"/>
          <w:szCs w:val="28"/>
        </w:rPr>
      </w:pPr>
      <w:r>
        <w:rPr>
          <w:rFonts w:hint="eastAsia" w:ascii="仿宋" w:hAnsi="仿宋" w:eastAsia="仿宋"/>
          <w:b/>
          <w:color w:val="000000"/>
          <w:sz w:val="28"/>
          <w:szCs w:val="28"/>
        </w:rPr>
        <w:t>1.在职人员情况</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区生态环境局行政编制1</w:t>
      </w:r>
      <w:r>
        <w:rPr>
          <w:rFonts w:ascii="仿宋" w:hAnsi="仿宋" w:eastAsia="仿宋"/>
          <w:color w:val="000000"/>
          <w:sz w:val="28"/>
          <w:szCs w:val="28"/>
        </w:rPr>
        <w:t>2名</w:t>
      </w:r>
      <w:r>
        <w:rPr>
          <w:rFonts w:hint="eastAsia" w:ascii="仿宋" w:hAnsi="仿宋" w:eastAsia="仿宋"/>
          <w:color w:val="000000"/>
          <w:sz w:val="28"/>
          <w:szCs w:val="28"/>
        </w:rPr>
        <w:t>，</w:t>
      </w:r>
      <w:r>
        <w:rPr>
          <w:rFonts w:ascii="仿宋" w:hAnsi="仿宋" w:eastAsia="仿宋"/>
          <w:color w:val="000000"/>
          <w:sz w:val="28"/>
          <w:szCs w:val="28"/>
        </w:rPr>
        <w:t>实有</w:t>
      </w:r>
      <w:r>
        <w:rPr>
          <w:rFonts w:hint="eastAsia" w:ascii="仿宋" w:hAnsi="仿宋" w:eastAsia="仿宋"/>
          <w:color w:val="000000"/>
          <w:sz w:val="28"/>
          <w:szCs w:val="28"/>
        </w:rPr>
        <w:t>8</w:t>
      </w:r>
      <w:r>
        <w:rPr>
          <w:rFonts w:ascii="仿宋" w:hAnsi="仿宋" w:eastAsia="仿宋"/>
          <w:color w:val="000000"/>
          <w:sz w:val="28"/>
          <w:szCs w:val="28"/>
        </w:rPr>
        <w:t>人</w:t>
      </w:r>
      <w:r>
        <w:rPr>
          <w:rFonts w:hint="eastAsia" w:ascii="仿宋" w:hAnsi="仿宋" w:eastAsia="仿宋"/>
          <w:color w:val="000000"/>
          <w:sz w:val="28"/>
          <w:szCs w:val="28"/>
        </w:rPr>
        <w:t>；生态</w:t>
      </w:r>
      <w:r>
        <w:rPr>
          <w:rFonts w:ascii="仿宋" w:hAnsi="仿宋" w:eastAsia="仿宋"/>
          <w:color w:val="000000"/>
          <w:sz w:val="28"/>
          <w:szCs w:val="28"/>
        </w:rPr>
        <w:t>环境执法支队</w:t>
      </w:r>
      <w:r>
        <w:rPr>
          <w:rFonts w:hint="eastAsia" w:ascii="仿宋" w:hAnsi="仿宋" w:eastAsia="仿宋"/>
          <w:color w:val="000000"/>
          <w:sz w:val="28"/>
          <w:szCs w:val="28"/>
        </w:rPr>
        <w:t>编制</w:t>
      </w:r>
      <w:r>
        <w:rPr>
          <w:rFonts w:ascii="仿宋" w:hAnsi="仿宋" w:eastAsia="仿宋"/>
          <w:color w:val="000000"/>
          <w:sz w:val="28"/>
          <w:szCs w:val="28"/>
        </w:rPr>
        <w:t>23名</w:t>
      </w:r>
      <w:r>
        <w:rPr>
          <w:rFonts w:hint="eastAsia" w:ascii="仿宋" w:hAnsi="仿宋" w:eastAsia="仿宋"/>
          <w:color w:val="000000"/>
          <w:sz w:val="28"/>
          <w:szCs w:val="28"/>
        </w:rPr>
        <w:t>，</w:t>
      </w:r>
      <w:r>
        <w:rPr>
          <w:rFonts w:ascii="仿宋" w:hAnsi="仿宋" w:eastAsia="仿宋"/>
          <w:color w:val="000000"/>
          <w:sz w:val="28"/>
          <w:szCs w:val="28"/>
        </w:rPr>
        <w:t>实有</w:t>
      </w:r>
      <w:r>
        <w:rPr>
          <w:rFonts w:hint="eastAsia" w:ascii="仿宋" w:hAnsi="仿宋" w:eastAsia="仿宋"/>
          <w:color w:val="000000"/>
          <w:sz w:val="28"/>
          <w:szCs w:val="28"/>
        </w:rPr>
        <w:t>20</w:t>
      </w:r>
      <w:r>
        <w:rPr>
          <w:rFonts w:ascii="仿宋" w:hAnsi="仿宋" w:eastAsia="仿宋"/>
          <w:color w:val="000000"/>
          <w:sz w:val="28"/>
          <w:szCs w:val="28"/>
        </w:rPr>
        <w:t>人</w:t>
      </w:r>
      <w:r>
        <w:rPr>
          <w:rFonts w:hint="eastAsia" w:ascii="仿宋" w:hAnsi="仿宋" w:eastAsia="仿宋"/>
          <w:color w:val="000000"/>
          <w:sz w:val="28"/>
          <w:szCs w:val="28"/>
        </w:rPr>
        <w:t>；生态环境监测站编制24人，实有22</w:t>
      </w:r>
      <w:r>
        <w:rPr>
          <w:rFonts w:ascii="仿宋" w:hAnsi="仿宋" w:eastAsia="仿宋"/>
          <w:color w:val="000000"/>
          <w:sz w:val="28"/>
          <w:szCs w:val="28"/>
        </w:rPr>
        <w:t>人，</w:t>
      </w:r>
      <w:r>
        <w:rPr>
          <w:rFonts w:hint="eastAsia" w:ascii="仿宋" w:hAnsi="仿宋" w:eastAsia="仿宋"/>
          <w:color w:val="000000"/>
          <w:sz w:val="28"/>
          <w:szCs w:val="28"/>
        </w:rPr>
        <w:t>总计编制5</w:t>
      </w:r>
      <w:r>
        <w:rPr>
          <w:rFonts w:ascii="仿宋" w:hAnsi="仿宋" w:eastAsia="仿宋"/>
          <w:color w:val="000000"/>
          <w:sz w:val="28"/>
          <w:szCs w:val="28"/>
        </w:rPr>
        <w:t>9</w:t>
      </w:r>
      <w:r>
        <w:rPr>
          <w:rFonts w:hint="eastAsia" w:ascii="仿宋" w:hAnsi="仿宋" w:eastAsia="仿宋"/>
          <w:color w:val="000000"/>
          <w:sz w:val="28"/>
          <w:szCs w:val="28"/>
        </w:rPr>
        <w:t>人，实</w:t>
      </w:r>
      <w:r>
        <w:rPr>
          <w:rFonts w:hint="eastAsia" w:ascii="仿宋" w:hAnsi="仿宋" w:eastAsia="仿宋"/>
          <w:sz w:val="28"/>
          <w:szCs w:val="28"/>
        </w:rPr>
        <w:t>有</w:t>
      </w:r>
      <w:r>
        <w:rPr>
          <w:rFonts w:hint="eastAsia" w:ascii="仿宋" w:hAnsi="仿宋" w:eastAsia="仿宋"/>
          <w:color w:val="000000"/>
          <w:sz w:val="28"/>
          <w:szCs w:val="28"/>
        </w:rPr>
        <w:t>50人。</w:t>
      </w:r>
    </w:p>
    <w:p>
      <w:pPr>
        <w:widowControl/>
        <w:autoSpaceDE w:val="0"/>
        <w:autoSpaceDN w:val="0"/>
        <w:adjustRightInd w:val="0"/>
        <w:spacing w:before="156" w:beforeLines="50" w:line="360" w:lineRule="auto"/>
        <w:ind w:left="357" w:firstLine="562" w:firstLineChars="200"/>
        <w:jc w:val="left"/>
        <w:outlineLvl w:val="0"/>
        <w:rPr>
          <w:rFonts w:ascii="仿宋" w:hAnsi="仿宋" w:eastAsia="仿宋"/>
          <w:b/>
          <w:color w:val="000000"/>
          <w:sz w:val="28"/>
          <w:szCs w:val="28"/>
        </w:rPr>
      </w:pPr>
      <w:r>
        <w:rPr>
          <w:rFonts w:hint="eastAsia" w:ascii="仿宋" w:hAnsi="仿宋" w:eastAsia="仿宋"/>
          <w:b/>
          <w:color w:val="000000"/>
          <w:sz w:val="28"/>
          <w:szCs w:val="28"/>
        </w:rPr>
        <w:t>2.机构设置</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区生态环境局设置</w:t>
      </w:r>
      <w:r>
        <w:rPr>
          <w:rFonts w:ascii="仿宋" w:hAnsi="仿宋" w:eastAsia="仿宋"/>
          <w:color w:val="000000"/>
          <w:sz w:val="28"/>
          <w:szCs w:val="28"/>
        </w:rPr>
        <w:t>4个内设机构：办公室（应急管理办公室）、生态环境管理科、污染防治科（核与辐射安全管理科）、法规宣教科（行政审批科）</w:t>
      </w:r>
      <w:r>
        <w:rPr>
          <w:rFonts w:hint="eastAsia" w:ascii="仿宋" w:hAnsi="仿宋" w:eastAsia="仿宋"/>
          <w:color w:val="000000"/>
          <w:sz w:val="28"/>
          <w:szCs w:val="28"/>
        </w:rPr>
        <w:t>。</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生态环境执法支队设置</w:t>
      </w:r>
      <w:r>
        <w:rPr>
          <w:rFonts w:ascii="仿宋" w:hAnsi="仿宋" w:eastAsia="仿宋"/>
          <w:color w:val="000000"/>
          <w:sz w:val="28"/>
          <w:szCs w:val="28"/>
        </w:rPr>
        <w:t>5个内设机构：综合科（法制科）、举报受理科（环境应急与事故调查科）、生态环境执法一科、生态环境执法二科、生态环境执法三科</w:t>
      </w:r>
      <w:r>
        <w:rPr>
          <w:rFonts w:hint="eastAsia" w:ascii="仿宋" w:hAnsi="仿宋" w:eastAsia="仿宋"/>
          <w:color w:val="000000"/>
          <w:sz w:val="28"/>
          <w:szCs w:val="28"/>
        </w:rPr>
        <w:t>。</w:t>
      </w:r>
    </w:p>
    <w:p>
      <w:pPr>
        <w:widowControl/>
        <w:autoSpaceDE w:val="0"/>
        <w:autoSpaceDN w:val="0"/>
        <w:adjustRightInd w:val="0"/>
        <w:spacing w:before="156" w:beforeLines="50" w:line="360" w:lineRule="auto"/>
        <w:ind w:left="357" w:firstLine="562" w:firstLineChars="200"/>
        <w:jc w:val="left"/>
        <w:outlineLvl w:val="0"/>
        <w:rPr>
          <w:rFonts w:ascii="仿宋" w:hAnsi="仿宋" w:eastAsia="仿宋"/>
          <w:b/>
          <w:color w:val="000000"/>
          <w:sz w:val="28"/>
          <w:szCs w:val="28"/>
        </w:rPr>
      </w:pPr>
      <w:r>
        <w:rPr>
          <w:rFonts w:hint="eastAsia" w:ascii="仿宋" w:hAnsi="仿宋" w:eastAsia="仿宋"/>
          <w:b/>
          <w:color w:val="000000"/>
          <w:sz w:val="28"/>
          <w:szCs w:val="28"/>
        </w:rPr>
        <w:t>3.主要职责</w:t>
      </w:r>
    </w:p>
    <w:p>
      <w:pPr>
        <w:autoSpaceDE w:val="0"/>
        <w:autoSpaceDN w:val="0"/>
        <w:adjustRightInd w:val="0"/>
        <w:spacing w:before="156" w:beforeLines="50" w:line="360" w:lineRule="auto"/>
        <w:ind w:left="357"/>
        <w:outlineLvl w:val="0"/>
        <w:rPr>
          <w:rFonts w:ascii="仿宋" w:hAnsi="仿宋" w:eastAsia="仿宋"/>
          <w:b/>
          <w:color w:val="000000"/>
          <w:sz w:val="28"/>
          <w:szCs w:val="28"/>
        </w:rPr>
      </w:pPr>
      <w:r>
        <w:rPr>
          <w:rFonts w:hint="eastAsia" w:ascii="仿宋" w:hAnsi="仿宋" w:eastAsia="仿宋"/>
          <w:b/>
          <w:color w:val="000000"/>
          <w:sz w:val="28"/>
          <w:szCs w:val="28"/>
        </w:rPr>
        <w:t>（1）区生态环境局主要职责</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a.负责贯彻执行国家生态环境基本制度。负责贯彻执行生态环境法律法规、规章、标准和方针政策，根据职责和授权拟订生态环境领域规范性文件。会同有关部门编制实施辖区生态环境规划、水功能区划。</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b</w:t>
      </w:r>
      <w:r>
        <w:rPr>
          <w:rFonts w:ascii="仿宋" w:hAnsi="仿宋" w:eastAsia="仿宋"/>
          <w:color w:val="000000"/>
          <w:sz w:val="28"/>
          <w:szCs w:val="28"/>
        </w:rPr>
        <w:t>.</w:t>
      </w:r>
      <w:r>
        <w:rPr>
          <w:rFonts w:hint="eastAsia" w:ascii="仿宋" w:hAnsi="仿宋" w:eastAsia="仿宋"/>
          <w:color w:val="000000"/>
          <w:sz w:val="28"/>
          <w:szCs w:val="28"/>
        </w:rPr>
        <w:t>负责生态环境问题的统筹协调和监督管理。建立健全突发生态环境事件的应急预警机制，承担环境应急处置工作。牵头指导和实施生态环境损害赔偿制度、协调解决环境污染纠纷。</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ascii="仿宋" w:hAnsi="仿宋" w:eastAsia="仿宋"/>
          <w:color w:val="000000"/>
          <w:sz w:val="28"/>
          <w:szCs w:val="28"/>
        </w:rPr>
        <w:t>c.</w:t>
      </w:r>
      <w:r>
        <w:rPr>
          <w:rFonts w:hint="eastAsia" w:ascii="仿宋" w:hAnsi="仿宋" w:eastAsia="仿宋"/>
          <w:color w:val="000000"/>
          <w:sz w:val="28"/>
          <w:szCs w:val="28"/>
        </w:rPr>
        <w:t>负责监督管理减排目标的落实。监督实施各类污染物排放总量控制、排污许可证制度，监督检查污染物减排任务完成情况，实施生态环境保护目标责任制。</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ascii="仿宋" w:hAnsi="仿宋" w:eastAsia="仿宋"/>
          <w:color w:val="000000"/>
          <w:sz w:val="28"/>
          <w:szCs w:val="28"/>
        </w:rPr>
        <w:t>d.</w:t>
      </w:r>
      <w:r>
        <w:rPr>
          <w:rFonts w:hint="eastAsia" w:ascii="仿宋" w:hAnsi="仿宋" w:eastAsia="仿宋"/>
          <w:color w:val="000000"/>
          <w:sz w:val="28"/>
          <w:szCs w:val="28"/>
        </w:rPr>
        <w:t>负责提出生态环境领域固定资产投资规模和方向、财政性资金安排的意见，配合有关部门做好组织实施和监督工作。</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ascii="仿宋" w:hAnsi="仿宋" w:eastAsia="仿宋"/>
          <w:color w:val="000000"/>
          <w:sz w:val="28"/>
          <w:szCs w:val="28"/>
        </w:rPr>
        <w:t>e.</w:t>
      </w:r>
      <w:r>
        <w:rPr>
          <w:rFonts w:hint="eastAsia" w:ascii="仿宋" w:hAnsi="仿宋" w:eastAsia="仿宋"/>
          <w:color w:val="000000"/>
          <w:sz w:val="28"/>
          <w:szCs w:val="28"/>
        </w:rPr>
        <w:t>负责环境污染防治的监督管理。监督实施水、大气、土壤、固体废物、化学品、机动车、噪声、光、恶臭等污染防治管理制度。会同有关部门监督管理饮用水水源地生态环境保护工作，负责流域水环境保护，监督防止地下水污染。负责入河排污口的设置管理。负责监督大气环境保护工作，组织实施大气污染联防联控协作机制。</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ascii="仿宋" w:hAnsi="仿宋" w:eastAsia="仿宋"/>
          <w:color w:val="000000"/>
          <w:sz w:val="28"/>
          <w:szCs w:val="28"/>
        </w:rPr>
        <w:t>f.</w:t>
      </w:r>
      <w:r>
        <w:rPr>
          <w:rFonts w:hint="eastAsia" w:ascii="仿宋" w:hAnsi="仿宋" w:eastAsia="仿宋"/>
          <w:color w:val="000000"/>
          <w:sz w:val="28"/>
          <w:szCs w:val="28"/>
        </w:rPr>
        <w:t>负责监督生态保护修复工作。监督对生态环境有影响的自然资源开发利用活动、重要生态环境建设和生态破坏恢复工作。监督野生动植物保护、湿地生态环境保护等工作。监督生物技术环境安全，牵头生物物种（含遗传资源）工作，组织协调生物多样性保护工作。参与生态保护补偿工作。</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ascii="仿宋" w:hAnsi="仿宋" w:eastAsia="仿宋"/>
          <w:color w:val="000000"/>
          <w:sz w:val="28"/>
          <w:szCs w:val="28"/>
        </w:rPr>
        <w:t>g.</w:t>
      </w:r>
      <w:r>
        <w:rPr>
          <w:rFonts w:hint="eastAsia" w:ascii="仿宋" w:hAnsi="仿宋" w:eastAsia="仿宋"/>
          <w:color w:val="000000"/>
          <w:sz w:val="28"/>
          <w:szCs w:val="28"/>
        </w:rPr>
        <w:t>负责核与辐射安全的监督管理。监督管理放射源安全，监督管理电磁辐射、核技术应用中的污染防治。组织开展核与辐射环境监测工作。参与核与辐射环境事故应急处理。</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ascii="仿宋" w:hAnsi="仿宋" w:eastAsia="仿宋"/>
          <w:color w:val="000000"/>
          <w:sz w:val="28"/>
          <w:szCs w:val="28"/>
        </w:rPr>
        <w:t>h.</w:t>
      </w:r>
      <w:r>
        <w:rPr>
          <w:rFonts w:hint="eastAsia" w:ascii="仿宋" w:hAnsi="仿宋" w:eastAsia="仿宋"/>
          <w:color w:val="000000"/>
          <w:sz w:val="28"/>
          <w:szCs w:val="28"/>
        </w:rPr>
        <w:t>负责生态环境准入的监督管理。受区政府委托对重大经济和技术政策、发展规划以及经济开发计划进行环境影响评价，按规定审批或审查开发建设区域、规划、项目环境影响评价文件，组织实施生态环境准入清单。</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ascii="仿宋" w:hAnsi="仿宋" w:eastAsia="仿宋"/>
          <w:color w:val="000000"/>
          <w:sz w:val="28"/>
          <w:szCs w:val="28"/>
        </w:rPr>
        <w:t>i.</w:t>
      </w:r>
      <w:r>
        <w:rPr>
          <w:rFonts w:hint="eastAsia" w:ascii="仿宋" w:hAnsi="仿宋" w:eastAsia="仿宋"/>
          <w:color w:val="000000"/>
          <w:sz w:val="28"/>
          <w:szCs w:val="28"/>
        </w:rPr>
        <w:t>负责生态环境监测工作。贯彻执行生态环境监测制度、规范和相关标准。组织建设和管理生态环境监测网、生态环境信息网，会同有关部门统一规划生态环境质量监测站点设置。开展生态环境质量监测、污染源监督性监测、应急监测，配合开展温室气体减排监测。组织开展生态环境质量状况调查评价、预测预警。实行生态环境质量公告制度，统一发布生态环境质量状况和重大生态环境信息。</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ascii="仿宋" w:hAnsi="仿宋" w:eastAsia="仿宋"/>
          <w:color w:val="000000"/>
          <w:sz w:val="28"/>
          <w:szCs w:val="28"/>
        </w:rPr>
        <w:t>j.</w:t>
      </w:r>
      <w:r>
        <w:rPr>
          <w:rFonts w:hint="eastAsia" w:ascii="仿宋" w:hAnsi="仿宋" w:eastAsia="仿宋"/>
          <w:color w:val="000000"/>
          <w:sz w:val="28"/>
          <w:szCs w:val="28"/>
        </w:rPr>
        <w:t>负责应对气候变化工作。贯彻执行应对气候变化及温室气体减排重大战略、规划和政策，承担国家履行联合国气候变化框架公约在我区的相关工作。</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ascii="仿宋" w:hAnsi="仿宋" w:eastAsia="仿宋"/>
          <w:color w:val="000000"/>
          <w:sz w:val="28"/>
          <w:szCs w:val="28"/>
        </w:rPr>
        <w:t>k.</w:t>
      </w:r>
      <w:r>
        <w:rPr>
          <w:rFonts w:hint="eastAsia" w:ascii="仿宋" w:hAnsi="仿宋" w:eastAsia="仿宋"/>
          <w:color w:val="000000"/>
          <w:sz w:val="28"/>
          <w:szCs w:val="28"/>
        </w:rPr>
        <w:t>对接落实中央、市生态环境保护督察有关工作，根据授权对区级有关部门、各街道办事处、有关单位贯彻落实生态环境保护决策部署情况进行监督检查和考核。</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l</w:t>
      </w:r>
      <w:r>
        <w:rPr>
          <w:rFonts w:ascii="仿宋" w:hAnsi="仿宋" w:eastAsia="仿宋"/>
          <w:color w:val="000000"/>
          <w:sz w:val="28"/>
          <w:szCs w:val="28"/>
        </w:rPr>
        <w:t>.</w:t>
      </w:r>
      <w:r>
        <w:rPr>
          <w:rFonts w:hint="eastAsia" w:ascii="仿宋" w:hAnsi="仿宋" w:eastAsia="仿宋"/>
          <w:color w:val="000000"/>
          <w:sz w:val="28"/>
          <w:szCs w:val="28"/>
        </w:rPr>
        <w:t>负责生态环境监督执法。组织开展生态环境保护执法检查活动，查处生态环境违法问题，具体执法交由相关执法队伍承担，并以部门名义统一执法，指导街道开展生态环境保护综合行政执法。</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m</w:t>
      </w:r>
      <w:r>
        <w:rPr>
          <w:rFonts w:ascii="仿宋" w:hAnsi="仿宋" w:eastAsia="仿宋"/>
          <w:color w:val="000000"/>
          <w:sz w:val="28"/>
          <w:szCs w:val="28"/>
        </w:rPr>
        <w:t>.</w:t>
      </w:r>
      <w:r>
        <w:rPr>
          <w:rFonts w:hint="eastAsia" w:ascii="仿宋" w:hAnsi="仿宋" w:eastAsia="仿宋"/>
          <w:color w:val="000000"/>
          <w:sz w:val="28"/>
          <w:szCs w:val="28"/>
        </w:rPr>
        <w:t>负责开展生态环境科技工作。组织开展生态环境科学研究和技术工程示范，参与推动循环经济和生态环保产业发展。</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n</w:t>
      </w:r>
      <w:r>
        <w:rPr>
          <w:rFonts w:ascii="仿宋" w:hAnsi="仿宋" w:eastAsia="仿宋"/>
          <w:color w:val="000000"/>
          <w:sz w:val="28"/>
          <w:szCs w:val="28"/>
        </w:rPr>
        <w:t>.</w:t>
      </w:r>
      <w:r>
        <w:rPr>
          <w:rFonts w:hint="eastAsia" w:ascii="仿宋" w:hAnsi="仿宋" w:eastAsia="仿宋"/>
          <w:color w:val="000000"/>
          <w:sz w:val="28"/>
          <w:szCs w:val="28"/>
        </w:rPr>
        <w:t>组织开展生态环境宣传教育与国际合作工作。贯彻实施生态环境保护宣传教育纲要，推动社会组织和公众参与生态环境保护。组织协调生态环境相关国际条约在我区履约工作。</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o</w:t>
      </w:r>
      <w:r>
        <w:rPr>
          <w:rFonts w:ascii="仿宋" w:hAnsi="仿宋" w:eastAsia="仿宋"/>
          <w:color w:val="000000"/>
          <w:sz w:val="28"/>
          <w:szCs w:val="28"/>
        </w:rPr>
        <w:t>.</w:t>
      </w:r>
      <w:r>
        <w:rPr>
          <w:rFonts w:hint="eastAsia" w:ascii="仿宋" w:hAnsi="仿宋" w:eastAsia="仿宋"/>
          <w:color w:val="000000"/>
          <w:sz w:val="28"/>
          <w:szCs w:val="28"/>
        </w:rPr>
        <w:t>组织开展生态环境信息化建设。</w:t>
      </w:r>
    </w:p>
    <w:p>
      <w:pPr>
        <w:autoSpaceDE w:val="0"/>
        <w:autoSpaceDN w:val="0"/>
        <w:adjustRightInd w:val="0"/>
        <w:spacing w:before="156" w:beforeLines="50"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p</w:t>
      </w:r>
      <w:r>
        <w:rPr>
          <w:rFonts w:ascii="仿宋" w:hAnsi="仿宋" w:eastAsia="仿宋"/>
          <w:color w:val="000000"/>
          <w:sz w:val="28"/>
          <w:szCs w:val="28"/>
        </w:rPr>
        <w:t>.</w:t>
      </w:r>
      <w:r>
        <w:rPr>
          <w:rFonts w:hint="eastAsia" w:ascii="仿宋" w:hAnsi="仿宋" w:eastAsia="仿宋"/>
          <w:color w:val="000000"/>
          <w:sz w:val="28"/>
          <w:szCs w:val="28"/>
        </w:rPr>
        <w:t>完成区委、区政府交办的其他任务。</w:t>
      </w:r>
    </w:p>
    <w:p>
      <w:pPr>
        <w:autoSpaceDE w:val="0"/>
        <w:autoSpaceDN w:val="0"/>
        <w:adjustRightInd w:val="0"/>
        <w:spacing w:before="156" w:beforeLines="50" w:line="360" w:lineRule="auto"/>
        <w:ind w:left="357"/>
        <w:outlineLvl w:val="0"/>
        <w:rPr>
          <w:rFonts w:ascii="仿宋" w:hAnsi="仿宋" w:eastAsia="仿宋"/>
          <w:b/>
          <w:color w:val="000000"/>
          <w:sz w:val="28"/>
          <w:szCs w:val="28"/>
        </w:rPr>
      </w:pPr>
      <w:r>
        <w:rPr>
          <w:rFonts w:hint="eastAsia" w:ascii="仿宋" w:hAnsi="仿宋" w:eastAsia="仿宋"/>
          <w:b/>
          <w:color w:val="000000"/>
          <w:sz w:val="28"/>
          <w:szCs w:val="28"/>
        </w:rPr>
        <w:t>（2）生态环境执法支队主要职责</w:t>
      </w:r>
    </w:p>
    <w:p>
      <w:pPr>
        <w:autoSpaceDE w:val="0"/>
        <w:autoSpaceDN w:val="0"/>
        <w:adjustRightInd w:val="0"/>
        <w:spacing w:before="156" w:beforeLines="50" w:line="360" w:lineRule="auto"/>
        <w:ind w:left="357"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a</w:t>
      </w:r>
      <w:r>
        <w:rPr>
          <w:rFonts w:ascii="仿宋" w:hAnsi="仿宋" w:eastAsia="仿宋"/>
          <w:color w:val="000000"/>
          <w:sz w:val="28"/>
          <w:szCs w:val="28"/>
        </w:rPr>
        <w:t>.贯彻执行生态环境保护综合行政执法管理制度、执法标准规范。</w:t>
      </w:r>
    </w:p>
    <w:p>
      <w:pPr>
        <w:autoSpaceDE w:val="0"/>
        <w:autoSpaceDN w:val="0"/>
        <w:adjustRightInd w:val="0"/>
        <w:spacing w:before="156" w:beforeLines="50" w:line="360" w:lineRule="auto"/>
        <w:ind w:left="357"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b</w:t>
      </w:r>
      <w:r>
        <w:rPr>
          <w:rFonts w:ascii="仿宋" w:hAnsi="仿宋" w:eastAsia="仿宋"/>
          <w:color w:val="000000"/>
          <w:sz w:val="28"/>
          <w:szCs w:val="28"/>
        </w:rPr>
        <w:t>.承担污染防治执法事项和违法案件的依法调查处理。依法开展水生态环境保护、饮用水水源地、地下水、入河排污口，大气环境保护，土壤生态环境保护，固体废物、化学品、重金属，工业噪声等方面的污染防治执法和监督检查。</w:t>
      </w:r>
    </w:p>
    <w:p>
      <w:pPr>
        <w:autoSpaceDE w:val="0"/>
        <w:autoSpaceDN w:val="0"/>
        <w:adjustRightInd w:val="0"/>
        <w:spacing w:before="156" w:beforeLines="50" w:line="360" w:lineRule="auto"/>
        <w:ind w:left="357"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c</w:t>
      </w:r>
      <w:r>
        <w:rPr>
          <w:rFonts w:ascii="仿宋" w:hAnsi="仿宋" w:eastAsia="仿宋"/>
          <w:color w:val="000000"/>
          <w:sz w:val="28"/>
          <w:szCs w:val="28"/>
        </w:rPr>
        <w:t xml:space="preserve">.承担生态保护执法事项和违法案件的依法调查处理。承担自然保护地内进行非法开矿、修路、筑坝、建设等造成生态破坏的生态保护执法和监督检查。依法开展因开发土地等造成生态破坏的行政执法和监督检查。 </w:t>
      </w:r>
    </w:p>
    <w:p>
      <w:pPr>
        <w:autoSpaceDE w:val="0"/>
        <w:autoSpaceDN w:val="0"/>
        <w:adjustRightInd w:val="0"/>
        <w:spacing w:before="156" w:beforeLines="50" w:line="360" w:lineRule="auto"/>
        <w:ind w:left="357"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d</w:t>
      </w:r>
      <w:r>
        <w:rPr>
          <w:rFonts w:ascii="仿宋" w:hAnsi="仿宋" w:eastAsia="仿宋"/>
          <w:color w:val="000000"/>
          <w:sz w:val="28"/>
          <w:szCs w:val="28"/>
        </w:rPr>
        <w:t>.承担核与辐射安全执法事项和违</w:t>
      </w:r>
      <w:r>
        <w:rPr>
          <w:rFonts w:hint="eastAsia" w:ascii="仿宋" w:hAnsi="仿宋" w:eastAsia="仿宋"/>
          <w:color w:val="000000"/>
          <w:sz w:val="28"/>
          <w:szCs w:val="28"/>
        </w:rPr>
        <w:t>法案件的依法调查处理，依法组织开展核与辐射安全监督检查。</w:t>
      </w:r>
    </w:p>
    <w:p>
      <w:pPr>
        <w:autoSpaceDE w:val="0"/>
        <w:autoSpaceDN w:val="0"/>
        <w:adjustRightInd w:val="0"/>
        <w:spacing w:before="156" w:beforeLines="50" w:line="360" w:lineRule="auto"/>
        <w:ind w:left="357"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e</w:t>
      </w:r>
      <w:r>
        <w:rPr>
          <w:rFonts w:ascii="仿宋" w:hAnsi="仿宋" w:eastAsia="仿宋"/>
          <w:color w:val="000000"/>
          <w:sz w:val="28"/>
          <w:szCs w:val="28"/>
        </w:rPr>
        <w:t>.承担生态环境有关信访、投诉举报受理日常工作。</w:t>
      </w:r>
    </w:p>
    <w:p>
      <w:pPr>
        <w:autoSpaceDE w:val="0"/>
        <w:autoSpaceDN w:val="0"/>
        <w:adjustRightInd w:val="0"/>
        <w:spacing w:before="156" w:beforeLines="50" w:line="360" w:lineRule="auto"/>
        <w:ind w:left="357"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f</w:t>
      </w:r>
      <w:r>
        <w:rPr>
          <w:rFonts w:ascii="仿宋" w:hAnsi="仿宋" w:eastAsia="仿宋"/>
          <w:color w:val="000000"/>
          <w:sz w:val="28"/>
          <w:szCs w:val="28"/>
        </w:rPr>
        <w:t>.承担与生态环境保护综合行政执法有关的应急工作。</w:t>
      </w:r>
    </w:p>
    <w:p>
      <w:pPr>
        <w:autoSpaceDE w:val="0"/>
        <w:autoSpaceDN w:val="0"/>
        <w:adjustRightInd w:val="0"/>
        <w:spacing w:before="156" w:beforeLines="50" w:line="360" w:lineRule="auto"/>
        <w:ind w:left="357"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g</w:t>
      </w:r>
      <w:r>
        <w:rPr>
          <w:rFonts w:ascii="仿宋" w:hAnsi="仿宋" w:eastAsia="仿宋"/>
          <w:color w:val="000000"/>
          <w:sz w:val="28"/>
          <w:szCs w:val="28"/>
        </w:rPr>
        <w:t>.监督和指导街道生态环境保护综合行政执法。</w:t>
      </w:r>
    </w:p>
    <w:p>
      <w:pPr>
        <w:autoSpaceDE w:val="0"/>
        <w:autoSpaceDN w:val="0"/>
        <w:adjustRightInd w:val="0"/>
        <w:spacing w:before="156" w:beforeLines="50" w:line="360" w:lineRule="auto"/>
        <w:ind w:left="357"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h</w:t>
      </w:r>
      <w:r>
        <w:rPr>
          <w:rFonts w:ascii="仿宋" w:hAnsi="仿宋" w:eastAsia="仿宋"/>
          <w:color w:val="000000"/>
          <w:sz w:val="28"/>
          <w:szCs w:val="28"/>
        </w:rPr>
        <w:t>.完成区委、区政府和区生态环境局交办的其他任务。</w:t>
      </w:r>
    </w:p>
    <w:p>
      <w:pPr>
        <w:autoSpaceDE w:val="0"/>
        <w:autoSpaceDN w:val="0"/>
        <w:adjustRightInd w:val="0"/>
        <w:spacing w:before="156" w:beforeLines="50" w:line="360" w:lineRule="auto"/>
        <w:ind w:left="357"/>
        <w:outlineLvl w:val="0"/>
        <w:rPr>
          <w:rFonts w:ascii="仿宋" w:hAnsi="仿宋" w:eastAsia="仿宋"/>
          <w:b/>
          <w:color w:val="000000"/>
          <w:sz w:val="28"/>
          <w:szCs w:val="28"/>
        </w:rPr>
      </w:pPr>
      <w:r>
        <w:rPr>
          <w:rFonts w:hint="eastAsia" w:ascii="仿宋" w:hAnsi="仿宋" w:eastAsia="仿宋"/>
          <w:b/>
          <w:color w:val="000000"/>
          <w:sz w:val="28"/>
          <w:szCs w:val="28"/>
        </w:rPr>
        <w:t>（3）生态环境监测站主要职责</w:t>
      </w:r>
    </w:p>
    <w:p>
      <w:pPr>
        <w:autoSpaceDE w:val="0"/>
        <w:autoSpaceDN w:val="0"/>
        <w:adjustRightInd w:val="0"/>
        <w:spacing w:before="156" w:beforeLines="50" w:line="360" w:lineRule="auto"/>
        <w:ind w:left="357" w:firstLine="560" w:firstLineChars="200"/>
        <w:outlineLvl w:val="0"/>
        <w:rPr>
          <w:rFonts w:ascii="仿宋" w:hAnsi="仿宋" w:eastAsia="仿宋"/>
          <w:color w:val="000000"/>
          <w:sz w:val="28"/>
          <w:szCs w:val="28"/>
        </w:rPr>
      </w:pPr>
      <w:r>
        <w:rPr>
          <w:rFonts w:ascii="仿宋" w:hAnsi="仿宋" w:eastAsia="仿宋"/>
          <w:color w:val="000000"/>
          <w:sz w:val="28"/>
          <w:szCs w:val="28"/>
        </w:rPr>
        <w:t>a.建立本辖区生态环境质量监测网络，按统一的标准规范开展监测和评价。</w:t>
      </w:r>
    </w:p>
    <w:p>
      <w:pPr>
        <w:autoSpaceDE w:val="0"/>
        <w:autoSpaceDN w:val="0"/>
        <w:adjustRightInd w:val="0"/>
        <w:spacing w:before="156" w:beforeLines="50" w:line="360" w:lineRule="auto"/>
        <w:ind w:left="357" w:firstLine="560" w:firstLineChars="200"/>
        <w:outlineLvl w:val="0"/>
        <w:rPr>
          <w:rFonts w:ascii="仿宋" w:hAnsi="仿宋" w:eastAsia="仿宋"/>
          <w:color w:val="000000"/>
          <w:sz w:val="28"/>
          <w:szCs w:val="28"/>
        </w:rPr>
      </w:pPr>
      <w:r>
        <w:rPr>
          <w:rFonts w:ascii="仿宋" w:hAnsi="仿宋" w:eastAsia="仿宋"/>
          <w:color w:val="000000"/>
          <w:sz w:val="28"/>
          <w:szCs w:val="28"/>
        </w:rPr>
        <w:t>b.按照国家和地方环境监测技术规范开展本辖区生态环境质量监测、污染源监督性监测、环境执法监测、环境应急监测与预报预警，建立环境监测质量管理体系，对环境监测实施全过程质量管理，并对监测信息的准确性和真实性负责。</w:t>
      </w:r>
    </w:p>
    <w:p>
      <w:pPr>
        <w:autoSpaceDE w:val="0"/>
        <w:autoSpaceDN w:val="0"/>
        <w:adjustRightInd w:val="0"/>
        <w:spacing w:before="156" w:beforeLines="50" w:line="360" w:lineRule="auto"/>
        <w:ind w:left="357" w:firstLine="560" w:firstLineChars="200"/>
        <w:outlineLvl w:val="0"/>
        <w:rPr>
          <w:rFonts w:ascii="仿宋" w:hAnsi="仿宋" w:eastAsia="仿宋"/>
          <w:color w:val="000000"/>
          <w:sz w:val="28"/>
          <w:szCs w:val="28"/>
        </w:rPr>
      </w:pPr>
      <w:r>
        <w:rPr>
          <w:rFonts w:ascii="仿宋" w:hAnsi="仿宋" w:eastAsia="仿宋"/>
          <w:color w:val="000000"/>
          <w:sz w:val="28"/>
          <w:szCs w:val="28"/>
        </w:rPr>
        <w:t>c.收集、管理本辖区环境监测数据，建立环境监测数据库，并定期将监测数据报市环境监测中心，编制本辖区环境监测报告。</w:t>
      </w:r>
    </w:p>
    <w:p>
      <w:pPr>
        <w:autoSpaceDE w:val="0"/>
        <w:autoSpaceDN w:val="0"/>
        <w:adjustRightInd w:val="0"/>
        <w:spacing w:before="156" w:beforeLines="50" w:line="360" w:lineRule="auto"/>
        <w:ind w:left="357" w:firstLine="560" w:firstLineChars="200"/>
        <w:outlineLvl w:val="0"/>
        <w:rPr>
          <w:rFonts w:ascii="仿宋" w:hAnsi="仿宋" w:eastAsia="仿宋"/>
          <w:color w:val="000000"/>
          <w:sz w:val="28"/>
          <w:szCs w:val="28"/>
        </w:rPr>
      </w:pPr>
      <w:r>
        <w:rPr>
          <w:rFonts w:ascii="仿宋" w:hAnsi="仿宋" w:eastAsia="仿宋"/>
          <w:color w:val="000000"/>
          <w:sz w:val="28"/>
          <w:szCs w:val="28"/>
        </w:rPr>
        <w:t>d.加强监测能力建设，组织开展环境监测人员技术培训。</w:t>
      </w:r>
    </w:p>
    <w:p>
      <w:pPr>
        <w:autoSpaceDE w:val="0"/>
        <w:autoSpaceDN w:val="0"/>
        <w:adjustRightInd w:val="0"/>
        <w:spacing w:before="156" w:beforeLines="50" w:line="360" w:lineRule="auto"/>
        <w:ind w:left="357" w:firstLine="560" w:firstLineChars="200"/>
        <w:outlineLvl w:val="0"/>
        <w:rPr>
          <w:rFonts w:ascii="仿宋" w:hAnsi="仿宋" w:eastAsia="仿宋"/>
          <w:color w:val="000000"/>
          <w:sz w:val="28"/>
          <w:szCs w:val="28"/>
        </w:rPr>
      </w:pPr>
      <w:r>
        <w:rPr>
          <w:rFonts w:ascii="仿宋" w:hAnsi="仿宋" w:eastAsia="仿宋"/>
          <w:color w:val="000000"/>
          <w:sz w:val="28"/>
          <w:szCs w:val="28"/>
        </w:rPr>
        <w:t>e.开展环境监测领域科学研究，承担环境监测技术规范、方法研究以及</w:t>
      </w:r>
      <w:r>
        <w:rPr>
          <w:rFonts w:hint="eastAsia" w:ascii="仿宋" w:hAnsi="仿宋" w:eastAsia="仿宋"/>
          <w:color w:val="000000"/>
          <w:sz w:val="28"/>
          <w:szCs w:val="28"/>
        </w:rPr>
        <w:t>国际合作和交流。</w:t>
      </w:r>
    </w:p>
    <w:p>
      <w:pPr>
        <w:autoSpaceDE w:val="0"/>
        <w:autoSpaceDN w:val="0"/>
        <w:adjustRightInd w:val="0"/>
        <w:spacing w:before="156" w:beforeLines="50" w:line="360" w:lineRule="auto"/>
        <w:ind w:left="357" w:firstLine="560" w:firstLineChars="200"/>
        <w:outlineLvl w:val="0"/>
        <w:rPr>
          <w:rFonts w:ascii="仿宋" w:hAnsi="仿宋" w:eastAsia="仿宋"/>
          <w:color w:val="000000"/>
          <w:sz w:val="28"/>
          <w:szCs w:val="28"/>
        </w:rPr>
      </w:pPr>
      <w:r>
        <w:rPr>
          <w:rFonts w:ascii="仿宋" w:hAnsi="仿宋" w:eastAsia="仿宋"/>
          <w:color w:val="000000"/>
          <w:sz w:val="28"/>
          <w:szCs w:val="28"/>
        </w:rPr>
        <w:t>f.承担市和区环保局委托的其他环境监测工作。</w:t>
      </w:r>
    </w:p>
    <w:p>
      <w:pPr>
        <w:autoSpaceDE w:val="0"/>
        <w:autoSpaceDN w:val="0"/>
        <w:adjustRightInd w:val="0"/>
        <w:spacing w:before="156" w:beforeLines="50"/>
        <w:ind w:left="357"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二、绩效评价工作情况</w:t>
      </w:r>
    </w:p>
    <w:p>
      <w:pPr>
        <w:autoSpaceDE w:val="0"/>
        <w:autoSpaceDN w:val="0"/>
        <w:adjustRightInd w:val="0"/>
        <w:spacing w:before="156" w:beforeLines="50"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（一）绩效评价目的和范围</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次绩效评价目的是为贯彻落实区委、区政府《关于推进预算绩效管理工作实施意见》和区人大《关于全面推进财政预算绩效管理的决议》精神，加快推进区级部门整体支出和项目支出绩效评价工作，提高财政资金使用效益。本次绩效评价范围为重庆市渝中区生态环境局2020年部门整体支出，涉及到的单位有：重庆市渝中区生态环境局、重庆市渝中区生态环境监测站及重庆市渝中区生态环境保护综合行政执法支队。</w:t>
      </w:r>
    </w:p>
    <w:p>
      <w:pPr>
        <w:autoSpaceDE w:val="0"/>
        <w:autoSpaceDN w:val="0"/>
        <w:adjustRightInd w:val="0"/>
        <w:spacing w:before="156" w:beforeLines="50"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（二）绩效评价原则依据、评价指标体系、评价方法</w:t>
      </w:r>
    </w:p>
    <w:p>
      <w:pPr>
        <w:spacing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1.绩效评价原则依据</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《中共中央国务院关于全面实施预算绩效管理的意见》；</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（2）重庆市财政局关于印发《重庆市市级政策和项目预算绩效管理办法（试行）》的通知（渝财绩〔2019〕19号）；</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（3）《重庆市财政专项资金绩效评价管理暂行办法》(渝办发[2011]233号)；</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sz w:val="28"/>
          <w:szCs w:val="28"/>
        </w:rPr>
        <w:t>重庆市渝中区财政局关于开展2020年度预算绩效重点评价工作的通知》</w:t>
      </w:r>
      <w:r>
        <w:rPr>
          <w:rFonts w:hint="eastAsia" w:ascii="仿宋" w:hAnsi="仿宋" w:eastAsia="仿宋"/>
          <w:color w:val="000000"/>
          <w:sz w:val="28"/>
          <w:szCs w:val="28"/>
        </w:rPr>
        <w:t>（渝中财绩〔</w:t>
      </w:r>
      <w:r>
        <w:rPr>
          <w:rFonts w:ascii="仿宋" w:hAnsi="仿宋" w:eastAsia="仿宋"/>
          <w:color w:val="000000"/>
          <w:sz w:val="28"/>
          <w:szCs w:val="28"/>
        </w:rPr>
        <w:t>202</w:t>
      </w: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2号）；</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（5）其他国家相关法律、法规和规章制度。</w:t>
      </w:r>
    </w:p>
    <w:p>
      <w:pPr>
        <w:spacing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2.绩效评价指标体系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经过充分的调研和讨论，本次绩效评价指标体系设计如下：一级指标5个，分别为：履职效能、社会效应、可持续发展能力、服务对象满意度、管理类指标；二级指标21个，分别为：投诉举报办结率、各类生态环境监测数据个数、空气质量优良天数、PM</w:t>
      </w:r>
      <w:r>
        <w:rPr>
          <w:rFonts w:hint="eastAsia" w:ascii="仿宋" w:hAnsi="仿宋" w:eastAsia="仿宋"/>
          <w:sz w:val="28"/>
          <w:szCs w:val="28"/>
          <w:vertAlign w:val="subscript"/>
        </w:rPr>
        <w:t>2.5</w:t>
      </w:r>
      <w:r>
        <w:rPr>
          <w:rFonts w:hint="eastAsia" w:ascii="仿宋" w:hAnsi="仿宋" w:eastAsia="仿宋"/>
          <w:sz w:val="28"/>
          <w:szCs w:val="28"/>
        </w:rPr>
        <w:t>年均浓度下降率、水源地水质达标率、渝中区段地表水水质标准、废物安全处置办结率、声环境质量、环评办理时间压缩、空气质量网格微站建设、监管对象满意度、社会公众满意度、预算执行率、资金使用合规性、绩效目标明确性、政府采购执行准确率、政府采购程序性、资产管理合规性、部门课题经费、规划经费、培训经费统一压减率、一般性项目支出压减率、预决算信息公开及时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绩效评价指标体系具体情况详见附表：重庆市渝中区生态环境局2020年部门整体支出绩效指标评分表。</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评价结果分为优、良、中、差四等，根据计分结果的分值，确定评价结果对象最后达到的档次，具体见下表。</w:t>
      </w:r>
    </w:p>
    <w:tbl>
      <w:tblPr>
        <w:tblStyle w:val="8"/>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657"/>
        <w:gridCol w:w="1749"/>
        <w:gridCol w:w="1940"/>
        <w:gridCol w:w="1851"/>
        <w:gridCol w:w="192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909" w:type="pct"/>
            <w:vAlign w:val="center"/>
          </w:tcPr>
          <w:p>
            <w:pPr>
              <w:snapToGrid w:val="0"/>
              <w:spacing w:line="360" w:lineRule="exact"/>
              <w:jc w:val="center"/>
              <w:rPr>
                <w:rFonts w:ascii="仿宋" w:hAnsi="仿宋" w:eastAsia="仿宋"/>
                <w:sz w:val="18"/>
                <w:szCs w:val="18"/>
              </w:rPr>
            </w:pPr>
            <w:r>
              <w:rPr>
                <w:rFonts w:hint="eastAsia" w:ascii="仿宋" w:hAnsi="仿宋" w:eastAsia="仿宋"/>
                <w:sz w:val="18"/>
                <w:szCs w:val="18"/>
              </w:rPr>
              <w:t>档次</w:t>
            </w:r>
          </w:p>
        </w:tc>
        <w:tc>
          <w:tcPr>
            <w:tcW w:w="959" w:type="pct"/>
            <w:vAlign w:val="center"/>
          </w:tcPr>
          <w:p>
            <w:pPr>
              <w:snapToGrid w:val="0"/>
              <w:spacing w:line="360" w:lineRule="exact"/>
              <w:jc w:val="center"/>
              <w:rPr>
                <w:rFonts w:ascii="仿宋" w:hAnsi="仿宋" w:eastAsia="仿宋"/>
                <w:sz w:val="18"/>
                <w:szCs w:val="18"/>
              </w:rPr>
            </w:pPr>
            <w:r>
              <w:rPr>
                <w:rFonts w:hint="eastAsia" w:ascii="仿宋" w:hAnsi="仿宋" w:eastAsia="仿宋"/>
                <w:sz w:val="18"/>
                <w:szCs w:val="18"/>
              </w:rPr>
              <w:t>优</w:t>
            </w:r>
          </w:p>
        </w:tc>
        <w:tc>
          <w:tcPr>
            <w:tcW w:w="1064" w:type="pct"/>
            <w:vAlign w:val="center"/>
          </w:tcPr>
          <w:p>
            <w:pPr>
              <w:snapToGrid w:val="0"/>
              <w:spacing w:line="360" w:lineRule="exact"/>
              <w:jc w:val="center"/>
              <w:rPr>
                <w:rFonts w:ascii="仿宋" w:hAnsi="仿宋" w:eastAsia="仿宋"/>
                <w:sz w:val="18"/>
                <w:szCs w:val="18"/>
              </w:rPr>
            </w:pPr>
            <w:r>
              <w:rPr>
                <w:rFonts w:hint="eastAsia" w:ascii="仿宋" w:hAnsi="仿宋" w:eastAsia="仿宋"/>
                <w:sz w:val="18"/>
                <w:szCs w:val="18"/>
              </w:rPr>
              <w:t>良</w:t>
            </w:r>
          </w:p>
        </w:tc>
        <w:tc>
          <w:tcPr>
            <w:tcW w:w="1015" w:type="pct"/>
            <w:vAlign w:val="center"/>
          </w:tcPr>
          <w:p>
            <w:pPr>
              <w:snapToGrid w:val="0"/>
              <w:spacing w:line="360" w:lineRule="exact"/>
              <w:jc w:val="center"/>
              <w:rPr>
                <w:rFonts w:ascii="仿宋" w:hAnsi="仿宋" w:eastAsia="仿宋"/>
                <w:sz w:val="18"/>
                <w:szCs w:val="18"/>
              </w:rPr>
            </w:pPr>
            <w:r>
              <w:rPr>
                <w:rFonts w:hint="eastAsia" w:ascii="仿宋" w:hAnsi="仿宋" w:eastAsia="仿宋"/>
                <w:sz w:val="18"/>
                <w:szCs w:val="18"/>
              </w:rPr>
              <w:t>中</w:t>
            </w:r>
          </w:p>
        </w:tc>
        <w:tc>
          <w:tcPr>
            <w:tcW w:w="1053" w:type="pct"/>
            <w:vAlign w:val="center"/>
          </w:tcPr>
          <w:p>
            <w:pPr>
              <w:snapToGrid w:val="0"/>
              <w:spacing w:line="360" w:lineRule="exact"/>
              <w:jc w:val="center"/>
              <w:rPr>
                <w:rFonts w:ascii="仿宋" w:hAnsi="仿宋" w:eastAsia="仿宋"/>
                <w:sz w:val="18"/>
                <w:szCs w:val="18"/>
              </w:rPr>
            </w:pPr>
            <w:r>
              <w:rPr>
                <w:rFonts w:hint="eastAsia" w:ascii="仿宋" w:hAnsi="仿宋" w:eastAsia="仿宋"/>
                <w:sz w:val="18"/>
                <w:szCs w:val="18"/>
              </w:rPr>
              <w:t>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909" w:type="pct"/>
            <w:vAlign w:val="center"/>
          </w:tcPr>
          <w:p>
            <w:pPr>
              <w:snapToGrid w:val="0"/>
              <w:spacing w:line="360" w:lineRule="exact"/>
              <w:jc w:val="center"/>
              <w:rPr>
                <w:rFonts w:ascii="仿宋" w:hAnsi="仿宋" w:eastAsia="仿宋"/>
                <w:sz w:val="18"/>
                <w:szCs w:val="18"/>
              </w:rPr>
            </w:pPr>
            <w:r>
              <w:rPr>
                <w:rFonts w:hint="eastAsia" w:ascii="仿宋" w:hAnsi="仿宋" w:eastAsia="仿宋"/>
                <w:sz w:val="18"/>
                <w:szCs w:val="18"/>
              </w:rPr>
              <w:t>分值</w:t>
            </w:r>
          </w:p>
        </w:tc>
        <w:tc>
          <w:tcPr>
            <w:tcW w:w="959" w:type="pct"/>
            <w:vAlign w:val="center"/>
          </w:tcPr>
          <w:p>
            <w:pPr>
              <w:spacing w:line="360" w:lineRule="exact"/>
              <w:jc w:val="center"/>
              <w:rPr>
                <w:rFonts w:ascii="仿宋" w:hAnsi="仿宋" w:eastAsia="仿宋"/>
                <w:sz w:val="18"/>
                <w:szCs w:val="18"/>
              </w:rPr>
            </w:pPr>
            <w:r>
              <w:rPr>
                <w:rFonts w:hint="eastAsia" w:ascii="仿宋" w:hAnsi="仿宋" w:eastAsia="仿宋"/>
                <w:sz w:val="18"/>
                <w:szCs w:val="18"/>
              </w:rPr>
              <w:t>≥90</w:t>
            </w:r>
          </w:p>
        </w:tc>
        <w:tc>
          <w:tcPr>
            <w:tcW w:w="1064" w:type="pct"/>
            <w:vAlign w:val="center"/>
          </w:tcPr>
          <w:p>
            <w:pPr>
              <w:spacing w:line="360" w:lineRule="exact"/>
              <w:jc w:val="center"/>
              <w:rPr>
                <w:rFonts w:ascii="仿宋" w:hAnsi="仿宋" w:eastAsia="仿宋"/>
                <w:sz w:val="18"/>
                <w:szCs w:val="18"/>
              </w:rPr>
            </w:pPr>
            <w:r>
              <w:rPr>
                <w:rFonts w:hint="eastAsia" w:ascii="仿宋" w:hAnsi="仿宋" w:eastAsia="仿宋"/>
                <w:sz w:val="18"/>
                <w:szCs w:val="18"/>
              </w:rPr>
              <w:t>80≤得分﹤90</w:t>
            </w:r>
          </w:p>
        </w:tc>
        <w:tc>
          <w:tcPr>
            <w:tcW w:w="1015" w:type="pct"/>
            <w:vAlign w:val="center"/>
          </w:tcPr>
          <w:p>
            <w:pPr>
              <w:spacing w:line="360" w:lineRule="exact"/>
              <w:jc w:val="center"/>
              <w:rPr>
                <w:rFonts w:ascii="仿宋" w:hAnsi="仿宋" w:eastAsia="仿宋"/>
                <w:sz w:val="18"/>
                <w:szCs w:val="18"/>
              </w:rPr>
            </w:pPr>
            <w:r>
              <w:rPr>
                <w:rFonts w:hint="eastAsia" w:ascii="仿宋" w:hAnsi="仿宋" w:eastAsia="仿宋"/>
                <w:sz w:val="18"/>
                <w:szCs w:val="18"/>
              </w:rPr>
              <w:t>60≤得分﹤80</w:t>
            </w:r>
          </w:p>
        </w:tc>
        <w:tc>
          <w:tcPr>
            <w:tcW w:w="1053" w:type="pct"/>
            <w:vAlign w:val="center"/>
          </w:tcPr>
          <w:p>
            <w:pPr>
              <w:spacing w:line="360" w:lineRule="exact"/>
              <w:jc w:val="center"/>
              <w:rPr>
                <w:rFonts w:ascii="仿宋" w:hAnsi="仿宋" w:eastAsia="仿宋"/>
                <w:sz w:val="18"/>
                <w:szCs w:val="18"/>
              </w:rPr>
            </w:pPr>
            <w:r>
              <w:rPr>
                <w:rFonts w:hint="eastAsia" w:ascii="仿宋" w:hAnsi="仿宋" w:eastAsia="仿宋"/>
                <w:sz w:val="18"/>
                <w:szCs w:val="18"/>
              </w:rPr>
              <w:t>得分＜60</w:t>
            </w:r>
          </w:p>
        </w:tc>
      </w:tr>
    </w:tbl>
    <w:p>
      <w:pPr>
        <w:spacing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3.评价方法</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绩效评价采用现场和非现场评价相结合的方式,具体采用以下评价方法：</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座谈法:组织相关各方集中访谈或座谈,能有效掌握政策实施过程情况以及项目的效果或不足,进而讨论相关各方如何改进不足,并提出确保项目长效运行的各种意见和建议,并将这些情况,整理反映到评价报告中。</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（2）查证法:通过书面及口头方式,现场询问相关人员,核查相关资料是否真实、合理,从而对项目做出初步的判断和评价。</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（3）比较法:通过对绩效目标与实施效果、历史与当期情况的比较,综合分析绩效目标实现程度。</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电话询问法:针对性的根据项目内容设计电话询问内容,调查范围为2020年度区级监管对象。将在访谈、座谈和调研的基础上进行设计电话询问问卷,以求切实反映监管工作服务满意度,具有针对性,以评价绩效目标实现程度。在问题选项的设置上,</w:t>
      </w:r>
      <w:r>
        <w:rPr>
          <w:rFonts w:hint="eastAsia" w:ascii="仿宋" w:hAnsi="仿宋" w:eastAsia="仿宋"/>
        </w:rPr>
        <w:t xml:space="preserve"> </w:t>
      </w:r>
      <w:r>
        <w:rPr>
          <w:rFonts w:hint="eastAsia" w:ascii="仿宋" w:hAnsi="仿宋" w:eastAsia="仿宋"/>
          <w:sz w:val="28"/>
          <w:szCs w:val="28"/>
        </w:rPr>
        <w:t>采取封闭式选项向通话调查者询问</w:t>
      </w:r>
      <w:r>
        <w:rPr>
          <w:rFonts w:hint="eastAsia" w:ascii="仿宋" w:hAnsi="仿宋" w:eastAsia="仿宋"/>
          <w:color w:val="000000"/>
          <w:sz w:val="28"/>
          <w:szCs w:val="28"/>
        </w:rPr>
        <w:t>,</w:t>
      </w:r>
      <w:r>
        <w:rPr>
          <w:rFonts w:hint="eastAsia" w:ascii="仿宋" w:hAnsi="仿宋" w:eastAsia="仿宋"/>
        </w:rPr>
        <w:t xml:space="preserve"> </w:t>
      </w:r>
      <w:r>
        <w:rPr>
          <w:rFonts w:hint="eastAsia" w:ascii="仿宋" w:hAnsi="仿宋" w:eastAsia="仿宋"/>
          <w:color w:val="000000"/>
          <w:sz w:val="28"/>
          <w:szCs w:val="28"/>
        </w:rPr>
        <w:t>以确保收集意见的准确性。本次电话询问计划询问43家。</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（5）其他评价方法。</w:t>
      </w:r>
    </w:p>
    <w:p>
      <w:pPr>
        <w:autoSpaceDE w:val="0"/>
        <w:autoSpaceDN w:val="0"/>
        <w:adjustRightInd w:val="0"/>
        <w:spacing w:before="156" w:beforeLines="50"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（三）绩效评价工作过程</w:t>
      </w:r>
    </w:p>
    <w:p>
      <w:pPr>
        <w:spacing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1.前期准备</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（1）确定绩效评价对象。根据《</w:t>
      </w:r>
      <w:r>
        <w:rPr>
          <w:rFonts w:hint="eastAsia" w:ascii="仿宋" w:hAnsi="仿宋" w:eastAsia="仿宋"/>
          <w:sz w:val="28"/>
          <w:szCs w:val="28"/>
        </w:rPr>
        <w:t>重庆市渝中区财政局关于开展2020年度预算绩效重点评价工作的通知》</w:t>
      </w:r>
      <w:r>
        <w:rPr>
          <w:rFonts w:hint="eastAsia" w:ascii="仿宋" w:hAnsi="仿宋" w:eastAsia="仿宋"/>
          <w:color w:val="000000"/>
          <w:sz w:val="28"/>
          <w:szCs w:val="28"/>
        </w:rPr>
        <w:t>（渝中财绩〔</w:t>
      </w:r>
      <w:r>
        <w:rPr>
          <w:rFonts w:ascii="仿宋" w:hAnsi="仿宋" w:eastAsia="仿宋"/>
          <w:color w:val="000000"/>
          <w:sz w:val="28"/>
          <w:szCs w:val="28"/>
        </w:rPr>
        <w:t>202</w:t>
      </w: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2号）规定，本次评价对象为重庆市渝中区生态环境局2020</w:t>
      </w:r>
      <w:r>
        <w:rPr>
          <w:rFonts w:ascii="仿宋" w:hAnsi="仿宋" w:eastAsia="仿宋"/>
          <w:color w:val="000000"/>
          <w:sz w:val="28"/>
          <w:szCs w:val="28"/>
        </w:rPr>
        <w:t>年度部门整体支出</w:t>
      </w:r>
      <w:r>
        <w:rPr>
          <w:rFonts w:hint="eastAsia" w:ascii="仿宋" w:hAnsi="仿宋" w:eastAsia="仿宋"/>
          <w:color w:val="000000"/>
          <w:sz w:val="28"/>
          <w:szCs w:val="28"/>
        </w:rPr>
        <w:t>。</w:t>
      </w:r>
    </w:p>
    <w:p>
      <w:pPr>
        <w:spacing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2）制定绩效评价工作方案。本次经过初步调研，在区财政局的指导、区生态环境局的配合下根据有关规定和评价对象的特点，拟定详细的绩效评价工作方案。主要内容包括：评价依据、评价工作计划，拟采用的绩效评价指标、评价标准、评价方法及有关工作条件。</w:t>
      </w:r>
    </w:p>
    <w:p>
      <w:pPr>
        <w:spacing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3）下达绩效评价通知书。通知书由区财政局向被评价单位下达。基本内容包括评价目的、评价对象、评价内容、评价任务、评价依据、评价实施机构、评价时间和有关要求等事项，并附基础数据表、绩效评价指标、绩效（评价）报告参考格式等内容。</w:t>
      </w:r>
    </w:p>
    <w:p>
      <w:pPr>
        <w:spacing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2.组织实施</w:t>
      </w:r>
    </w:p>
    <w:p>
      <w:pPr>
        <w:spacing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（1）审核资料。在被评审单位上报基础资料的基础上，我们组织人员对资料进行审核。</w:t>
      </w:r>
    </w:p>
    <w:p>
      <w:pPr>
        <w:spacing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（2）对项目进行现场检查，并对资金的支付情况进行检查。</w:t>
      </w:r>
    </w:p>
    <w:p>
      <w:pPr>
        <w:spacing w:line="360" w:lineRule="auto"/>
        <w:ind w:firstLine="560" w:firstLineChars="200"/>
        <w:outlineLvl w:val="0"/>
        <w:rPr>
          <w:rFonts w:ascii="仿宋" w:hAnsi="仿宋" w:eastAsia="仿宋"/>
          <w:b/>
          <w:color w:val="000000"/>
          <w:sz w:val="28"/>
          <w:szCs w:val="28"/>
        </w:rPr>
      </w:pPr>
      <w:r>
        <w:rPr>
          <w:rFonts w:hint="eastAsia" w:ascii="仿宋" w:hAnsi="仿宋" w:eastAsia="仿宋"/>
          <w:color w:val="000000"/>
          <w:sz w:val="28"/>
          <w:szCs w:val="28"/>
        </w:rPr>
        <w:t>（3）深入项目单位及工作现场，通过听取情况介绍、实地考察、座谈询问、对照查证复核等方式，对项目有关情况和基础材料进行核实。</w:t>
      </w:r>
    </w:p>
    <w:p>
      <w:pPr>
        <w:spacing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3.分析评价</w:t>
      </w:r>
    </w:p>
    <w:p>
      <w:pPr>
        <w:spacing w:line="360" w:lineRule="auto"/>
        <w:ind w:firstLine="560" w:firstLineChars="200"/>
        <w:rPr>
          <w:rFonts w:ascii="仿宋" w:hAnsi="仿宋" w:eastAsia="仿宋"/>
          <w:bCs/>
          <w:color w:val="000000"/>
          <w:sz w:val="28"/>
          <w:szCs w:val="28"/>
        </w:rPr>
      </w:pPr>
      <w:r>
        <w:rPr>
          <w:rFonts w:hint="eastAsia" w:ascii="仿宋" w:hAnsi="仿宋" w:eastAsia="仿宋"/>
          <w:bCs/>
          <w:color w:val="000000"/>
          <w:sz w:val="28"/>
          <w:szCs w:val="28"/>
        </w:rPr>
        <w:t>对评价对象的绩效情况进行全面的定量、定性分析和综合评价，形成绩效评价结论。</w:t>
      </w:r>
    </w:p>
    <w:p>
      <w:pPr>
        <w:autoSpaceDE w:val="0"/>
        <w:autoSpaceDN w:val="0"/>
        <w:adjustRightInd w:val="0"/>
        <w:spacing w:before="312" w:beforeLines="100"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三、绩效评价指标分析情况</w:t>
      </w:r>
    </w:p>
    <w:p>
      <w:pPr>
        <w:autoSpaceDE w:val="0"/>
        <w:autoSpaceDN w:val="0"/>
        <w:adjustRightInd w:val="0"/>
        <w:spacing w:before="156" w:beforeLines="50" w:line="360" w:lineRule="auto"/>
        <w:ind w:firstLine="562" w:firstLineChars="200"/>
        <w:outlineLvl w:val="0"/>
        <w:rPr>
          <w:rFonts w:ascii="仿宋" w:hAnsi="仿宋" w:eastAsia="仿宋"/>
          <w:b/>
          <w:sz w:val="28"/>
          <w:szCs w:val="28"/>
        </w:rPr>
      </w:pPr>
      <w:r>
        <w:rPr>
          <w:rFonts w:hint="eastAsia" w:ascii="仿宋" w:hAnsi="仿宋" w:eastAsia="仿宋"/>
          <w:b/>
          <w:color w:val="000000"/>
          <w:sz w:val="28"/>
          <w:szCs w:val="28"/>
        </w:rPr>
        <w:t>（一）</w:t>
      </w:r>
      <w:r>
        <w:rPr>
          <w:rFonts w:hint="eastAsia" w:ascii="仿宋" w:hAnsi="仿宋" w:eastAsia="仿宋"/>
          <w:b/>
          <w:sz w:val="28"/>
          <w:szCs w:val="28"/>
        </w:rPr>
        <w:t>履职效能情况</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涉及部门履职效能的指标主要为：</w:t>
      </w:r>
      <w:r>
        <w:rPr>
          <w:rFonts w:hint="eastAsia" w:ascii="仿宋" w:hAnsi="仿宋" w:eastAsia="仿宋"/>
          <w:sz w:val="28"/>
          <w:szCs w:val="28"/>
        </w:rPr>
        <w:t>投诉举报办结率、各类生态环境监测数据个数</w:t>
      </w:r>
      <w:r>
        <w:rPr>
          <w:rFonts w:hint="eastAsia" w:ascii="仿宋" w:hAnsi="仿宋" w:eastAsia="仿宋"/>
          <w:color w:val="000000"/>
          <w:sz w:val="28"/>
          <w:szCs w:val="28"/>
        </w:rPr>
        <w:t>。具体情况如下：</w:t>
      </w:r>
    </w:p>
    <w:tbl>
      <w:tblPr>
        <w:tblStyle w:val="8"/>
        <w:tblW w:w="5000" w:type="pct"/>
        <w:tblInd w:w="0" w:type="dxa"/>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023"/>
        <w:gridCol w:w="485"/>
        <w:gridCol w:w="1087"/>
        <w:gridCol w:w="489"/>
        <w:gridCol w:w="483"/>
        <w:gridCol w:w="4347"/>
        <w:gridCol w:w="1203"/>
      </w:tblGrid>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blHeader/>
        </w:trPr>
        <w:tc>
          <w:tcPr>
            <w:tcW w:w="561"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明细指标</w:t>
            </w:r>
          </w:p>
        </w:tc>
        <w:tc>
          <w:tcPr>
            <w:tcW w:w="266"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指标性质</w:t>
            </w:r>
          </w:p>
        </w:tc>
        <w:tc>
          <w:tcPr>
            <w:tcW w:w="596" w:type="pct"/>
            <w:shd w:val="clear" w:color="auto" w:fill="auto"/>
            <w:noWrap/>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指标值</w:t>
            </w:r>
          </w:p>
        </w:tc>
        <w:tc>
          <w:tcPr>
            <w:tcW w:w="268"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计量单位</w:t>
            </w:r>
          </w:p>
        </w:tc>
        <w:tc>
          <w:tcPr>
            <w:tcW w:w="265"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指标权重</w:t>
            </w:r>
          </w:p>
        </w:tc>
        <w:tc>
          <w:tcPr>
            <w:tcW w:w="2384" w:type="pct"/>
            <w:shd w:val="clear" w:color="auto" w:fill="auto"/>
            <w:vAlign w:val="center"/>
          </w:tcPr>
          <w:p>
            <w:pPr>
              <w:jc w:val="center"/>
              <w:textAlignment w:val="center"/>
              <w:rPr>
                <w:rFonts w:ascii="仿宋" w:hAnsi="仿宋" w:eastAsia="仿宋" w:cs="华文仿宋"/>
                <w:color w:val="000000"/>
                <w:lang w:bidi="ar"/>
              </w:rPr>
            </w:pPr>
            <w:r>
              <w:rPr>
                <w:rFonts w:hint="eastAsia" w:ascii="仿宋" w:hAnsi="仿宋" w:eastAsia="仿宋" w:cs="华文仿宋"/>
                <w:color w:val="000000"/>
                <w:lang w:bidi="ar"/>
              </w:rPr>
              <w:t>评价标准</w:t>
            </w:r>
          </w:p>
        </w:tc>
        <w:tc>
          <w:tcPr>
            <w:tcW w:w="661" w:type="pct"/>
            <w:shd w:val="clear" w:color="auto" w:fill="auto"/>
            <w:noWrap/>
            <w:vAlign w:val="center"/>
          </w:tcPr>
          <w:p>
            <w:pPr>
              <w:textAlignment w:val="center"/>
              <w:rPr>
                <w:rFonts w:ascii="仿宋" w:hAnsi="仿宋" w:eastAsia="仿宋"/>
                <w:color w:val="000000"/>
                <w:sz w:val="22"/>
                <w:lang w:bidi="ar"/>
              </w:rPr>
            </w:pPr>
            <w:r>
              <w:rPr>
                <w:rFonts w:hint="eastAsia" w:ascii="仿宋" w:hAnsi="仿宋" w:eastAsia="仿宋"/>
                <w:color w:val="000000"/>
                <w:sz w:val="22"/>
                <w:lang w:bidi="ar"/>
              </w:rPr>
              <w:t xml:space="preserve">实际得分 </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投诉举报办结率</w:t>
            </w:r>
          </w:p>
        </w:tc>
        <w:tc>
          <w:tcPr>
            <w:tcW w:w="266"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w:t>
            </w:r>
          </w:p>
        </w:tc>
        <w:tc>
          <w:tcPr>
            <w:tcW w:w="596" w:type="pct"/>
            <w:shd w:val="clear" w:color="auto" w:fill="auto"/>
            <w:noWrap/>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100</w:t>
            </w:r>
          </w:p>
        </w:tc>
        <w:tc>
          <w:tcPr>
            <w:tcW w:w="268"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w:t>
            </w:r>
          </w:p>
        </w:tc>
        <w:tc>
          <w:tcPr>
            <w:tcW w:w="265"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5</w:t>
            </w:r>
          </w:p>
        </w:tc>
        <w:tc>
          <w:tcPr>
            <w:tcW w:w="2384" w:type="pct"/>
            <w:shd w:val="clear" w:color="auto" w:fill="auto"/>
            <w:vAlign w:val="center"/>
          </w:tcPr>
          <w:p>
            <w:pPr>
              <w:jc w:val="left"/>
              <w:textAlignment w:val="center"/>
              <w:rPr>
                <w:rFonts w:ascii="仿宋" w:hAnsi="仿宋" w:eastAsia="仿宋" w:cs="华文仿宋"/>
                <w:color w:val="000000"/>
                <w:lang w:bidi="ar"/>
              </w:rPr>
            </w:pPr>
            <w:r>
              <w:rPr>
                <w:rFonts w:hint="eastAsia" w:ascii="仿宋" w:hAnsi="仿宋" w:eastAsia="仿宋" w:cs="华文仿宋"/>
                <w:color w:val="000000"/>
                <w:lang w:bidi="ar"/>
              </w:rPr>
              <w:t>1、投诉举报办结率=已办结投诉举报数量/投诉举报数量=100%：满分5分发现未办结1件扣1分，扣完为止</w:t>
            </w:r>
            <w:r>
              <w:rPr>
                <w:rFonts w:hint="eastAsia" w:ascii="仿宋" w:hAnsi="仿宋" w:eastAsia="仿宋" w:cs="华文仿宋"/>
                <w:color w:val="000000"/>
                <w:lang w:bidi="ar"/>
              </w:rPr>
              <w:br w:type="textWrapping"/>
            </w:r>
            <w:r>
              <w:rPr>
                <w:rFonts w:hint="eastAsia" w:ascii="仿宋" w:hAnsi="仿宋" w:eastAsia="仿宋" w:cs="华文仿宋"/>
                <w:color w:val="000000"/>
                <w:lang w:bidi="ar"/>
              </w:rPr>
              <w:t>注：根据重庆市12369投诉受理系统</w:t>
            </w:r>
          </w:p>
        </w:tc>
        <w:tc>
          <w:tcPr>
            <w:tcW w:w="661" w:type="pct"/>
            <w:shd w:val="clear" w:color="auto" w:fill="auto"/>
            <w:noWrap/>
            <w:vAlign w:val="center"/>
          </w:tcPr>
          <w:p>
            <w:pPr>
              <w:jc w:val="center"/>
              <w:textAlignment w:val="center"/>
              <w:rPr>
                <w:rFonts w:ascii="仿宋" w:hAnsi="仿宋" w:eastAsia="仿宋"/>
                <w:color w:val="000000"/>
                <w:sz w:val="22"/>
                <w:lang w:bidi="ar"/>
              </w:rPr>
            </w:pPr>
            <w:r>
              <w:rPr>
                <w:rFonts w:hint="eastAsia" w:ascii="仿宋" w:hAnsi="仿宋" w:eastAsia="仿宋"/>
                <w:color w:val="000000"/>
                <w:sz w:val="22"/>
                <w:lang w:bidi="ar"/>
              </w:rPr>
              <w:t>5</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各类生态环境监测数据总个数</w:t>
            </w:r>
          </w:p>
        </w:tc>
        <w:tc>
          <w:tcPr>
            <w:tcW w:w="266"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w:t>
            </w:r>
          </w:p>
        </w:tc>
        <w:tc>
          <w:tcPr>
            <w:tcW w:w="596" w:type="pct"/>
            <w:shd w:val="clear" w:color="auto" w:fill="auto"/>
            <w:noWrap/>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≥80000</w:t>
            </w:r>
          </w:p>
        </w:tc>
        <w:tc>
          <w:tcPr>
            <w:tcW w:w="268"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个</w:t>
            </w:r>
          </w:p>
        </w:tc>
        <w:tc>
          <w:tcPr>
            <w:tcW w:w="265"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5</w:t>
            </w:r>
          </w:p>
        </w:tc>
        <w:tc>
          <w:tcPr>
            <w:tcW w:w="2384" w:type="pct"/>
            <w:shd w:val="clear" w:color="auto" w:fill="auto"/>
            <w:vAlign w:val="center"/>
          </w:tcPr>
          <w:p>
            <w:pPr>
              <w:jc w:val="left"/>
              <w:textAlignment w:val="center"/>
              <w:rPr>
                <w:rFonts w:ascii="仿宋" w:hAnsi="仿宋" w:eastAsia="仿宋" w:cs="华文仿宋"/>
                <w:color w:val="000000"/>
                <w:lang w:bidi="ar"/>
              </w:rPr>
            </w:pPr>
            <w:r>
              <w:rPr>
                <w:rFonts w:hint="eastAsia" w:ascii="仿宋" w:hAnsi="仿宋" w:eastAsia="仿宋" w:cs="华文仿宋"/>
                <w:color w:val="000000"/>
                <w:lang w:bidi="ar"/>
              </w:rPr>
              <w:t>1、超过监测数据80000个：满足的满分，不满足不得分</w:t>
            </w:r>
          </w:p>
        </w:tc>
        <w:tc>
          <w:tcPr>
            <w:tcW w:w="661" w:type="pct"/>
            <w:shd w:val="clear" w:color="auto" w:fill="auto"/>
            <w:noWrap/>
            <w:vAlign w:val="center"/>
          </w:tcPr>
          <w:p>
            <w:pPr>
              <w:jc w:val="center"/>
              <w:textAlignment w:val="center"/>
              <w:rPr>
                <w:rFonts w:ascii="仿宋" w:hAnsi="仿宋" w:eastAsia="仿宋"/>
                <w:color w:val="000000"/>
                <w:sz w:val="22"/>
                <w:lang w:bidi="ar"/>
              </w:rPr>
            </w:pPr>
            <w:r>
              <w:rPr>
                <w:rFonts w:hint="eastAsia" w:ascii="仿宋" w:hAnsi="仿宋" w:eastAsia="仿宋"/>
                <w:color w:val="000000"/>
                <w:sz w:val="22"/>
                <w:lang w:bidi="ar"/>
              </w:rPr>
              <w:t>5</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20" w:hRule="atLeast"/>
        </w:trPr>
        <w:tc>
          <w:tcPr>
            <w:tcW w:w="1690" w:type="pct"/>
            <w:gridSpan w:val="4"/>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lang w:bidi="ar"/>
              </w:rPr>
              <w:t>小计</w:t>
            </w:r>
          </w:p>
        </w:tc>
        <w:tc>
          <w:tcPr>
            <w:tcW w:w="265" w:type="pct"/>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10</w:t>
            </w:r>
          </w:p>
        </w:tc>
        <w:tc>
          <w:tcPr>
            <w:tcW w:w="2384" w:type="pct"/>
            <w:noWrap/>
            <w:vAlign w:val="center"/>
          </w:tcPr>
          <w:p>
            <w:pPr>
              <w:jc w:val="right"/>
              <w:textAlignment w:val="center"/>
              <w:rPr>
                <w:rFonts w:ascii="仿宋" w:hAnsi="仿宋" w:eastAsia="仿宋" w:cs="华文仿宋"/>
                <w:color w:val="000000"/>
              </w:rPr>
            </w:pPr>
          </w:p>
        </w:tc>
        <w:tc>
          <w:tcPr>
            <w:tcW w:w="661" w:type="pct"/>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10</w:t>
            </w:r>
          </w:p>
        </w:tc>
      </w:tr>
    </w:tbl>
    <w:p>
      <w:pPr>
        <w:spacing w:line="594" w:lineRule="exact"/>
        <w:ind w:firstLine="560" w:firstLineChars="200"/>
        <w:outlineLvl w:val="1"/>
        <w:rPr>
          <w:rFonts w:ascii="仿宋" w:hAnsi="仿宋" w:eastAsia="仿宋"/>
          <w:color w:val="000000"/>
          <w:sz w:val="28"/>
          <w:szCs w:val="28"/>
        </w:rPr>
      </w:pPr>
      <w:r>
        <w:rPr>
          <w:rFonts w:hint="eastAsia" w:ascii="仿宋" w:hAnsi="仿宋" w:eastAsia="仿宋"/>
          <w:sz w:val="28"/>
          <w:szCs w:val="28"/>
        </w:rPr>
        <w:t>1.投诉举报办结率</w:t>
      </w:r>
      <w:r>
        <w:rPr>
          <w:rFonts w:hint="eastAsia" w:ascii="仿宋" w:hAnsi="仿宋" w:eastAsia="仿宋"/>
          <w:color w:val="000000"/>
          <w:sz w:val="28"/>
          <w:szCs w:val="28"/>
        </w:rPr>
        <w:t xml:space="preserve">标准分值为5分。根据《重庆市渝中区生态环境委员会关于印发&lt;渝中区2020年生态环境工作要点&gt;的通知》（渝中环委〔2020〕1号）：用好“12369”环保举报热线，完善信访投诉工作机制。 </w:t>
      </w:r>
      <w:r>
        <w:rPr>
          <w:rFonts w:hint="eastAsia" w:ascii="仿宋" w:hAnsi="仿宋" w:eastAsia="仿宋"/>
          <w:bCs/>
          <w:color w:val="000000"/>
          <w:sz w:val="28"/>
          <w:szCs w:val="28"/>
        </w:rPr>
        <w:t>根据查询重庆市12369投诉受理系统，该部门2020年度全年共接办各投诉3934件，办结率100%。符合评价要点，本次绩效评价得分5分。</w:t>
      </w:r>
    </w:p>
    <w:p>
      <w:pPr>
        <w:spacing w:line="360" w:lineRule="auto"/>
        <w:ind w:firstLine="560" w:firstLineChars="200"/>
        <w:outlineLvl w:val="1"/>
        <w:rPr>
          <w:rFonts w:ascii="仿宋" w:hAnsi="仿宋" w:eastAsia="仿宋"/>
          <w:color w:val="000000"/>
          <w:sz w:val="28"/>
          <w:szCs w:val="28"/>
        </w:rPr>
      </w:pPr>
      <w:r>
        <w:rPr>
          <w:rFonts w:hint="eastAsia" w:ascii="仿宋" w:hAnsi="仿宋" w:eastAsia="仿宋"/>
          <w:sz w:val="28"/>
          <w:szCs w:val="28"/>
        </w:rPr>
        <w:t>2.各类生态环境监测数据总个数</w:t>
      </w:r>
      <w:r>
        <w:rPr>
          <w:rFonts w:hint="eastAsia" w:ascii="仿宋" w:hAnsi="仿宋" w:eastAsia="仿宋"/>
          <w:color w:val="000000"/>
          <w:sz w:val="28"/>
          <w:szCs w:val="28"/>
        </w:rPr>
        <w:t>标准分值为5分。根据《重庆市渝中区生态环境委员会关于印发&lt;渝中区2020年生态环境工作要点&gt;的通知》（渝中环委〔2020〕1号）：健全生态环境治理监测执法体系的要求；《重庆市生态环境局关于印发2020年度区县（自治县）污染防治攻坚战和生态优先绿色发展行动计划专项考核实施细则的函》（渝环函〔2020〕570号）：建立健全防范和惩治环境监测数据弄虚作假的工作机制，做好环境质量自动监测地方保障工作的任务</w:t>
      </w:r>
      <w:r>
        <w:rPr>
          <w:rFonts w:ascii="仿宋" w:hAnsi="仿宋" w:eastAsia="仿宋"/>
          <w:color w:val="000000"/>
          <w:sz w:val="28"/>
          <w:szCs w:val="28"/>
        </w:rPr>
        <w:t>。</w:t>
      </w:r>
      <w:r>
        <w:rPr>
          <w:rFonts w:hint="eastAsia" w:ascii="仿宋" w:hAnsi="仿宋" w:eastAsia="仿宋"/>
          <w:color w:val="000000"/>
          <w:sz w:val="28"/>
          <w:szCs w:val="28"/>
        </w:rPr>
        <w:t>根据查询环境监测站数据管理系统、查看《重庆市渝中区生态环境局关于</w:t>
      </w:r>
      <w:r>
        <w:rPr>
          <w:rFonts w:ascii="仿宋" w:hAnsi="仿宋" w:eastAsia="仿宋"/>
          <w:color w:val="000000"/>
          <w:sz w:val="28"/>
          <w:szCs w:val="28"/>
        </w:rPr>
        <w:t>20</w:t>
      </w:r>
      <w:r>
        <w:rPr>
          <w:rFonts w:hint="eastAsia" w:ascii="仿宋" w:hAnsi="仿宋" w:eastAsia="仿宋"/>
          <w:color w:val="000000"/>
          <w:sz w:val="28"/>
          <w:szCs w:val="28"/>
        </w:rPr>
        <w:t>20</w:t>
      </w:r>
      <w:r>
        <w:rPr>
          <w:rFonts w:ascii="仿宋" w:hAnsi="仿宋" w:eastAsia="仿宋"/>
          <w:color w:val="000000"/>
          <w:sz w:val="28"/>
          <w:szCs w:val="28"/>
        </w:rPr>
        <w:t>年环境监测工作情况的报告》，</w:t>
      </w:r>
      <w:r>
        <w:rPr>
          <w:rFonts w:hint="eastAsia" w:ascii="仿宋" w:hAnsi="仿宋" w:eastAsia="仿宋"/>
          <w:color w:val="000000"/>
          <w:sz w:val="28"/>
          <w:szCs w:val="28"/>
        </w:rPr>
        <w:t>该</w:t>
      </w:r>
      <w:r>
        <w:rPr>
          <w:rFonts w:ascii="仿宋" w:hAnsi="仿宋" w:eastAsia="仿宋"/>
          <w:color w:val="000000"/>
          <w:sz w:val="28"/>
          <w:szCs w:val="28"/>
        </w:rPr>
        <w:t>部门</w:t>
      </w:r>
      <w:r>
        <w:rPr>
          <w:rFonts w:hint="eastAsia" w:ascii="仿宋" w:hAnsi="仿宋" w:eastAsia="仿宋"/>
          <w:color w:val="000000"/>
          <w:sz w:val="28"/>
          <w:szCs w:val="28"/>
        </w:rPr>
        <w:t>通过自动监测站、配合市监测中心监测、测点监测的方式，共获取环境质量监测数据4140个；对重点污染源进行监测，共获取污染源监测数据1498个；开展专项监测，共获取尾气监测数据82500个</w:t>
      </w:r>
      <w:r>
        <w:rPr>
          <w:rFonts w:ascii="仿宋" w:hAnsi="仿宋" w:eastAsia="仿宋"/>
          <w:color w:val="000000"/>
          <w:sz w:val="28"/>
          <w:szCs w:val="28"/>
        </w:rPr>
        <w:t>。</w:t>
      </w:r>
      <w:r>
        <w:rPr>
          <w:rFonts w:hint="eastAsia" w:ascii="仿宋" w:hAnsi="仿宋" w:eastAsia="仿宋"/>
          <w:color w:val="000000"/>
          <w:sz w:val="28"/>
          <w:szCs w:val="28"/>
        </w:rPr>
        <w:t>在数据质量管理方面对检测工作人员进行持证上岗考核、工作绩效考核。该部门2020年度获取</w:t>
      </w:r>
      <w:r>
        <w:rPr>
          <w:rFonts w:hint="eastAsia" w:ascii="仿宋" w:hAnsi="仿宋" w:eastAsia="仿宋"/>
          <w:sz w:val="28"/>
          <w:szCs w:val="28"/>
        </w:rPr>
        <w:t>各类生态环境监测数据总个数88138个（＞80000个），</w:t>
      </w:r>
      <w:r>
        <w:rPr>
          <w:rFonts w:hint="eastAsia" w:ascii="仿宋" w:hAnsi="仿宋" w:eastAsia="仿宋"/>
          <w:color w:val="000000"/>
          <w:sz w:val="28"/>
          <w:szCs w:val="28"/>
        </w:rPr>
        <w:t>监测数据全面、客观。本次绩效评价得分5</w:t>
      </w:r>
      <w:r>
        <w:rPr>
          <w:rFonts w:ascii="仿宋" w:hAnsi="仿宋" w:eastAsia="仿宋"/>
          <w:color w:val="000000"/>
          <w:sz w:val="28"/>
          <w:szCs w:val="28"/>
        </w:rPr>
        <w:t>分</w:t>
      </w:r>
      <w:r>
        <w:rPr>
          <w:rFonts w:hint="eastAsia" w:ascii="仿宋" w:hAnsi="仿宋" w:eastAsia="仿宋"/>
          <w:color w:val="000000"/>
          <w:sz w:val="28"/>
          <w:szCs w:val="28"/>
        </w:rPr>
        <w:t>。</w:t>
      </w:r>
    </w:p>
    <w:p>
      <w:pPr>
        <w:autoSpaceDE w:val="0"/>
        <w:autoSpaceDN w:val="0"/>
        <w:adjustRightInd w:val="0"/>
        <w:spacing w:before="156" w:beforeLines="50"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（二</w:t>
      </w:r>
      <w:r>
        <w:rPr>
          <w:rFonts w:hint="eastAsia" w:ascii="仿宋" w:hAnsi="仿宋" w:eastAsia="仿宋"/>
          <w:b/>
          <w:sz w:val="28"/>
          <w:szCs w:val="28"/>
        </w:rPr>
        <w:t>）社会效应情况</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涉及社会效应的指标主要为：</w:t>
      </w:r>
      <w:r>
        <w:rPr>
          <w:rFonts w:hint="eastAsia" w:ascii="仿宋" w:hAnsi="仿宋" w:eastAsia="仿宋"/>
          <w:sz w:val="28"/>
          <w:szCs w:val="28"/>
        </w:rPr>
        <w:t>空气质量优良天数、PM</w:t>
      </w:r>
      <w:r>
        <w:rPr>
          <w:rFonts w:hint="eastAsia" w:ascii="仿宋" w:hAnsi="仿宋" w:eastAsia="仿宋"/>
          <w:sz w:val="28"/>
          <w:szCs w:val="28"/>
          <w:vertAlign w:val="subscript"/>
        </w:rPr>
        <w:t>2.5</w:t>
      </w:r>
      <w:r>
        <w:rPr>
          <w:rFonts w:hint="eastAsia" w:ascii="仿宋" w:hAnsi="仿宋" w:eastAsia="仿宋"/>
          <w:sz w:val="28"/>
          <w:szCs w:val="28"/>
        </w:rPr>
        <w:t>年均浓度下降率、水源地水质达标率、渝中区段地表水水质标准、废物安全处置率、噪声投诉处置效果。</w:t>
      </w:r>
      <w:r>
        <w:rPr>
          <w:rFonts w:hint="eastAsia" w:ascii="仿宋" w:hAnsi="仿宋" w:eastAsia="仿宋"/>
          <w:color w:val="000000"/>
          <w:sz w:val="28"/>
          <w:szCs w:val="28"/>
        </w:rPr>
        <w:t>具体情况如下：</w:t>
      </w:r>
    </w:p>
    <w:tbl>
      <w:tblPr>
        <w:tblStyle w:val="8"/>
        <w:tblW w:w="5000" w:type="pct"/>
        <w:tblInd w:w="0" w:type="dxa"/>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023"/>
        <w:gridCol w:w="485"/>
        <w:gridCol w:w="1087"/>
        <w:gridCol w:w="489"/>
        <w:gridCol w:w="483"/>
        <w:gridCol w:w="4347"/>
        <w:gridCol w:w="1203"/>
      </w:tblGrid>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blHeader/>
        </w:trPr>
        <w:tc>
          <w:tcPr>
            <w:tcW w:w="561"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明细指标</w:t>
            </w:r>
          </w:p>
        </w:tc>
        <w:tc>
          <w:tcPr>
            <w:tcW w:w="266"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指标性质</w:t>
            </w:r>
          </w:p>
        </w:tc>
        <w:tc>
          <w:tcPr>
            <w:tcW w:w="596" w:type="pct"/>
            <w:shd w:val="clear" w:color="auto" w:fill="auto"/>
            <w:noWrap/>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指标值</w:t>
            </w:r>
          </w:p>
        </w:tc>
        <w:tc>
          <w:tcPr>
            <w:tcW w:w="268"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计量单位</w:t>
            </w:r>
          </w:p>
        </w:tc>
        <w:tc>
          <w:tcPr>
            <w:tcW w:w="265"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指标权重</w:t>
            </w:r>
          </w:p>
        </w:tc>
        <w:tc>
          <w:tcPr>
            <w:tcW w:w="2384" w:type="pct"/>
            <w:shd w:val="clear" w:color="auto" w:fill="auto"/>
            <w:vAlign w:val="center"/>
          </w:tcPr>
          <w:p>
            <w:pPr>
              <w:jc w:val="center"/>
              <w:textAlignment w:val="center"/>
              <w:rPr>
                <w:rFonts w:ascii="仿宋" w:hAnsi="仿宋" w:eastAsia="仿宋" w:cs="华文仿宋"/>
                <w:color w:val="000000"/>
                <w:lang w:bidi="ar"/>
              </w:rPr>
            </w:pPr>
            <w:r>
              <w:rPr>
                <w:rFonts w:hint="eastAsia" w:ascii="仿宋" w:hAnsi="仿宋" w:eastAsia="仿宋" w:cs="华文仿宋"/>
                <w:color w:val="000000"/>
                <w:lang w:bidi="ar"/>
              </w:rPr>
              <w:t>评价标准</w:t>
            </w:r>
          </w:p>
        </w:tc>
        <w:tc>
          <w:tcPr>
            <w:tcW w:w="660" w:type="pct"/>
            <w:shd w:val="clear" w:color="auto" w:fill="auto"/>
            <w:noWrap/>
            <w:vAlign w:val="center"/>
          </w:tcPr>
          <w:p>
            <w:pPr>
              <w:textAlignment w:val="center"/>
              <w:rPr>
                <w:rFonts w:ascii="仿宋" w:hAnsi="仿宋" w:eastAsia="仿宋"/>
                <w:color w:val="000000"/>
                <w:sz w:val="22"/>
                <w:lang w:bidi="ar"/>
              </w:rPr>
            </w:pPr>
            <w:r>
              <w:rPr>
                <w:rFonts w:hint="eastAsia" w:ascii="仿宋" w:hAnsi="仿宋" w:eastAsia="仿宋"/>
                <w:color w:val="000000"/>
                <w:sz w:val="22"/>
                <w:lang w:bidi="ar"/>
              </w:rPr>
              <w:t xml:space="preserve">实际得分 </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空气质量优良天数</w:t>
            </w:r>
          </w:p>
        </w:tc>
        <w:tc>
          <w:tcPr>
            <w:tcW w:w="266"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w:t>
            </w:r>
          </w:p>
        </w:tc>
        <w:tc>
          <w:tcPr>
            <w:tcW w:w="596" w:type="pct"/>
            <w:shd w:val="clear" w:color="auto" w:fill="auto"/>
            <w:noWrap/>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≥300</w:t>
            </w:r>
            <w:r>
              <w:rPr>
                <w:rFonts w:ascii="仿宋" w:hAnsi="仿宋" w:eastAsia="仿宋" w:cs="华文仿宋"/>
                <w:color w:val="000000"/>
                <w:sz w:val="20"/>
                <w:szCs w:val="20"/>
              </w:rPr>
              <w:t xml:space="preserve"> </w:t>
            </w:r>
          </w:p>
        </w:tc>
        <w:tc>
          <w:tcPr>
            <w:tcW w:w="268"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天</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5</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1、全年实现优良天数大于300天：</w:t>
            </w:r>
            <w:r>
              <w:rPr>
                <w:rFonts w:hint="eastAsia" w:ascii="仿宋" w:hAnsi="仿宋" w:eastAsia="仿宋" w:cs="华文仿宋"/>
                <w:color w:val="000000"/>
                <w:sz w:val="20"/>
                <w:szCs w:val="20"/>
                <w:lang w:bidi="ar"/>
              </w:rPr>
              <w:t>4</w:t>
            </w:r>
            <w:r>
              <w:rPr>
                <w:rFonts w:ascii="仿宋" w:hAnsi="仿宋" w:eastAsia="仿宋" w:cs="华文仿宋"/>
                <w:color w:val="000000"/>
                <w:sz w:val="20"/>
                <w:szCs w:val="20"/>
                <w:lang w:bidi="ar"/>
              </w:rPr>
              <w:t>分</w:t>
            </w:r>
            <w:r>
              <w:rPr>
                <w:rFonts w:ascii="仿宋" w:hAnsi="仿宋" w:eastAsia="仿宋" w:cs="华文仿宋"/>
                <w:color w:val="000000"/>
                <w:sz w:val="20"/>
                <w:szCs w:val="20"/>
                <w:lang w:bidi="ar"/>
              </w:rPr>
              <w:br w:type="textWrapping"/>
            </w:r>
            <w:r>
              <w:rPr>
                <w:rFonts w:ascii="仿宋" w:hAnsi="仿宋" w:eastAsia="仿宋" w:cs="华文仿宋"/>
                <w:color w:val="000000"/>
                <w:sz w:val="20"/>
                <w:szCs w:val="20"/>
                <w:lang w:bidi="ar"/>
              </w:rPr>
              <w:t>2、今年实现优良天数与去年持平：1分</w:t>
            </w:r>
            <w:r>
              <w:rPr>
                <w:rFonts w:ascii="仿宋" w:hAnsi="仿宋" w:eastAsia="仿宋" w:cs="华文仿宋"/>
                <w:color w:val="000000"/>
                <w:sz w:val="20"/>
                <w:szCs w:val="20"/>
                <w:lang w:bidi="ar"/>
              </w:rPr>
              <w:br w:type="textWrapping"/>
            </w:r>
            <w:r>
              <w:rPr>
                <w:rFonts w:ascii="仿宋" w:hAnsi="仿宋" w:eastAsia="仿宋" w:cs="华文仿宋"/>
                <w:color w:val="000000"/>
                <w:sz w:val="20"/>
                <w:szCs w:val="20"/>
                <w:lang w:bidi="ar"/>
              </w:rPr>
              <w:t xml:space="preserve">符合得满分，未符合一项扣对应分值     </w:t>
            </w:r>
            <w:r>
              <w:rPr>
                <w:rStyle w:val="22"/>
                <w:rFonts w:hint="default" w:ascii="仿宋" w:hAnsi="仿宋" w:eastAsia="仿宋"/>
                <w:lang w:bidi="ar"/>
              </w:rPr>
              <w:t xml:space="preserve">                                                                                                                                                                                                                                                                                                                                                                                                   </w:t>
            </w:r>
          </w:p>
        </w:tc>
        <w:tc>
          <w:tcPr>
            <w:tcW w:w="660"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5</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PM2.5年均浓度下降率</w:t>
            </w:r>
          </w:p>
        </w:tc>
        <w:tc>
          <w:tcPr>
            <w:tcW w:w="266"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w:t>
            </w:r>
          </w:p>
        </w:tc>
        <w:tc>
          <w:tcPr>
            <w:tcW w:w="596" w:type="pct"/>
            <w:shd w:val="clear" w:color="auto" w:fill="auto"/>
            <w:noWrap/>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≥15</w:t>
            </w:r>
          </w:p>
        </w:tc>
        <w:tc>
          <w:tcPr>
            <w:tcW w:w="268"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5</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1、空气中PM2.5年均浓度稳定达到国家二级标准，PM2.5年均浓度同比降低15.00%以上。</w:t>
            </w:r>
            <w:r>
              <w:rPr>
                <w:rFonts w:ascii="仿宋" w:hAnsi="仿宋" w:eastAsia="仿宋" w:cs="华文仿宋"/>
                <w:color w:val="000000"/>
                <w:sz w:val="20"/>
                <w:szCs w:val="20"/>
                <w:lang w:bidi="ar"/>
              </w:rPr>
              <w:br w:type="textWrapping"/>
            </w:r>
            <w:r>
              <w:rPr>
                <w:rFonts w:ascii="仿宋" w:hAnsi="仿宋" w:eastAsia="仿宋" w:cs="华文仿宋"/>
                <w:color w:val="000000"/>
                <w:sz w:val="20"/>
                <w:szCs w:val="20"/>
                <w:lang w:bidi="ar"/>
              </w:rPr>
              <w:t>达到目标得满分，未完成不得分。</w:t>
            </w:r>
          </w:p>
        </w:tc>
        <w:tc>
          <w:tcPr>
            <w:tcW w:w="660"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5</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水源地水质达标率</w:t>
            </w:r>
          </w:p>
        </w:tc>
        <w:tc>
          <w:tcPr>
            <w:tcW w:w="266"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w:t>
            </w:r>
          </w:p>
        </w:tc>
        <w:tc>
          <w:tcPr>
            <w:tcW w:w="596" w:type="pct"/>
            <w:shd w:val="clear" w:color="auto" w:fill="auto"/>
            <w:noWrap/>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100</w:t>
            </w:r>
          </w:p>
        </w:tc>
        <w:tc>
          <w:tcPr>
            <w:tcW w:w="268"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w:t>
            </w:r>
          </w:p>
        </w:tc>
        <w:tc>
          <w:tcPr>
            <w:tcW w:w="265"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6</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1、集中式饮用水水源地水质达标率100%：满分</w:t>
            </w:r>
            <w:r>
              <w:rPr>
                <w:rFonts w:hint="eastAsia" w:ascii="仿宋" w:hAnsi="仿宋" w:eastAsia="仿宋" w:cs="华文仿宋"/>
                <w:color w:val="000000"/>
                <w:sz w:val="20"/>
                <w:szCs w:val="20"/>
                <w:lang w:bidi="ar"/>
              </w:rPr>
              <w:t>3</w:t>
            </w:r>
            <w:r>
              <w:rPr>
                <w:rFonts w:ascii="仿宋" w:hAnsi="仿宋" w:eastAsia="仿宋" w:cs="华文仿宋"/>
                <w:color w:val="000000"/>
                <w:sz w:val="20"/>
                <w:szCs w:val="20"/>
                <w:lang w:bidi="ar"/>
              </w:rPr>
              <w:t>分，未完成不得分。</w:t>
            </w:r>
            <w:r>
              <w:rPr>
                <w:rFonts w:ascii="仿宋" w:hAnsi="仿宋" w:eastAsia="仿宋" w:cs="华文仿宋"/>
                <w:color w:val="000000"/>
                <w:sz w:val="20"/>
                <w:szCs w:val="20"/>
                <w:lang w:bidi="ar"/>
              </w:rPr>
              <w:br w:type="textWrapping"/>
            </w:r>
            <w:r>
              <w:rPr>
                <w:rFonts w:ascii="仿宋" w:hAnsi="仿宋" w:eastAsia="仿宋" w:cs="华文仿宋"/>
                <w:color w:val="000000"/>
                <w:sz w:val="20"/>
                <w:szCs w:val="20"/>
                <w:lang w:bidi="ar"/>
              </w:rPr>
              <w:t>2、①船舶全部搬迁：满分1分，未搬迁完按比例得分；②隔离设施修建全覆盖：满分1分，存在未覆盖点或者设施闲置未使用不得分。                                                                                    3、①通过询问工作人员、查询相关工作人员考勤资料考察执法办公室工作人员是否达到全天候巡查：满分1分，未搬迁完按比例得分。</w:t>
            </w:r>
          </w:p>
        </w:tc>
        <w:tc>
          <w:tcPr>
            <w:tcW w:w="660"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6</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渝中区段地表水水质标准</w:t>
            </w:r>
          </w:p>
        </w:tc>
        <w:tc>
          <w:tcPr>
            <w:tcW w:w="266"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无</w:t>
            </w:r>
          </w:p>
        </w:tc>
        <w:tc>
          <w:tcPr>
            <w:tcW w:w="596" w:type="pct"/>
            <w:shd w:val="clear" w:color="auto" w:fill="auto"/>
            <w:noWrap/>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达标</w:t>
            </w:r>
          </w:p>
        </w:tc>
        <w:tc>
          <w:tcPr>
            <w:tcW w:w="268"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标准</w:t>
            </w:r>
          </w:p>
        </w:tc>
        <w:tc>
          <w:tcPr>
            <w:tcW w:w="265"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2</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1、渝中区段地表水水质总体达到质达标率，</w:t>
            </w:r>
            <w:r>
              <w:rPr>
                <w:rFonts w:hint="eastAsia" w:ascii="仿宋" w:hAnsi="仿宋" w:eastAsia="仿宋" w:cs="华文仿宋"/>
                <w:color w:val="000000"/>
                <w:sz w:val="20"/>
                <w:szCs w:val="20"/>
                <w:lang w:bidi="ar"/>
              </w:rPr>
              <w:t>达标标准</w:t>
            </w:r>
            <w:r>
              <w:rPr>
                <w:rFonts w:ascii="仿宋" w:hAnsi="仿宋" w:eastAsia="仿宋" w:cs="华文仿宋"/>
                <w:color w:val="000000"/>
                <w:sz w:val="20"/>
                <w:szCs w:val="20"/>
                <w:lang w:bidi="ar"/>
              </w:rPr>
              <w:t>稳定达到或优于III类标准：2分。</w:t>
            </w:r>
            <w:r>
              <w:rPr>
                <w:rFonts w:ascii="仿宋" w:hAnsi="仿宋" w:eastAsia="仿宋" w:cs="华文仿宋"/>
                <w:color w:val="000000"/>
                <w:sz w:val="20"/>
                <w:szCs w:val="20"/>
                <w:lang w:bidi="ar"/>
              </w:rPr>
              <w:br w:type="textWrapping"/>
            </w:r>
            <w:r>
              <w:rPr>
                <w:rFonts w:ascii="仿宋" w:hAnsi="仿宋" w:eastAsia="仿宋" w:cs="华文仿宋"/>
                <w:color w:val="000000"/>
                <w:sz w:val="20"/>
                <w:szCs w:val="20"/>
                <w:lang w:bidi="ar"/>
              </w:rPr>
              <w:t>达到目标得满分，未完成不得分。</w:t>
            </w:r>
          </w:p>
        </w:tc>
        <w:tc>
          <w:tcPr>
            <w:tcW w:w="660"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2</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废物安全处置率</w:t>
            </w:r>
          </w:p>
        </w:tc>
        <w:tc>
          <w:tcPr>
            <w:tcW w:w="266"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w:t>
            </w:r>
          </w:p>
        </w:tc>
        <w:tc>
          <w:tcPr>
            <w:tcW w:w="596" w:type="pct"/>
            <w:shd w:val="clear" w:color="auto" w:fill="auto"/>
            <w:noWrap/>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100</w:t>
            </w:r>
          </w:p>
        </w:tc>
        <w:tc>
          <w:tcPr>
            <w:tcW w:w="268"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6</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 xml:space="preserve">1、辖区危险废物、医疗废物处置办结率100%：满分3分，未完成不得分。                                                                                                                            2、辖区危险废物、医疗废物联单量≥9000：满分3分，未完成不得分。                                                                                                                                                                                                                                                                                                                                                                   </w:t>
            </w:r>
            <w:r>
              <w:rPr>
                <w:rFonts w:ascii="仿宋" w:hAnsi="仿宋" w:eastAsia="仿宋" w:cs="华文仿宋"/>
                <w:color w:val="000000"/>
                <w:sz w:val="20"/>
                <w:szCs w:val="20"/>
                <w:lang w:bidi="ar"/>
              </w:rPr>
              <w:br w:type="textWrapping"/>
            </w:r>
            <w:r>
              <w:rPr>
                <w:rFonts w:ascii="仿宋" w:hAnsi="仿宋" w:eastAsia="仿宋" w:cs="华文仿宋"/>
                <w:color w:val="000000"/>
                <w:sz w:val="20"/>
                <w:szCs w:val="20"/>
                <w:lang w:bidi="ar"/>
              </w:rPr>
              <w:t xml:space="preserve">                                                                                                                                                                                                                                                                                                                                                                                       </w:t>
            </w:r>
          </w:p>
        </w:tc>
        <w:tc>
          <w:tcPr>
            <w:tcW w:w="660"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6</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sz w:val="20"/>
                <w:szCs w:val="20"/>
              </w:rPr>
            </w:pPr>
            <w:r>
              <w:rPr>
                <w:rStyle w:val="21"/>
                <w:rFonts w:hint="eastAsia" w:ascii="仿宋" w:hAnsi="仿宋" w:eastAsia="仿宋"/>
                <w:lang w:bidi="ar"/>
              </w:rPr>
              <w:t>声环境质量</w:t>
            </w:r>
          </w:p>
        </w:tc>
        <w:tc>
          <w:tcPr>
            <w:tcW w:w="266"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无</w:t>
            </w:r>
          </w:p>
        </w:tc>
        <w:tc>
          <w:tcPr>
            <w:tcW w:w="596" w:type="pct"/>
            <w:shd w:val="clear" w:color="auto" w:fill="auto"/>
            <w:noWrap/>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达标</w:t>
            </w:r>
          </w:p>
        </w:tc>
        <w:tc>
          <w:tcPr>
            <w:tcW w:w="268"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标准</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6</w:t>
            </w:r>
          </w:p>
        </w:tc>
        <w:tc>
          <w:tcPr>
            <w:tcW w:w="2384" w:type="pct"/>
            <w:shd w:val="clear" w:color="auto" w:fill="auto"/>
            <w:vAlign w:val="center"/>
          </w:tcPr>
          <w:p>
            <w:pPr>
              <w:widowControl/>
              <w:numPr>
                <w:ilvl w:val="0"/>
                <w:numId w:val="2"/>
              </w:numPr>
              <w:jc w:val="left"/>
              <w:textAlignment w:val="center"/>
              <w:rPr>
                <w:rFonts w:ascii="仿宋" w:hAnsi="仿宋" w:eastAsia="仿宋" w:cs="华文仿宋"/>
                <w:color w:val="000000"/>
                <w:sz w:val="20"/>
                <w:szCs w:val="20"/>
                <w:lang w:bidi="ar"/>
              </w:rPr>
            </w:pPr>
            <w:r>
              <w:rPr>
                <w:rFonts w:ascii="仿宋" w:hAnsi="仿宋" w:eastAsia="仿宋" w:cs="华文仿宋"/>
                <w:color w:val="000000"/>
                <w:sz w:val="20"/>
                <w:szCs w:val="20"/>
                <w:lang w:bidi="ar"/>
              </w:rPr>
              <w:t>雾都宾馆空调外机排放噪声扰民整改。①是否及时整改；②是否有达标。根据询问工作人员和查询工作资料计分：满分2分，未完成不得分</w:t>
            </w:r>
          </w:p>
          <w:p>
            <w:pP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 xml:space="preserve">2、新建1个市级安静居住小区：成功新建得满分2分，未完成不得分。                                                                              </w:t>
            </w:r>
            <w:r>
              <w:rPr>
                <w:rFonts w:ascii="仿宋" w:hAnsi="仿宋" w:eastAsia="仿宋" w:cs="华文仿宋"/>
                <w:color w:val="000000"/>
                <w:sz w:val="20"/>
                <w:szCs w:val="20"/>
                <w:lang w:bidi="ar"/>
              </w:rPr>
              <w:br w:type="textWrapping"/>
            </w:r>
            <w:r>
              <w:rPr>
                <w:rFonts w:ascii="仿宋" w:hAnsi="仿宋" w:eastAsia="仿宋" w:cs="华文仿宋"/>
                <w:color w:val="000000"/>
                <w:sz w:val="20"/>
                <w:szCs w:val="20"/>
                <w:lang w:bidi="ar"/>
              </w:rPr>
              <w:t xml:space="preserve">3、全年噪声投诉处置率=100% :满分2分，未达成按比例得分                                                                                      </w:t>
            </w:r>
          </w:p>
        </w:tc>
        <w:tc>
          <w:tcPr>
            <w:tcW w:w="660"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6</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空气质量优良天数</w:t>
            </w:r>
          </w:p>
        </w:tc>
        <w:tc>
          <w:tcPr>
            <w:tcW w:w="266"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w:t>
            </w:r>
          </w:p>
        </w:tc>
        <w:tc>
          <w:tcPr>
            <w:tcW w:w="596" w:type="pct"/>
            <w:shd w:val="clear" w:color="auto" w:fill="auto"/>
            <w:noWrap/>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≥300</w:t>
            </w:r>
            <w:r>
              <w:rPr>
                <w:rFonts w:ascii="仿宋" w:hAnsi="仿宋" w:eastAsia="仿宋" w:cs="华文仿宋"/>
                <w:color w:val="000000"/>
                <w:sz w:val="20"/>
                <w:szCs w:val="20"/>
              </w:rPr>
              <w:t xml:space="preserve"> </w:t>
            </w:r>
          </w:p>
        </w:tc>
        <w:tc>
          <w:tcPr>
            <w:tcW w:w="268"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天</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5</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1、全年实现优良天数大于300天：</w:t>
            </w:r>
            <w:r>
              <w:rPr>
                <w:rFonts w:hint="eastAsia" w:ascii="仿宋" w:hAnsi="仿宋" w:eastAsia="仿宋" w:cs="华文仿宋"/>
                <w:color w:val="000000"/>
                <w:sz w:val="20"/>
                <w:szCs w:val="20"/>
                <w:lang w:bidi="ar"/>
              </w:rPr>
              <w:t>4</w:t>
            </w:r>
            <w:r>
              <w:rPr>
                <w:rFonts w:ascii="仿宋" w:hAnsi="仿宋" w:eastAsia="仿宋" w:cs="华文仿宋"/>
                <w:color w:val="000000"/>
                <w:sz w:val="20"/>
                <w:szCs w:val="20"/>
                <w:lang w:bidi="ar"/>
              </w:rPr>
              <w:t>分</w:t>
            </w:r>
            <w:r>
              <w:rPr>
                <w:rFonts w:ascii="仿宋" w:hAnsi="仿宋" w:eastAsia="仿宋" w:cs="华文仿宋"/>
                <w:color w:val="000000"/>
                <w:sz w:val="20"/>
                <w:szCs w:val="20"/>
                <w:lang w:bidi="ar"/>
              </w:rPr>
              <w:br w:type="textWrapping"/>
            </w:r>
            <w:r>
              <w:rPr>
                <w:rFonts w:ascii="仿宋" w:hAnsi="仿宋" w:eastAsia="仿宋" w:cs="华文仿宋"/>
                <w:color w:val="000000"/>
                <w:sz w:val="20"/>
                <w:szCs w:val="20"/>
                <w:lang w:bidi="ar"/>
              </w:rPr>
              <w:t>2、今年实现优良天数与去年持平：1分</w:t>
            </w:r>
            <w:r>
              <w:rPr>
                <w:rFonts w:ascii="仿宋" w:hAnsi="仿宋" w:eastAsia="仿宋" w:cs="华文仿宋"/>
                <w:color w:val="000000"/>
                <w:sz w:val="20"/>
                <w:szCs w:val="20"/>
                <w:lang w:bidi="ar"/>
              </w:rPr>
              <w:br w:type="textWrapping"/>
            </w:r>
            <w:r>
              <w:rPr>
                <w:rFonts w:ascii="仿宋" w:hAnsi="仿宋" w:eastAsia="仿宋" w:cs="华文仿宋"/>
                <w:color w:val="000000"/>
                <w:sz w:val="20"/>
                <w:szCs w:val="20"/>
                <w:lang w:bidi="ar"/>
              </w:rPr>
              <w:t xml:space="preserve">符合得满分，未符合一项扣对应分值     </w:t>
            </w:r>
            <w:r>
              <w:rPr>
                <w:rStyle w:val="22"/>
                <w:rFonts w:hint="default" w:ascii="仿宋" w:hAnsi="仿宋" w:eastAsia="仿宋"/>
                <w:lang w:bidi="ar"/>
              </w:rPr>
              <w:t xml:space="preserve">                                                                                                                                                                                                                                                                                                                                                                                                   </w:t>
            </w:r>
          </w:p>
        </w:tc>
        <w:tc>
          <w:tcPr>
            <w:tcW w:w="660"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5</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20" w:hRule="atLeast"/>
        </w:trPr>
        <w:tc>
          <w:tcPr>
            <w:tcW w:w="1691" w:type="pct"/>
            <w:gridSpan w:val="4"/>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lang w:bidi="ar"/>
              </w:rPr>
              <w:t>小计</w:t>
            </w:r>
          </w:p>
        </w:tc>
        <w:tc>
          <w:tcPr>
            <w:tcW w:w="265" w:type="pct"/>
            <w:noWrap/>
            <w:vAlign w:val="center"/>
          </w:tcPr>
          <w:p>
            <w:pPr>
              <w:jc w:val="center"/>
              <w:textAlignment w:val="center"/>
              <w:rPr>
                <w:rFonts w:ascii="仿宋" w:hAnsi="仿宋" w:eastAsia="仿宋" w:cs="华文仿宋"/>
                <w:color w:val="000000"/>
              </w:rPr>
            </w:pPr>
            <w:r>
              <w:rPr>
                <w:rFonts w:hint="eastAsia" w:ascii="仿宋" w:hAnsi="仿宋" w:eastAsia="仿宋" w:cs="华文仿宋"/>
                <w:color w:val="000000"/>
                <w:lang w:bidi="ar"/>
              </w:rPr>
              <w:t>3</w:t>
            </w:r>
            <w:r>
              <w:rPr>
                <w:rFonts w:ascii="仿宋" w:hAnsi="仿宋" w:eastAsia="仿宋" w:cs="华文仿宋"/>
                <w:color w:val="000000"/>
                <w:lang w:bidi="ar"/>
              </w:rPr>
              <w:t>0</w:t>
            </w:r>
          </w:p>
        </w:tc>
        <w:tc>
          <w:tcPr>
            <w:tcW w:w="2384" w:type="pct"/>
            <w:noWrap/>
            <w:vAlign w:val="center"/>
          </w:tcPr>
          <w:p>
            <w:pPr>
              <w:jc w:val="right"/>
              <w:textAlignment w:val="center"/>
              <w:rPr>
                <w:rFonts w:ascii="仿宋" w:hAnsi="仿宋" w:eastAsia="仿宋" w:cs="华文仿宋"/>
                <w:color w:val="000000"/>
              </w:rPr>
            </w:pPr>
          </w:p>
        </w:tc>
        <w:tc>
          <w:tcPr>
            <w:tcW w:w="660" w:type="pct"/>
            <w:noWrap/>
            <w:vAlign w:val="center"/>
          </w:tcPr>
          <w:p>
            <w:pPr>
              <w:jc w:val="center"/>
              <w:textAlignment w:val="center"/>
              <w:rPr>
                <w:rFonts w:ascii="仿宋" w:hAnsi="仿宋" w:eastAsia="仿宋" w:cs="华文仿宋"/>
                <w:color w:val="000000"/>
              </w:rPr>
            </w:pPr>
            <w:r>
              <w:rPr>
                <w:rFonts w:hint="eastAsia" w:ascii="仿宋" w:hAnsi="仿宋" w:eastAsia="仿宋" w:cs="华文仿宋"/>
                <w:color w:val="000000"/>
                <w:lang w:bidi="ar"/>
              </w:rPr>
              <w:t>3</w:t>
            </w:r>
            <w:r>
              <w:rPr>
                <w:rFonts w:ascii="仿宋" w:hAnsi="仿宋" w:eastAsia="仿宋" w:cs="华文仿宋"/>
                <w:color w:val="000000"/>
                <w:lang w:bidi="ar"/>
              </w:rPr>
              <w:t>0</w:t>
            </w:r>
          </w:p>
        </w:tc>
      </w:tr>
    </w:tbl>
    <w:p>
      <w:pPr>
        <w:tabs>
          <w:tab w:val="left" w:pos="312"/>
        </w:tabs>
        <w:spacing w:line="594" w:lineRule="exact"/>
        <w:ind w:firstLine="560" w:firstLineChars="200"/>
        <w:outlineLvl w:val="1"/>
        <w:rPr>
          <w:rFonts w:ascii="仿宋" w:hAnsi="仿宋" w:eastAsia="仿宋"/>
          <w:color w:val="000000"/>
          <w:sz w:val="28"/>
          <w:szCs w:val="28"/>
        </w:rPr>
      </w:pPr>
      <w:r>
        <w:rPr>
          <w:rFonts w:hint="eastAsia" w:ascii="仿宋" w:hAnsi="仿宋" w:eastAsia="仿宋"/>
          <w:bCs/>
          <w:color w:val="000000"/>
          <w:sz w:val="28"/>
          <w:szCs w:val="28"/>
        </w:rPr>
        <w:t>1.空气质量优良天数</w:t>
      </w:r>
      <w:r>
        <w:rPr>
          <w:rFonts w:hint="eastAsia" w:ascii="仿宋" w:hAnsi="仿宋" w:eastAsia="仿宋"/>
          <w:color w:val="000000"/>
          <w:sz w:val="28"/>
          <w:szCs w:val="28"/>
        </w:rPr>
        <w:t>标准分值为5分。根据《重庆市渝中区生态环境委员会关于印发&lt;渝中区2020年生态环境工作要点&gt;的通知》（渝中环委〔2020〕1号），以及重庆市考核工作领导小组办公室关于印发《2020年度区县（自治县）考核指标体系》的通知（渝考办〔2020〕2号），渝中区2020年度空气质量优良天数达到300天以上的主要目标。</w:t>
      </w:r>
      <w:r>
        <w:rPr>
          <w:rFonts w:hint="eastAsia" w:ascii="仿宋" w:hAnsi="仿宋" w:eastAsia="仿宋"/>
          <w:sz w:val="28"/>
          <w:szCs w:val="28"/>
        </w:rPr>
        <w:t>根据重庆市生态环境检测中心编报“主城区空气质量日报”，该部门2020年度优良天数315天，与去年持平。该指标达到目标，本次绩效评价得分5</w:t>
      </w:r>
      <w:r>
        <w:rPr>
          <w:rFonts w:ascii="仿宋" w:hAnsi="仿宋" w:eastAsia="仿宋"/>
          <w:sz w:val="28"/>
          <w:szCs w:val="28"/>
        </w:rPr>
        <w:t>分</w:t>
      </w:r>
      <w:r>
        <w:rPr>
          <w:rFonts w:hint="eastAsia" w:ascii="仿宋" w:hAnsi="仿宋" w:eastAsia="仿宋"/>
          <w:sz w:val="28"/>
          <w:szCs w:val="28"/>
        </w:rPr>
        <w:t>。</w:t>
      </w:r>
    </w:p>
    <w:p>
      <w:pPr>
        <w:spacing w:line="360" w:lineRule="auto"/>
        <w:ind w:firstLine="560" w:firstLineChars="200"/>
        <w:outlineLvl w:val="1"/>
        <w:rPr>
          <w:rFonts w:ascii="仿宋" w:hAnsi="仿宋" w:eastAsia="仿宋"/>
          <w:color w:val="000000"/>
          <w:sz w:val="28"/>
          <w:szCs w:val="28"/>
        </w:rPr>
      </w:pPr>
      <w:r>
        <w:rPr>
          <w:rFonts w:hint="eastAsia" w:ascii="仿宋" w:hAnsi="仿宋" w:eastAsia="仿宋"/>
          <w:bCs/>
          <w:color w:val="000000"/>
          <w:sz w:val="28"/>
          <w:szCs w:val="28"/>
        </w:rPr>
        <w:t>2.PM</w:t>
      </w:r>
      <w:r>
        <w:rPr>
          <w:rFonts w:hint="eastAsia" w:ascii="仿宋" w:hAnsi="仿宋" w:eastAsia="仿宋"/>
          <w:bCs/>
          <w:color w:val="000000"/>
          <w:sz w:val="28"/>
          <w:szCs w:val="28"/>
          <w:vertAlign w:val="subscript"/>
        </w:rPr>
        <w:t>2.5</w:t>
      </w:r>
      <w:r>
        <w:rPr>
          <w:rFonts w:hint="eastAsia" w:ascii="仿宋" w:hAnsi="仿宋" w:eastAsia="仿宋"/>
          <w:bCs/>
          <w:color w:val="000000"/>
          <w:sz w:val="28"/>
          <w:szCs w:val="28"/>
        </w:rPr>
        <w:t>年均浓度下降率</w:t>
      </w:r>
      <w:r>
        <w:rPr>
          <w:rFonts w:hint="eastAsia" w:ascii="仿宋" w:hAnsi="仿宋" w:eastAsia="仿宋"/>
          <w:color w:val="000000"/>
          <w:sz w:val="28"/>
          <w:szCs w:val="28"/>
        </w:rPr>
        <w:t>标准分值为5分。根据《重庆市渝中区生态环境委员会关于印发&lt;渝中区2020年生态环境工作要点&gt;的通知》（渝中环委〔2020〕1号），以及重庆市考核工作领导小组办公室关于印发《2020年度区县（自治县）考核指标体系》的通知（渝考办〔2020〕2号），渝中区2020年度空气中PM</w:t>
      </w:r>
      <w:r>
        <w:rPr>
          <w:rFonts w:hint="eastAsia" w:ascii="仿宋" w:hAnsi="仿宋" w:eastAsia="仿宋"/>
          <w:color w:val="000000"/>
          <w:sz w:val="28"/>
          <w:szCs w:val="28"/>
          <w:vertAlign w:val="subscript"/>
        </w:rPr>
        <w:t>2.5</w:t>
      </w:r>
      <w:r>
        <w:rPr>
          <w:rFonts w:hint="eastAsia" w:ascii="仿宋" w:hAnsi="仿宋" w:eastAsia="仿宋"/>
          <w:color w:val="000000"/>
          <w:sz w:val="28"/>
          <w:szCs w:val="28"/>
        </w:rPr>
        <w:t>年均浓度巩固改善的主要目标。</w:t>
      </w:r>
      <w:r>
        <w:rPr>
          <w:rFonts w:hint="eastAsia" w:ascii="仿宋" w:hAnsi="仿宋" w:eastAsia="仿宋"/>
          <w:sz w:val="28"/>
          <w:szCs w:val="28"/>
        </w:rPr>
        <w:t>根据重庆市生态环境检测中心编报“主城区空气质量日报”，该部门2020年度PM2.5为30</w:t>
      </w:r>
      <w:r>
        <w:rPr>
          <w:rFonts w:hint="eastAsia" w:ascii="MS Mincho" w:hAnsi="MS Mincho" w:eastAsia="MS Mincho" w:cs="MS Mincho"/>
          <w:sz w:val="28"/>
          <w:szCs w:val="28"/>
        </w:rPr>
        <w:t>㎍</w:t>
      </w:r>
      <w:r>
        <w:rPr>
          <w:rFonts w:hint="eastAsia" w:ascii="仿宋" w:hAnsi="仿宋" w:eastAsia="仿宋"/>
          <w:sz w:val="28"/>
          <w:szCs w:val="28"/>
        </w:rPr>
        <w:t>/</w:t>
      </w:r>
      <w:r>
        <w:rPr>
          <w:rFonts w:ascii="Segoe UI Symbol" w:hAnsi="Segoe UI Symbol" w:eastAsia="仿宋" w:cs="Segoe UI Symbol"/>
          <w:sz w:val="28"/>
          <w:szCs w:val="28"/>
        </w:rPr>
        <w:t>㎥</w:t>
      </w:r>
      <w:r>
        <w:rPr>
          <w:rFonts w:hint="eastAsia" w:ascii="仿宋" w:hAnsi="仿宋" w:eastAsia="仿宋" w:cs="仿宋"/>
          <w:sz w:val="28"/>
          <w:szCs w:val="28"/>
        </w:rPr>
        <w:t>，较去年下降</w:t>
      </w:r>
      <w:r>
        <w:rPr>
          <w:rFonts w:hint="eastAsia" w:ascii="仿宋" w:hAnsi="仿宋" w:eastAsia="仿宋"/>
          <w:sz w:val="28"/>
          <w:szCs w:val="28"/>
        </w:rPr>
        <w:t>16.7%。该指标达到目标，本次绩效评价得分5</w:t>
      </w:r>
      <w:r>
        <w:rPr>
          <w:rFonts w:ascii="仿宋" w:hAnsi="仿宋" w:eastAsia="仿宋"/>
          <w:sz w:val="28"/>
          <w:szCs w:val="28"/>
        </w:rPr>
        <w:t>分</w:t>
      </w:r>
      <w:r>
        <w:rPr>
          <w:rFonts w:hint="eastAsia" w:ascii="仿宋" w:hAnsi="仿宋" w:eastAsia="仿宋"/>
          <w:sz w:val="28"/>
          <w:szCs w:val="28"/>
        </w:rPr>
        <w:t>。</w:t>
      </w:r>
    </w:p>
    <w:p>
      <w:pPr>
        <w:spacing w:line="360" w:lineRule="auto"/>
        <w:ind w:firstLine="560" w:firstLineChars="200"/>
        <w:outlineLvl w:val="1"/>
        <w:rPr>
          <w:rFonts w:ascii="仿宋" w:hAnsi="仿宋" w:eastAsia="仿宋"/>
          <w:color w:val="000000"/>
          <w:sz w:val="28"/>
          <w:szCs w:val="28"/>
        </w:rPr>
      </w:pPr>
      <w:r>
        <w:rPr>
          <w:rFonts w:hint="eastAsia" w:ascii="仿宋" w:hAnsi="仿宋" w:eastAsia="仿宋"/>
          <w:bCs/>
          <w:sz w:val="28"/>
          <w:szCs w:val="28"/>
        </w:rPr>
        <w:t>3.水源地水质达标率</w:t>
      </w:r>
      <w:r>
        <w:rPr>
          <w:rFonts w:hint="eastAsia" w:ascii="仿宋" w:hAnsi="仿宋" w:eastAsia="仿宋"/>
          <w:sz w:val="28"/>
          <w:szCs w:val="28"/>
        </w:rPr>
        <w:t>标准分值为6分。</w:t>
      </w:r>
      <w:r>
        <w:rPr>
          <w:rFonts w:hint="eastAsia" w:ascii="仿宋" w:hAnsi="仿宋" w:eastAsia="仿宋"/>
          <w:color w:val="000000"/>
          <w:sz w:val="28"/>
          <w:szCs w:val="28"/>
        </w:rPr>
        <w:t>根据《重庆市渝中区生态环境委员会关于印发&lt;渝中区2020年生态环境工作要点&gt;的通知》（渝中环委〔2020〕1号），渝中区2020年度饮用水水源地水质达标率保持100%的主要目标。根据重庆市渝中区人民政府关于报送《水污染</w:t>
      </w:r>
      <w:r>
        <w:rPr>
          <w:rFonts w:hint="eastAsia" w:ascii="仿宋" w:hAnsi="仿宋" w:eastAsia="仿宋"/>
          <w:color w:val="000000"/>
          <w:sz w:val="28"/>
          <w:szCs w:val="28"/>
          <w:lang w:val="en-US" w:eastAsia="zh-CN"/>
        </w:rPr>
        <w:t>防治</w:t>
      </w:r>
      <w:r>
        <w:rPr>
          <w:rFonts w:hint="eastAsia" w:ascii="仿宋" w:hAnsi="仿宋" w:eastAsia="仿宋"/>
          <w:color w:val="000000"/>
          <w:sz w:val="28"/>
          <w:szCs w:val="28"/>
        </w:rPr>
        <w:t>行动计划》“十三五”工作总结及2021年重点工作计划的函，大溪沟饮用水水源地水质达标率稳定保持100%，该部门2020年度集中式饮用水水源地水质达标率100%。水源地保护方面：船舶清零（5艘）；修建隔离设施包括设置标志、警示、宣传牌共21块，监控2处、一级保护区隔离防护1100米，实现全面隔离。建立“河长+警长”管理模式，对水源地环境安全进行保障，相关工作人员每天巡查劝导，达到全天候巡查，工作情况每天拍照并在微信工作群进行汇报。该指标达到目标，本次绩效评价得分6</w:t>
      </w:r>
      <w:r>
        <w:rPr>
          <w:rFonts w:ascii="仿宋" w:hAnsi="仿宋" w:eastAsia="仿宋"/>
          <w:color w:val="000000"/>
          <w:sz w:val="28"/>
          <w:szCs w:val="28"/>
        </w:rPr>
        <w:t>分</w:t>
      </w:r>
      <w:r>
        <w:rPr>
          <w:rFonts w:hint="eastAsia" w:ascii="仿宋" w:hAnsi="仿宋" w:eastAsia="仿宋"/>
          <w:color w:val="000000"/>
          <w:sz w:val="28"/>
          <w:szCs w:val="28"/>
        </w:rPr>
        <w:t>。</w:t>
      </w:r>
    </w:p>
    <w:p>
      <w:pPr>
        <w:spacing w:line="360" w:lineRule="auto"/>
        <w:ind w:firstLine="560" w:firstLineChars="200"/>
        <w:outlineLvl w:val="1"/>
        <w:rPr>
          <w:rFonts w:ascii="仿宋" w:hAnsi="仿宋" w:eastAsia="仿宋"/>
          <w:szCs w:val="28"/>
        </w:rPr>
      </w:pPr>
      <w:r>
        <w:rPr>
          <w:rFonts w:hint="eastAsia" w:ascii="仿宋" w:hAnsi="仿宋" w:eastAsia="仿宋"/>
          <w:bCs/>
          <w:sz w:val="28"/>
          <w:szCs w:val="28"/>
        </w:rPr>
        <w:t>4.渝中区段地表水水质标准的</w:t>
      </w:r>
      <w:r>
        <w:rPr>
          <w:rFonts w:hint="eastAsia" w:ascii="仿宋" w:hAnsi="仿宋" w:eastAsia="仿宋"/>
          <w:sz w:val="28"/>
          <w:szCs w:val="28"/>
        </w:rPr>
        <w:t>标准分值为2</w:t>
      </w:r>
      <w:r>
        <w:rPr>
          <w:rFonts w:ascii="仿宋" w:hAnsi="仿宋" w:eastAsia="仿宋"/>
          <w:sz w:val="28"/>
          <w:szCs w:val="28"/>
        </w:rPr>
        <w:t>分。</w:t>
      </w:r>
      <w:r>
        <w:rPr>
          <w:rFonts w:hint="eastAsia" w:ascii="仿宋" w:hAnsi="仿宋" w:eastAsia="仿宋"/>
          <w:color w:val="000000"/>
          <w:sz w:val="28"/>
          <w:szCs w:val="28"/>
        </w:rPr>
        <w:t>根据《重庆市渝中区生态环境委员会关于印发&lt;渝中区2020年生态环境工作要点&gt;的通知》（渝中环委〔2020〕1号），以及重庆市考核工作领导小组办公室关于印发《2020年度区县（自治县）考核指标体系》的通知（渝考办〔2020〕2号），渝中区2020年度“两江”渝中区段水质达到或优与地表水III类标准的主要目标。根据重庆市渝中区人民政府关于报送《水污染防</w:t>
      </w:r>
      <w:r>
        <w:rPr>
          <w:rFonts w:hint="eastAsia" w:ascii="仿宋" w:hAnsi="仿宋" w:eastAsia="仿宋"/>
          <w:color w:val="000000"/>
          <w:sz w:val="28"/>
          <w:szCs w:val="28"/>
          <w:lang w:val="en-US" w:eastAsia="zh-CN"/>
        </w:rPr>
        <w:t>治</w:t>
      </w:r>
      <w:r>
        <w:rPr>
          <w:rFonts w:hint="eastAsia" w:ascii="仿宋" w:hAnsi="仿宋" w:eastAsia="仿宋"/>
          <w:color w:val="000000"/>
          <w:sz w:val="28"/>
          <w:szCs w:val="28"/>
        </w:rPr>
        <w:t>行动计划》“十三五”工作总结及2021年重点工作计划的函，</w:t>
      </w:r>
      <w:r>
        <w:rPr>
          <w:rFonts w:hint="eastAsia" w:ascii="仿宋" w:hAnsi="仿宋" w:eastAsia="仿宋"/>
          <w:sz w:val="28"/>
          <w:szCs w:val="28"/>
        </w:rPr>
        <w:t>长江、嘉陵江渝中段水功能区水质达标率100%，嘉陵江大溪沟断面地表水水质总体达到II类标准。该指标达到目标，本次绩效评价得分2</w:t>
      </w:r>
      <w:r>
        <w:rPr>
          <w:rFonts w:ascii="仿宋" w:hAnsi="仿宋" w:eastAsia="仿宋"/>
          <w:sz w:val="28"/>
          <w:szCs w:val="28"/>
        </w:rPr>
        <w:t>分</w:t>
      </w:r>
      <w:r>
        <w:rPr>
          <w:rFonts w:hint="eastAsia" w:ascii="仿宋" w:hAnsi="仿宋" w:eastAsia="仿宋"/>
          <w:sz w:val="28"/>
          <w:szCs w:val="28"/>
        </w:rPr>
        <w:t>。</w:t>
      </w:r>
    </w:p>
    <w:p>
      <w:pPr>
        <w:spacing w:line="360" w:lineRule="auto"/>
        <w:ind w:firstLine="560" w:firstLineChars="200"/>
        <w:outlineLvl w:val="1"/>
        <w:rPr>
          <w:rFonts w:ascii="仿宋" w:hAnsi="仿宋" w:eastAsia="仿宋"/>
          <w:color w:val="000000"/>
          <w:sz w:val="28"/>
          <w:szCs w:val="28"/>
        </w:rPr>
      </w:pPr>
      <w:r>
        <w:rPr>
          <w:rFonts w:hint="eastAsia" w:ascii="仿宋" w:hAnsi="仿宋" w:eastAsia="仿宋"/>
          <w:bCs/>
          <w:sz w:val="28"/>
          <w:szCs w:val="28"/>
        </w:rPr>
        <w:t>5.废物安全处置办结率</w:t>
      </w:r>
      <w:r>
        <w:rPr>
          <w:rFonts w:hint="eastAsia" w:ascii="仿宋" w:hAnsi="仿宋" w:eastAsia="仿宋"/>
          <w:sz w:val="28"/>
          <w:szCs w:val="28"/>
        </w:rPr>
        <w:t>标准分值为6</w:t>
      </w:r>
      <w:r>
        <w:rPr>
          <w:rFonts w:ascii="仿宋" w:hAnsi="仿宋" w:eastAsia="仿宋"/>
          <w:sz w:val="28"/>
          <w:szCs w:val="28"/>
        </w:rPr>
        <w:t>分。</w:t>
      </w:r>
      <w:r>
        <w:rPr>
          <w:rFonts w:hint="eastAsia" w:ascii="仿宋" w:hAnsi="仿宋" w:eastAsia="仿宋"/>
          <w:color w:val="000000"/>
          <w:sz w:val="28"/>
          <w:szCs w:val="28"/>
        </w:rPr>
        <w:t>根据《重庆市渝中区生态环境委员会关于印发&lt;渝中区2020年生态环境工作要点&gt;的通知》（渝中环委〔2020〕1号），以及《重庆市生态环境局关于印发2020年度区县（自治县）污染防治攻坚战和生态优先绿色发展行动计划专项考核实施细则的函》（渝环函〔2020〕570号），渝中区2020年度推进净土保卫战的工作任务及医疗废物废水应收尽收、应处尽处的考核细则。根据查询各类废物转移联单，包括医疗废物转移联单、市内电子联单，该部门2020年度产生废物联单量共9513次，根据联单显示的辖区危险废物、医疗废物处置工作均办结，安全处置办结率100% 。该指标达到目标，本次绩效评价得分6</w:t>
      </w:r>
      <w:r>
        <w:rPr>
          <w:rFonts w:ascii="仿宋" w:hAnsi="仿宋" w:eastAsia="仿宋"/>
          <w:color w:val="000000"/>
          <w:sz w:val="28"/>
          <w:szCs w:val="28"/>
        </w:rPr>
        <w:t>分</w:t>
      </w:r>
      <w:r>
        <w:rPr>
          <w:rFonts w:hint="eastAsia" w:ascii="仿宋" w:hAnsi="仿宋" w:eastAsia="仿宋"/>
          <w:color w:val="000000"/>
          <w:sz w:val="28"/>
          <w:szCs w:val="28"/>
        </w:rPr>
        <w:t xml:space="preserve">。                                                                                                                                                                                                                                                                                                                                                                   </w:t>
      </w:r>
    </w:p>
    <w:p>
      <w:pPr>
        <w:spacing w:line="360" w:lineRule="auto"/>
        <w:ind w:firstLine="560" w:firstLineChars="200"/>
        <w:outlineLvl w:val="1"/>
        <w:rPr>
          <w:rFonts w:ascii="仿宋" w:hAnsi="仿宋" w:eastAsia="仿宋"/>
          <w:sz w:val="28"/>
          <w:szCs w:val="28"/>
        </w:rPr>
      </w:pPr>
      <w:r>
        <w:rPr>
          <w:rFonts w:hint="eastAsia" w:ascii="仿宋" w:hAnsi="仿宋" w:eastAsia="仿宋"/>
          <w:bCs/>
          <w:sz w:val="28"/>
          <w:szCs w:val="28"/>
        </w:rPr>
        <w:t>6.噪声投诉处置效果</w:t>
      </w:r>
      <w:r>
        <w:rPr>
          <w:rFonts w:hint="eastAsia" w:ascii="仿宋" w:hAnsi="仿宋" w:eastAsia="仿宋"/>
          <w:sz w:val="28"/>
          <w:szCs w:val="28"/>
        </w:rPr>
        <w:t>标准分值为6</w:t>
      </w:r>
      <w:r>
        <w:rPr>
          <w:rFonts w:ascii="仿宋" w:hAnsi="仿宋" w:eastAsia="仿宋"/>
          <w:sz w:val="28"/>
          <w:szCs w:val="28"/>
        </w:rPr>
        <w:t>分</w:t>
      </w:r>
      <w:r>
        <w:rPr>
          <w:rFonts w:hint="eastAsia" w:ascii="仿宋" w:hAnsi="仿宋" w:eastAsia="仿宋"/>
          <w:sz w:val="28"/>
          <w:szCs w:val="28"/>
        </w:rPr>
        <w:t>。</w:t>
      </w:r>
      <w:r>
        <w:rPr>
          <w:rFonts w:hint="eastAsia" w:ascii="仿宋" w:hAnsi="仿宋" w:eastAsia="仿宋"/>
          <w:color w:val="000000"/>
          <w:sz w:val="28"/>
          <w:szCs w:val="28"/>
        </w:rPr>
        <w:t>根据《重庆市渝中区生态环境委员会关于印发&lt;渝中区2020年生态环境工作要点&gt;的通知》（渝中环委〔2020〕1号），以及《重庆市生态环境局关于印发2020年度区县（自治县）污染防治攻坚战和生态优先绿色发展行动计划专项考核实施细则的函》（渝环函〔2020〕570号），渝中区2020年度加强噪声污染防治的主要任务，以及化解上清寺街道雾都宾馆空调外机排放噪声扰民、新建成一个市级安静小区的考核细则</w:t>
      </w:r>
      <w:r>
        <w:rPr>
          <w:rFonts w:ascii="仿宋" w:hAnsi="仿宋" w:eastAsia="仿宋"/>
          <w:sz w:val="28"/>
          <w:szCs w:val="28"/>
        </w:rPr>
        <w:t>。</w:t>
      </w:r>
      <w:r>
        <w:rPr>
          <w:rFonts w:hint="eastAsia" w:ascii="仿宋" w:hAnsi="仿宋" w:eastAsia="仿宋"/>
          <w:sz w:val="28"/>
          <w:szCs w:val="28"/>
        </w:rPr>
        <w:t>根据重庆市渝中区生态环境检测站《检测报告》（渝中环（监）字[2020]第JD066号），监测站于2020年11月25日对重庆雾都宾馆噪声进行了监督监测，结果为达标。根据《市级安静小区名单（2020）》，渝中区成功新建一个安静小区--互助里。根据12369系统显示，所有噪声投诉均处置，处置率100%。</w:t>
      </w:r>
      <w:r>
        <w:rPr>
          <w:rFonts w:hint="eastAsia" w:ascii="仿宋" w:hAnsi="仿宋" w:eastAsia="仿宋"/>
          <w:color w:val="000000"/>
          <w:sz w:val="28"/>
          <w:szCs w:val="28"/>
        </w:rPr>
        <w:t>该指标达到目标，本次绩效评价得分6</w:t>
      </w:r>
      <w:r>
        <w:rPr>
          <w:rFonts w:ascii="仿宋" w:hAnsi="仿宋" w:eastAsia="仿宋"/>
          <w:color w:val="000000"/>
          <w:sz w:val="28"/>
          <w:szCs w:val="28"/>
        </w:rPr>
        <w:t>分</w:t>
      </w:r>
      <w:r>
        <w:rPr>
          <w:rFonts w:hint="eastAsia" w:ascii="仿宋" w:hAnsi="仿宋" w:eastAsia="仿宋"/>
          <w:color w:val="000000"/>
          <w:sz w:val="28"/>
          <w:szCs w:val="28"/>
        </w:rPr>
        <w:t xml:space="preserve">。                          </w:t>
      </w:r>
    </w:p>
    <w:p>
      <w:pPr>
        <w:autoSpaceDE w:val="0"/>
        <w:autoSpaceDN w:val="0"/>
        <w:adjustRightInd w:val="0"/>
        <w:spacing w:before="156" w:beforeLines="50"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（三）</w:t>
      </w:r>
      <w:r>
        <w:rPr>
          <w:rFonts w:hint="eastAsia" w:ascii="仿宋" w:hAnsi="仿宋" w:eastAsia="仿宋"/>
          <w:b/>
          <w:sz w:val="28"/>
          <w:szCs w:val="28"/>
        </w:rPr>
        <w:t>可持续发展能力</w:t>
      </w:r>
      <w:r>
        <w:rPr>
          <w:rFonts w:hint="eastAsia" w:ascii="仿宋" w:hAnsi="仿宋" w:eastAsia="仿宋"/>
          <w:b/>
          <w:color w:val="000000"/>
          <w:sz w:val="28"/>
          <w:szCs w:val="28"/>
        </w:rPr>
        <w:t>情况</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涉及</w:t>
      </w:r>
      <w:r>
        <w:rPr>
          <w:rFonts w:hint="eastAsia" w:ascii="仿宋" w:hAnsi="仿宋" w:eastAsia="仿宋"/>
          <w:bCs/>
          <w:sz w:val="28"/>
          <w:szCs w:val="28"/>
        </w:rPr>
        <w:t>可持续发展能力</w:t>
      </w:r>
      <w:r>
        <w:rPr>
          <w:rFonts w:hint="eastAsia" w:ascii="仿宋" w:hAnsi="仿宋" w:eastAsia="仿宋"/>
          <w:color w:val="000000"/>
          <w:sz w:val="28"/>
          <w:szCs w:val="28"/>
        </w:rPr>
        <w:t>的指标主要为：</w:t>
      </w:r>
      <w:r>
        <w:rPr>
          <w:rFonts w:hint="eastAsia" w:ascii="仿宋" w:hAnsi="仿宋" w:eastAsia="仿宋"/>
          <w:sz w:val="28"/>
          <w:szCs w:val="28"/>
        </w:rPr>
        <w:t>环评办理时间压缩、空气质量网格微站建设。</w:t>
      </w:r>
      <w:r>
        <w:rPr>
          <w:rFonts w:hint="eastAsia" w:ascii="仿宋" w:hAnsi="仿宋" w:eastAsia="仿宋"/>
          <w:color w:val="000000"/>
          <w:sz w:val="28"/>
          <w:szCs w:val="28"/>
        </w:rPr>
        <w:t>具体情况如下：</w:t>
      </w:r>
    </w:p>
    <w:tbl>
      <w:tblPr>
        <w:tblStyle w:val="8"/>
        <w:tblW w:w="5000" w:type="pct"/>
        <w:tblInd w:w="0" w:type="dxa"/>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023"/>
        <w:gridCol w:w="485"/>
        <w:gridCol w:w="1087"/>
        <w:gridCol w:w="489"/>
        <w:gridCol w:w="483"/>
        <w:gridCol w:w="4347"/>
        <w:gridCol w:w="1203"/>
      </w:tblGrid>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blHeader/>
        </w:trPr>
        <w:tc>
          <w:tcPr>
            <w:tcW w:w="561"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明细指标</w:t>
            </w:r>
          </w:p>
        </w:tc>
        <w:tc>
          <w:tcPr>
            <w:tcW w:w="266"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指标性质</w:t>
            </w:r>
          </w:p>
        </w:tc>
        <w:tc>
          <w:tcPr>
            <w:tcW w:w="596" w:type="pct"/>
            <w:shd w:val="clear" w:color="auto" w:fill="auto"/>
            <w:noWrap/>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指标值</w:t>
            </w:r>
          </w:p>
        </w:tc>
        <w:tc>
          <w:tcPr>
            <w:tcW w:w="268"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计量单位</w:t>
            </w:r>
          </w:p>
        </w:tc>
        <w:tc>
          <w:tcPr>
            <w:tcW w:w="265"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指标权重</w:t>
            </w:r>
          </w:p>
        </w:tc>
        <w:tc>
          <w:tcPr>
            <w:tcW w:w="2384" w:type="pct"/>
            <w:shd w:val="clear" w:color="auto" w:fill="auto"/>
            <w:vAlign w:val="center"/>
          </w:tcPr>
          <w:p>
            <w:pPr>
              <w:jc w:val="center"/>
              <w:textAlignment w:val="center"/>
              <w:rPr>
                <w:rFonts w:ascii="仿宋" w:hAnsi="仿宋" w:eastAsia="仿宋" w:cs="华文仿宋"/>
                <w:color w:val="000000"/>
                <w:lang w:bidi="ar"/>
              </w:rPr>
            </w:pPr>
            <w:r>
              <w:rPr>
                <w:rFonts w:hint="eastAsia" w:ascii="仿宋" w:hAnsi="仿宋" w:eastAsia="仿宋" w:cs="华文仿宋"/>
                <w:color w:val="000000"/>
                <w:lang w:bidi="ar"/>
              </w:rPr>
              <w:t>评价标准</w:t>
            </w:r>
          </w:p>
        </w:tc>
        <w:tc>
          <w:tcPr>
            <w:tcW w:w="660" w:type="pct"/>
            <w:shd w:val="clear" w:color="auto" w:fill="auto"/>
            <w:noWrap/>
            <w:vAlign w:val="center"/>
          </w:tcPr>
          <w:p>
            <w:pPr>
              <w:textAlignment w:val="center"/>
              <w:rPr>
                <w:rFonts w:ascii="仿宋" w:hAnsi="仿宋" w:eastAsia="仿宋"/>
                <w:color w:val="000000"/>
                <w:sz w:val="22"/>
                <w:lang w:bidi="ar"/>
              </w:rPr>
            </w:pPr>
            <w:r>
              <w:rPr>
                <w:rFonts w:hint="eastAsia" w:ascii="仿宋" w:hAnsi="仿宋" w:eastAsia="仿宋"/>
                <w:color w:val="000000"/>
                <w:sz w:val="22"/>
                <w:lang w:bidi="ar"/>
              </w:rPr>
              <w:t xml:space="preserve">实际得分 </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环评办理时间压缩</w:t>
            </w:r>
          </w:p>
        </w:tc>
        <w:tc>
          <w:tcPr>
            <w:tcW w:w="266"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无</w:t>
            </w:r>
          </w:p>
        </w:tc>
        <w:tc>
          <w:tcPr>
            <w:tcW w:w="596" w:type="pct"/>
            <w:shd w:val="clear" w:color="auto" w:fill="auto"/>
            <w:noWrap/>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达标</w:t>
            </w:r>
          </w:p>
        </w:tc>
        <w:tc>
          <w:tcPr>
            <w:tcW w:w="268"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标准</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5</w:t>
            </w:r>
          </w:p>
        </w:tc>
        <w:tc>
          <w:tcPr>
            <w:tcW w:w="2384" w:type="pct"/>
            <w:shd w:val="clear" w:color="auto" w:fill="auto"/>
          </w:tcPr>
          <w:p>
            <w:pPr>
              <w:textAlignment w:val="top"/>
              <w:rPr>
                <w:rFonts w:ascii="仿宋" w:hAnsi="仿宋" w:eastAsia="仿宋" w:cs="华文仿宋"/>
                <w:color w:val="000000"/>
                <w:sz w:val="20"/>
                <w:szCs w:val="20"/>
              </w:rPr>
            </w:pPr>
            <w:r>
              <w:rPr>
                <w:rFonts w:ascii="仿宋" w:hAnsi="仿宋" w:eastAsia="仿宋" w:cs="华文仿宋"/>
                <w:color w:val="000000"/>
                <w:sz w:val="20"/>
                <w:szCs w:val="20"/>
                <w:lang w:bidi="ar"/>
              </w:rPr>
              <w:t xml:space="preserve">1、深化环评制度改革，严格落实审批服务事项“一网通办”要求，简化办事流程， 压缩办理时间，提高服务质量。结办期≤20工作日则得满分：5分，未达到不给分.                                                                                              </w:t>
            </w:r>
            <w:r>
              <w:rPr>
                <w:rFonts w:ascii="仿宋" w:hAnsi="仿宋" w:eastAsia="仿宋" w:cs="华文仿宋"/>
                <w:color w:val="000000"/>
                <w:sz w:val="20"/>
                <w:szCs w:val="20"/>
                <w:lang w:bidi="ar"/>
              </w:rPr>
              <w:br w:type="textWrapping"/>
            </w:r>
            <w:r>
              <w:rPr>
                <w:rFonts w:ascii="仿宋" w:hAnsi="仿宋" w:eastAsia="仿宋" w:cs="华文仿宋"/>
                <w:color w:val="000000"/>
                <w:sz w:val="20"/>
                <w:szCs w:val="20"/>
                <w:lang w:bidi="ar"/>
              </w:rPr>
              <w:t xml:space="preserve">                                                                                   </w:t>
            </w:r>
          </w:p>
        </w:tc>
        <w:tc>
          <w:tcPr>
            <w:tcW w:w="660"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5</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空气质量网格微站建设</w:t>
            </w:r>
          </w:p>
        </w:tc>
        <w:tc>
          <w:tcPr>
            <w:tcW w:w="266"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w:t>
            </w:r>
          </w:p>
        </w:tc>
        <w:tc>
          <w:tcPr>
            <w:tcW w:w="596"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25</w:t>
            </w:r>
          </w:p>
        </w:tc>
        <w:tc>
          <w:tcPr>
            <w:tcW w:w="268"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个</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5</w:t>
            </w:r>
          </w:p>
        </w:tc>
        <w:tc>
          <w:tcPr>
            <w:tcW w:w="2384" w:type="pct"/>
            <w:shd w:val="clear" w:color="auto" w:fill="auto"/>
            <w:vAlign w:val="center"/>
          </w:tcPr>
          <w:p>
            <w:pP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1、完成空气质量网格微站建设不少于25个（23个微站+2个路边站）:达到的满分5分，未达到不得分。</w:t>
            </w:r>
          </w:p>
        </w:tc>
        <w:tc>
          <w:tcPr>
            <w:tcW w:w="660"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5</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20" w:hRule="atLeast"/>
        </w:trPr>
        <w:tc>
          <w:tcPr>
            <w:tcW w:w="1691" w:type="pct"/>
            <w:gridSpan w:val="4"/>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lang w:bidi="ar"/>
              </w:rPr>
              <w:t>小计</w:t>
            </w:r>
          </w:p>
        </w:tc>
        <w:tc>
          <w:tcPr>
            <w:tcW w:w="265" w:type="pct"/>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10</w:t>
            </w:r>
          </w:p>
        </w:tc>
        <w:tc>
          <w:tcPr>
            <w:tcW w:w="2384" w:type="pct"/>
            <w:noWrap/>
            <w:vAlign w:val="center"/>
          </w:tcPr>
          <w:p>
            <w:pPr>
              <w:jc w:val="right"/>
              <w:textAlignment w:val="center"/>
              <w:rPr>
                <w:rFonts w:ascii="仿宋" w:hAnsi="仿宋" w:eastAsia="仿宋" w:cs="华文仿宋"/>
                <w:color w:val="000000"/>
              </w:rPr>
            </w:pPr>
          </w:p>
        </w:tc>
        <w:tc>
          <w:tcPr>
            <w:tcW w:w="660" w:type="pct"/>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10</w:t>
            </w:r>
          </w:p>
        </w:tc>
      </w:tr>
    </w:tbl>
    <w:p>
      <w:pPr>
        <w:spacing w:line="360" w:lineRule="auto"/>
        <w:ind w:firstLine="560" w:firstLineChars="200"/>
        <w:outlineLvl w:val="1"/>
        <w:rPr>
          <w:rFonts w:ascii="仿宋" w:hAnsi="仿宋" w:eastAsia="仿宋"/>
          <w:color w:val="000000"/>
          <w:sz w:val="28"/>
          <w:szCs w:val="28"/>
        </w:rPr>
      </w:pPr>
      <w:r>
        <w:rPr>
          <w:rFonts w:hint="eastAsia" w:ascii="仿宋" w:hAnsi="仿宋" w:eastAsia="仿宋"/>
          <w:bCs/>
          <w:sz w:val="28"/>
          <w:szCs w:val="28"/>
        </w:rPr>
        <w:t>1.</w:t>
      </w:r>
      <w:r>
        <w:rPr>
          <w:rFonts w:ascii="仿宋" w:hAnsi="仿宋" w:eastAsia="仿宋"/>
          <w:bCs/>
          <w:sz w:val="28"/>
          <w:szCs w:val="28"/>
        </w:rPr>
        <w:t>环评办理时间压缩</w:t>
      </w:r>
      <w:r>
        <w:rPr>
          <w:rFonts w:hint="eastAsia" w:ascii="仿宋" w:hAnsi="仿宋" w:eastAsia="仿宋"/>
          <w:color w:val="000000"/>
          <w:sz w:val="28"/>
          <w:szCs w:val="28"/>
        </w:rPr>
        <w:t>标准分值为5分。根据《重庆市渝中区生态环境委员会关于印发&lt;渝中区2020年生态环境工作要点&gt;的通知》（渝中环委〔2020〕1号）：渝中区2020年度切实增强服务意识、深化环评制度改革的目标。根据询问工作人员情况，以及查看渝快办重庆市网上办事大厅-渝中区-办事指南：建设项目环境影响评价审批办理流程，该部门2020年度</w:t>
      </w:r>
      <w:r>
        <w:rPr>
          <w:rFonts w:ascii="仿宋" w:hAnsi="仿宋" w:eastAsia="仿宋"/>
          <w:color w:val="000000"/>
          <w:sz w:val="28"/>
          <w:szCs w:val="28"/>
        </w:rPr>
        <w:t>落实</w:t>
      </w:r>
      <w:r>
        <w:rPr>
          <w:rFonts w:hint="eastAsia" w:ascii="仿宋" w:hAnsi="仿宋" w:eastAsia="仿宋"/>
          <w:color w:val="000000"/>
          <w:sz w:val="28"/>
          <w:szCs w:val="28"/>
        </w:rPr>
        <w:t>了</w:t>
      </w:r>
      <w:r>
        <w:rPr>
          <w:rFonts w:ascii="仿宋" w:hAnsi="仿宋" w:eastAsia="仿宋"/>
          <w:color w:val="000000"/>
          <w:sz w:val="28"/>
          <w:szCs w:val="28"/>
        </w:rPr>
        <w:t>审批服务事项“一网通办”</w:t>
      </w:r>
      <w:r>
        <w:rPr>
          <w:rFonts w:hint="eastAsia" w:ascii="仿宋" w:hAnsi="仿宋" w:eastAsia="仿宋"/>
          <w:color w:val="000000"/>
          <w:sz w:val="28"/>
          <w:szCs w:val="28"/>
        </w:rPr>
        <w:t>的</w:t>
      </w:r>
      <w:r>
        <w:rPr>
          <w:rFonts w:ascii="仿宋" w:hAnsi="仿宋" w:eastAsia="仿宋"/>
          <w:color w:val="000000"/>
          <w:sz w:val="28"/>
          <w:szCs w:val="28"/>
        </w:rPr>
        <w:t>要求，办事流程简化，办理时间</w:t>
      </w:r>
      <w:r>
        <w:rPr>
          <w:rFonts w:hint="eastAsia" w:ascii="仿宋" w:hAnsi="仿宋" w:eastAsia="仿宋"/>
          <w:color w:val="000000"/>
          <w:sz w:val="28"/>
          <w:szCs w:val="28"/>
        </w:rPr>
        <w:t>为17个工作日内完成（&lt;20个工作日）</w:t>
      </w:r>
      <w:r>
        <w:rPr>
          <w:rFonts w:ascii="仿宋" w:hAnsi="仿宋" w:eastAsia="仿宋"/>
          <w:color w:val="000000"/>
          <w:sz w:val="28"/>
          <w:szCs w:val="28"/>
        </w:rPr>
        <w:t>，提高</w:t>
      </w:r>
      <w:r>
        <w:rPr>
          <w:rFonts w:hint="eastAsia" w:ascii="仿宋" w:hAnsi="仿宋" w:eastAsia="仿宋"/>
          <w:color w:val="000000"/>
          <w:sz w:val="28"/>
          <w:szCs w:val="28"/>
        </w:rPr>
        <w:t>了</w:t>
      </w:r>
      <w:r>
        <w:rPr>
          <w:rFonts w:ascii="仿宋" w:hAnsi="仿宋" w:eastAsia="仿宋"/>
          <w:color w:val="000000"/>
          <w:sz w:val="28"/>
          <w:szCs w:val="28"/>
        </w:rPr>
        <w:t>服务时效</w:t>
      </w:r>
      <w:r>
        <w:rPr>
          <w:rFonts w:hint="eastAsia" w:ascii="仿宋" w:hAnsi="仿宋" w:eastAsia="仿宋"/>
          <w:color w:val="000000"/>
          <w:sz w:val="28"/>
          <w:szCs w:val="28"/>
        </w:rPr>
        <w:t>。该指标达到目标，本次绩效评价得分5</w:t>
      </w:r>
      <w:r>
        <w:rPr>
          <w:rFonts w:ascii="仿宋" w:hAnsi="仿宋" w:eastAsia="仿宋"/>
          <w:color w:val="000000"/>
          <w:sz w:val="28"/>
          <w:szCs w:val="28"/>
        </w:rPr>
        <w:t>分</w:t>
      </w:r>
      <w:r>
        <w:rPr>
          <w:rFonts w:hint="eastAsia" w:ascii="仿宋" w:hAnsi="仿宋" w:eastAsia="仿宋"/>
          <w:color w:val="000000"/>
          <w:sz w:val="28"/>
          <w:szCs w:val="28"/>
        </w:rPr>
        <w:t xml:space="preserve">。                        </w:t>
      </w:r>
    </w:p>
    <w:p>
      <w:pPr>
        <w:spacing w:line="360" w:lineRule="auto"/>
        <w:ind w:firstLine="560" w:firstLineChars="200"/>
        <w:outlineLvl w:val="1"/>
        <w:rPr>
          <w:rFonts w:ascii="仿宋" w:hAnsi="仿宋" w:eastAsia="仿宋"/>
          <w:color w:val="000000"/>
          <w:sz w:val="28"/>
          <w:szCs w:val="28"/>
        </w:rPr>
      </w:pPr>
      <w:r>
        <w:rPr>
          <w:rFonts w:hint="eastAsia" w:ascii="仿宋" w:hAnsi="仿宋" w:eastAsia="仿宋"/>
          <w:bCs/>
          <w:sz w:val="28"/>
          <w:szCs w:val="28"/>
        </w:rPr>
        <w:t>2.</w:t>
      </w:r>
      <w:r>
        <w:rPr>
          <w:rFonts w:ascii="仿宋" w:hAnsi="仿宋" w:eastAsia="仿宋"/>
          <w:bCs/>
          <w:sz w:val="28"/>
          <w:szCs w:val="28"/>
        </w:rPr>
        <w:t>空气质量网格微站建设</w:t>
      </w:r>
      <w:r>
        <w:rPr>
          <w:rFonts w:hint="eastAsia" w:ascii="仿宋" w:hAnsi="仿宋" w:eastAsia="仿宋"/>
          <w:color w:val="000000"/>
          <w:sz w:val="28"/>
          <w:szCs w:val="28"/>
        </w:rPr>
        <w:t>标准分值为5分。根据《重庆市渝中区生态环境委员会关于印发&lt;渝中区2020年生态环境工作要点&gt;的通知》（渝中环委〔2020〕1号），以及重庆市渝中区生态环境局关于《渝中区空气环境质量监测能力建设方案》的批复（渝中环发〔</w:t>
      </w:r>
      <w:r>
        <w:rPr>
          <w:rFonts w:ascii="仿宋" w:hAnsi="仿宋" w:eastAsia="仿宋"/>
          <w:color w:val="000000"/>
          <w:sz w:val="28"/>
          <w:szCs w:val="28"/>
        </w:rPr>
        <w:t>20</w:t>
      </w:r>
      <w:r>
        <w:rPr>
          <w:rFonts w:hint="eastAsia" w:ascii="仿宋" w:hAnsi="仿宋" w:eastAsia="仿宋"/>
          <w:color w:val="000000"/>
          <w:sz w:val="28"/>
          <w:szCs w:val="28"/>
        </w:rPr>
        <w:t>19</w:t>
      </w:r>
      <w:r>
        <w:rPr>
          <w:rFonts w:ascii="仿宋" w:hAnsi="仿宋" w:eastAsia="仿宋"/>
          <w:color w:val="000000"/>
          <w:sz w:val="28"/>
          <w:szCs w:val="28"/>
        </w:rPr>
        <w:t>〕</w:t>
      </w:r>
      <w:r>
        <w:rPr>
          <w:rFonts w:hint="eastAsia" w:ascii="仿宋" w:hAnsi="仿宋" w:eastAsia="仿宋"/>
          <w:color w:val="000000"/>
          <w:sz w:val="28"/>
          <w:szCs w:val="28"/>
        </w:rPr>
        <w:t>33号）：渝中区2020年度打赢蓝天</w:t>
      </w:r>
      <w:bookmarkStart w:id="0" w:name="_GoBack"/>
      <w:bookmarkEnd w:id="0"/>
      <w:r>
        <w:rPr>
          <w:rFonts w:hint="eastAsia" w:ascii="仿宋" w:hAnsi="仿宋" w:eastAsia="仿宋"/>
          <w:color w:val="000000"/>
          <w:sz w:val="28"/>
          <w:szCs w:val="28"/>
        </w:rPr>
        <w:t>保卫战，部署实施建立覆盖全区的网格化环境空气质量自动监测系统的项目。根据建设空气质量网格化监测监管系统项目的经费预算审批单、招标公告、评标报告、专家组评审意见表、验收报告，以及现场查看，重庆市渝中区生态环境局、重庆市渝中区生态环境监测站于2020年6月16日签字验收此项目。项目共建成11个微型空气站（含TVOC模块）、12个微型空气站（不含TVOC模块）、2个小型路边站，共25个。网格微站遍布于辖区内25地点，从西到东包括渝州宾馆、大坪中医院、上清寺街道办事处、重医附二院等地点，一直到朝天门码头，覆盖面广。该指标达到目标，本次绩效评价得分5</w:t>
      </w:r>
      <w:r>
        <w:rPr>
          <w:rFonts w:ascii="仿宋" w:hAnsi="仿宋" w:eastAsia="仿宋"/>
          <w:color w:val="000000"/>
          <w:sz w:val="28"/>
          <w:szCs w:val="28"/>
        </w:rPr>
        <w:t>分</w:t>
      </w:r>
      <w:r>
        <w:rPr>
          <w:rFonts w:hint="eastAsia" w:ascii="仿宋" w:hAnsi="仿宋" w:eastAsia="仿宋"/>
          <w:color w:val="000000"/>
          <w:sz w:val="28"/>
          <w:szCs w:val="28"/>
        </w:rPr>
        <w:t xml:space="preserve">。                       </w:t>
      </w:r>
    </w:p>
    <w:p>
      <w:pPr>
        <w:spacing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（四）</w:t>
      </w:r>
      <w:r>
        <w:rPr>
          <w:rFonts w:hint="eastAsia" w:ascii="仿宋" w:hAnsi="仿宋" w:eastAsia="仿宋"/>
          <w:b/>
          <w:sz w:val="28"/>
          <w:szCs w:val="28"/>
        </w:rPr>
        <w:t>服务对象满意度</w:t>
      </w:r>
      <w:r>
        <w:rPr>
          <w:rFonts w:hint="eastAsia" w:ascii="仿宋" w:hAnsi="仿宋" w:eastAsia="仿宋"/>
          <w:b/>
          <w:color w:val="000000"/>
          <w:sz w:val="28"/>
          <w:szCs w:val="28"/>
        </w:rPr>
        <w:t>情况</w:t>
      </w:r>
    </w:p>
    <w:p>
      <w:pPr>
        <w:ind w:firstLine="280" w:firstLineChars="100"/>
        <w:rPr>
          <w:rFonts w:ascii="仿宋" w:hAnsi="仿宋" w:eastAsia="仿宋"/>
          <w:color w:val="000000"/>
          <w:sz w:val="28"/>
          <w:szCs w:val="28"/>
        </w:rPr>
      </w:pPr>
      <w:r>
        <w:rPr>
          <w:rFonts w:hint="eastAsia" w:ascii="仿宋" w:hAnsi="仿宋" w:eastAsia="仿宋"/>
          <w:color w:val="000000"/>
          <w:sz w:val="28"/>
          <w:szCs w:val="28"/>
        </w:rPr>
        <w:t>涉及</w:t>
      </w:r>
      <w:r>
        <w:rPr>
          <w:rFonts w:hint="eastAsia" w:ascii="仿宋" w:hAnsi="仿宋" w:eastAsia="仿宋"/>
          <w:sz w:val="28"/>
          <w:szCs w:val="28"/>
        </w:rPr>
        <w:t>服务对象满意度</w:t>
      </w:r>
      <w:r>
        <w:rPr>
          <w:rFonts w:hint="eastAsia" w:ascii="仿宋" w:hAnsi="仿宋" w:eastAsia="仿宋"/>
          <w:color w:val="000000"/>
          <w:sz w:val="28"/>
          <w:szCs w:val="28"/>
        </w:rPr>
        <w:t>的指标主要为：监管对象满意度</w:t>
      </w:r>
      <w:r>
        <w:rPr>
          <w:rFonts w:hint="eastAsia" w:ascii="仿宋" w:hAnsi="仿宋" w:eastAsia="仿宋"/>
          <w:sz w:val="28"/>
          <w:szCs w:val="28"/>
        </w:rPr>
        <w:t>、</w:t>
      </w:r>
      <w:r>
        <w:rPr>
          <w:rFonts w:ascii="仿宋" w:hAnsi="仿宋" w:eastAsia="仿宋"/>
          <w:color w:val="000000"/>
          <w:sz w:val="28"/>
          <w:szCs w:val="28"/>
        </w:rPr>
        <w:t>社会公众满意度</w:t>
      </w:r>
      <w:r>
        <w:rPr>
          <w:rFonts w:hint="eastAsia" w:ascii="仿宋" w:hAnsi="仿宋" w:eastAsia="仿宋"/>
          <w:color w:val="000000"/>
          <w:sz w:val="28"/>
          <w:szCs w:val="28"/>
        </w:rPr>
        <w:t>。具体情况如下：</w:t>
      </w:r>
    </w:p>
    <w:tbl>
      <w:tblPr>
        <w:tblStyle w:val="8"/>
        <w:tblW w:w="5000" w:type="pct"/>
        <w:tblInd w:w="0" w:type="dxa"/>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023"/>
        <w:gridCol w:w="485"/>
        <w:gridCol w:w="1087"/>
        <w:gridCol w:w="489"/>
        <w:gridCol w:w="483"/>
        <w:gridCol w:w="4347"/>
        <w:gridCol w:w="1203"/>
      </w:tblGrid>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blHeader/>
        </w:trPr>
        <w:tc>
          <w:tcPr>
            <w:tcW w:w="561"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明细指标</w:t>
            </w:r>
          </w:p>
        </w:tc>
        <w:tc>
          <w:tcPr>
            <w:tcW w:w="266"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指标性质</w:t>
            </w:r>
          </w:p>
        </w:tc>
        <w:tc>
          <w:tcPr>
            <w:tcW w:w="596" w:type="pct"/>
            <w:shd w:val="clear" w:color="auto" w:fill="auto"/>
            <w:noWrap/>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指标值</w:t>
            </w:r>
          </w:p>
        </w:tc>
        <w:tc>
          <w:tcPr>
            <w:tcW w:w="268"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计量单位</w:t>
            </w:r>
          </w:p>
        </w:tc>
        <w:tc>
          <w:tcPr>
            <w:tcW w:w="265"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指标权重</w:t>
            </w:r>
          </w:p>
        </w:tc>
        <w:tc>
          <w:tcPr>
            <w:tcW w:w="2384" w:type="pct"/>
            <w:shd w:val="clear" w:color="auto" w:fill="auto"/>
            <w:vAlign w:val="center"/>
          </w:tcPr>
          <w:p>
            <w:pPr>
              <w:jc w:val="center"/>
              <w:textAlignment w:val="center"/>
              <w:rPr>
                <w:rFonts w:ascii="仿宋" w:hAnsi="仿宋" w:eastAsia="仿宋" w:cs="华文仿宋"/>
                <w:color w:val="000000"/>
                <w:lang w:bidi="ar"/>
              </w:rPr>
            </w:pPr>
            <w:r>
              <w:rPr>
                <w:rFonts w:hint="eastAsia" w:ascii="仿宋" w:hAnsi="仿宋" w:eastAsia="仿宋" w:cs="华文仿宋"/>
                <w:color w:val="000000"/>
                <w:lang w:bidi="ar"/>
              </w:rPr>
              <w:t>评价标准</w:t>
            </w:r>
          </w:p>
        </w:tc>
        <w:tc>
          <w:tcPr>
            <w:tcW w:w="660" w:type="pct"/>
            <w:shd w:val="clear" w:color="auto" w:fill="auto"/>
            <w:noWrap/>
            <w:vAlign w:val="center"/>
          </w:tcPr>
          <w:p>
            <w:pPr>
              <w:textAlignment w:val="center"/>
              <w:rPr>
                <w:rFonts w:ascii="仿宋" w:hAnsi="仿宋" w:eastAsia="仿宋"/>
                <w:color w:val="000000"/>
                <w:sz w:val="22"/>
                <w:lang w:bidi="ar"/>
              </w:rPr>
            </w:pPr>
            <w:r>
              <w:rPr>
                <w:rFonts w:hint="eastAsia" w:ascii="仿宋" w:hAnsi="仿宋" w:eastAsia="仿宋"/>
                <w:color w:val="000000"/>
                <w:sz w:val="22"/>
                <w:lang w:bidi="ar"/>
              </w:rPr>
              <w:t xml:space="preserve">实际得分 </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sz w:val="20"/>
                <w:szCs w:val="20"/>
              </w:rPr>
            </w:pPr>
            <w:r>
              <w:rPr>
                <w:rFonts w:hint="eastAsia" w:ascii="仿宋" w:hAnsi="仿宋" w:eastAsia="仿宋" w:cs="华文仿宋"/>
                <w:color w:val="000000"/>
                <w:sz w:val="20"/>
                <w:szCs w:val="20"/>
                <w:lang w:bidi="ar"/>
              </w:rPr>
              <w:t>监管对象满意度</w:t>
            </w:r>
          </w:p>
        </w:tc>
        <w:tc>
          <w:tcPr>
            <w:tcW w:w="266"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w:t>
            </w:r>
          </w:p>
        </w:tc>
        <w:tc>
          <w:tcPr>
            <w:tcW w:w="596" w:type="pct"/>
            <w:shd w:val="clear" w:color="auto" w:fill="auto"/>
            <w:noWrap/>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90</w:t>
            </w:r>
          </w:p>
        </w:tc>
        <w:tc>
          <w:tcPr>
            <w:tcW w:w="268"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分值</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5</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设计问卷进行电话问询，满意度=满意对象个数/有效闻讯对象个数。满意度90</w:t>
            </w:r>
            <w:r>
              <w:rPr>
                <w:rFonts w:hint="eastAsia" w:ascii="仿宋" w:hAnsi="仿宋" w:eastAsia="仿宋" w:cs="华文仿宋"/>
                <w:color w:val="000000"/>
                <w:sz w:val="20"/>
                <w:szCs w:val="20"/>
                <w:lang w:bidi="ar"/>
              </w:rPr>
              <w:t>%</w:t>
            </w:r>
            <w:r>
              <w:rPr>
                <w:rFonts w:ascii="仿宋" w:hAnsi="仿宋" w:eastAsia="仿宋" w:cs="华文仿宋"/>
                <w:color w:val="000000"/>
                <w:sz w:val="20"/>
                <w:szCs w:val="20"/>
                <w:lang w:bidi="ar"/>
              </w:rPr>
              <w:t>（含）以上计5分；60</w:t>
            </w:r>
            <w:r>
              <w:rPr>
                <w:rFonts w:hint="eastAsia" w:ascii="仿宋" w:hAnsi="仿宋" w:eastAsia="仿宋" w:cs="华文仿宋"/>
                <w:color w:val="000000"/>
                <w:sz w:val="20"/>
                <w:szCs w:val="20"/>
                <w:lang w:bidi="ar"/>
              </w:rPr>
              <w:t>%</w:t>
            </w:r>
            <w:r>
              <w:rPr>
                <w:rFonts w:ascii="仿宋" w:hAnsi="仿宋" w:eastAsia="仿宋" w:cs="华文仿宋"/>
                <w:color w:val="000000"/>
                <w:sz w:val="20"/>
                <w:szCs w:val="20"/>
                <w:lang w:bidi="ar"/>
              </w:rPr>
              <w:t>（含）-90</w:t>
            </w:r>
            <w:r>
              <w:rPr>
                <w:rFonts w:hint="eastAsia" w:ascii="仿宋" w:hAnsi="仿宋" w:eastAsia="仿宋" w:cs="华文仿宋"/>
                <w:color w:val="000000"/>
                <w:sz w:val="20"/>
                <w:szCs w:val="20"/>
                <w:lang w:bidi="ar"/>
              </w:rPr>
              <w:t>%</w:t>
            </w:r>
            <w:r>
              <w:rPr>
                <w:rFonts w:ascii="仿宋" w:hAnsi="仿宋" w:eastAsia="仿宋" w:cs="华文仿宋"/>
                <w:color w:val="000000"/>
                <w:sz w:val="20"/>
                <w:szCs w:val="20"/>
                <w:lang w:bidi="ar"/>
              </w:rPr>
              <w:t>，得分=5-5*(90%-实际满意度）；60</w:t>
            </w:r>
            <w:r>
              <w:rPr>
                <w:rFonts w:hint="eastAsia" w:ascii="仿宋" w:hAnsi="仿宋" w:eastAsia="仿宋" w:cs="华文仿宋"/>
                <w:color w:val="000000"/>
                <w:sz w:val="20"/>
                <w:szCs w:val="20"/>
                <w:lang w:bidi="ar"/>
              </w:rPr>
              <w:t>%</w:t>
            </w:r>
            <w:r>
              <w:rPr>
                <w:rFonts w:ascii="仿宋" w:hAnsi="仿宋" w:eastAsia="仿宋" w:cs="华文仿宋"/>
                <w:color w:val="000000"/>
                <w:sz w:val="20"/>
                <w:szCs w:val="20"/>
                <w:lang w:bidi="ar"/>
              </w:rPr>
              <w:t>以不得分。</w:t>
            </w:r>
          </w:p>
        </w:tc>
        <w:tc>
          <w:tcPr>
            <w:tcW w:w="660"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5</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社会公众满意度</w:t>
            </w:r>
          </w:p>
        </w:tc>
        <w:tc>
          <w:tcPr>
            <w:tcW w:w="266"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w:t>
            </w:r>
          </w:p>
        </w:tc>
        <w:tc>
          <w:tcPr>
            <w:tcW w:w="596" w:type="pct"/>
            <w:shd w:val="clear" w:color="auto" w:fill="auto"/>
            <w:noWrap/>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90</w:t>
            </w:r>
          </w:p>
        </w:tc>
        <w:tc>
          <w:tcPr>
            <w:tcW w:w="268"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分值</w:t>
            </w:r>
          </w:p>
        </w:tc>
        <w:tc>
          <w:tcPr>
            <w:tcW w:w="265" w:type="pct"/>
            <w:shd w:val="clear" w:color="auto" w:fill="auto"/>
            <w:vAlign w:val="center"/>
          </w:tcPr>
          <w:p>
            <w:pPr>
              <w:jc w:val="cente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15</w:t>
            </w:r>
          </w:p>
        </w:tc>
        <w:tc>
          <w:tcPr>
            <w:tcW w:w="2384" w:type="pct"/>
            <w:shd w:val="clear" w:color="auto" w:fill="auto"/>
            <w:vAlign w:val="center"/>
          </w:tcPr>
          <w:p>
            <w:pPr>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满意度90</w:t>
            </w:r>
            <w:r>
              <w:rPr>
                <w:rFonts w:hint="eastAsia" w:ascii="仿宋" w:hAnsi="仿宋" w:eastAsia="仿宋" w:cs="华文仿宋"/>
                <w:color w:val="000000"/>
                <w:sz w:val="20"/>
                <w:szCs w:val="20"/>
                <w:lang w:bidi="ar"/>
              </w:rPr>
              <w:t>%</w:t>
            </w:r>
            <w:r>
              <w:rPr>
                <w:rFonts w:ascii="仿宋" w:hAnsi="仿宋" w:eastAsia="仿宋" w:cs="华文仿宋"/>
                <w:color w:val="000000"/>
                <w:sz w:val="20"/>
                <w:szCs w:val="20"/>
                <w:lang w:bidi="ar"/>
              </w:rPr>
              <w:t>（含）以上计15分；60</w:t>
            </w:r>
            <w:r>
              <w:rPr>
                <w:rFonts w:hint="eastAsia" w:ascii="仿宋" w:hAnsi="仿宋" w:eastAsia="仿宋" w:cs="华文仿宋"/>
                <w:color w:val="000000"/>
                <w:sz w:val="20"/>
                <w:szCs w:val="20"/>
                <w:lang w:bidi="ar"/>
              </w:rPr>
              <w:t>%</w:t>
            </w:r>
            <w:r>
              <w:rPr>
                <w:rFonts w:ascii="仿宋" w:hAnsi="仿宋" w:eastAsia="仿宋" w:cs="华文仿宋"/>
                <w:color w:val="000000"/>
                <w:sz w:val="20"/>
                <w:szCs w:val="20"/>
                <w:lang w:bidi="ar"/>
              </w:rPr>
              <w:t>（含）-90</w:t>
            </w:r>
            <w:r>
              <w:rPr>
                <w:rFonts w:hint="eastAsia" w:ascii="仿宋" w:hAnsi="仿宋" w:eastAsia="仿宋" w:cs="华文仿宋"/>
                <w:color w:val="000000"/>
                <w:sz w:val="20"/>
                <w:szCs w:val="20"/>
                <w:lang w:bidi="ar"/>
              </w:rPr>
              <w:t>%</w:t>
            </w:r>
            <w:r>
              <w:rPr>
                <w:rFonts w:ascii="仿宋" w:hAnsi="仿宋" w:eastAsia="仿宋" w:cs="华文仿宋"/>
                <w:color w:val="000000"/>
                <w:sz w:val="20"/>
                <w:szCs w:val="20"/>
                <w:lang w:bidi="ar"/>
              </w:rPr>
              <w:t>，得分=15-15*(90%-</w:t>
            </w:r>
            <w:r>
              <w:rPr>
                <w:rFonts w:hint="eastAsia" w:ascii="仿宋" w:hAnsi="仿宋" w:eastAsia="仿宋" w:cs="华文仿宋"/>
                <w:color w:val="000000"/>
                <w:sz w:val="20"/>
                <w:szCs w:val="20"/>
                <w:lang w:bidi="ar"/>
              </w:rPr>
              <w:t>实际满意度</w:t>
            </w:r>
            <w:r>
              <w:rPr>
                <w:rFonts w:ascii="仿宋" w:hAnsi="仿宋" w:eastAsia="仿宋" w:cs="华文仿宋"/>
                <w:color w:val="000000"/>
                <w:sz w:val="20"/>
                <w:szCs w:val="20"/>
                <w:lang w:bidi="ar"/>
              </w:rPr>
              <w:t>）；60</w:t>
            </w:r>
            <w:r>
              <w:rPr>
                <w:rFonts w:hint="eastAsia" w:ascii="仿宋" w:hAnsi="仿宋" w:eastAsia="仿宋" w:cs="华文仿宋"/>
                <w:color w:val="000000"/>
                <w:sz w:val="20"/>
                <w:szCs w:val="20"/>
                <w:lang w:bidi="ar"/>
              </w:rPr>
              <w:t>%</w:t>
            </w:r>
            <w:r>
              <w:rPr>
                <w:rFonts w:ascii="仿宋" w:hAnsi="仿宋" w:eastAsia="仿宋" w:cs="华文仿宋"/>
                <w:color w:val="000000"/>
                <w:sz w:val="20"/>
                <w:szCs w:val="20"/>
                <w:lang w:bidi="ar"/>
              </w:rPr>
              <w:t>以不得分。</w:t>
            </w:r>
          </w:p>
        </w:tc>
        <w:tc>
          <w:tcPr>
            <w:tcW w:w="660" w:type="pct"/>
            <w:shd w:val="clear" w:color="auto" w:fill="auto"/>
            <w:noWrap/>
            <w:vAlign w:val="center"/>
          </w:tcPr>
          <w:p>
            <w:pPr>
              <w:jc w:val="center"/>
              <w:textAlignment w:val="center"/>
              <w:rPr>
                <w:rFonts w:ascii="仿宋" w:hAnsi="仿宋" w:eastAsia="仿宋" w:cs="华文仿宋"/>
                <w:color w:val="000000"/>
              </w:rPr>
            </w:pPr>
            <w:r>
              <w:rPr>
                <w:rFonts w:hint="eastAsia" w:ascii="仿宋" w:hAnsi="仿宋" w:eastAsia="仿宋" w:cs="华文仿宋"/>
                <w:color w:val="000000"/>
                <w:lang w:bidi="ar"/>
              </w:rPr>
              <w:t>15</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20" w:hRule="atLeast"/>
        </w:trPr>
        <w:tc>
          <w:tcPr>
            <w:tcW w:w="1691" w:type="pct"/>
            <w:gridSpan w:val="4"/>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lang w:bidi="ar"/>
              </w:rPr>
              <w:t>小计</w:t>
            </w:r>
          </w:p>
        </w:tc>
        <w:tc>
          <w:tcPr>
            <w:tcW w:w="265" w:type="pct"/>
            <w:noWrap/>
            <w:vAlign w:val="center"/>
          </w:tcPr>
          <w:p>
            <w:pPr>
              <w:jc w:val="center"/>
              <w:textAlignment w:val="center"/>
              <w:rPr>
                <w:rFonts w:ascii="仿宋" w:hAnsi="仿宋" w:eastAsia="仿宋" w:cs="华文仿宋"/>
                <w:color w:val="000000"/>
              </w:rPr>
            </w:pPr>
            <w:r>
              <w:rPr>
                <w:rFonts w:hint="eastAsia" w:ascii="仿宋" w:hAnsi="仿宋" w:eastAsia="仿宋" w:cs="华文仿宋"/>
                <w:color w:val="000000"/>
                <w:lang w:bidi="ar"/>
              </w:rPr>
              <w:t>2</w:t>
            </w:r>
            <w:r>
              <w:rPr>
                <w:rFonts w:ascii="仿宋" w:hAnsi="仿宋" w:eastAsia="仿宋" w:cs="华文仿宋"/>
                <w:color w:val="000000"/>
                <w:lang w:bidi="ar"/>
              </w:rPr>
              <w:t>0</w:t>
            </w:r>
          </w:p>
        </w:tc>
        <w:tc>
          <w:tcPr>
            <w:tcW w:w="2384" w:type="pct"/>
            <w:noWrap/>
            <w:vAlign w:val="center"/>
          </w:tcPr>
          <w:p>
            <w:pPr>
              <w:jc w:val="right"/>
              <w:textAlignment w:val="center"/>
              <w:rPr>
                <w:rFonts w:ascii="仿宋" w:hAnsi="仿宋" w:eastAsia="仿宋" w:cs="华文仿宋"/>
                <w:color w:val="000000"/>
              </w:rPr>
            </w:pPr>
          </w:p>
        </w:tc>
        <w:tc>
          <w:tcPr>
            <w:tcW w:w="660" w:type="pct"/>
            <w:noWrap/>
            <w:vAlign w:val="center"/>
          </w:tcPr>
          <w:p>
            <w:pPr>
              <w:jc w:val="center"/>
              <w:textAlignment w:val="center"/>
              <w:rPr>
                <w:rFonts w:ascii="仿宋" w:hAnsi="仿宋" w:eastAsia="仿宋" w:cs="华文仿宋"/>
                <w:color w:val="000000"/>
              </w:rPr>
            </w:pPr>
            <w:r>
              <w:rPr>
                <w:rFonts w:hint="eastAsia" w:ascii="仿宋" w:hAnsi="仿宋" w:eastAsia="仿宋" w:cs="华文仿宋"/>
                <w:color w:val="000000"/>
                <w:lang w:bidi="ar"/>
              </w:rPr>
              <w:t>20</w:t>
            </w:r>
          </w:p>
        </w:tc>
      </w:tr>
    </w:tbl>
    <w:p>
      <w:pPr>
        <w:spacing w:line="360" w:lineRule="auto"/>
        <w:ind w:firstLine="560" w:firstLineChars="200"/>
        <w:outlineLvl w:val="1"/>
        <w:rPr>
          <w:rFonts w:ascii="仿宋" w:hAnsi="仿宋" w:eastAsia="仿宋"/>
          <w:color w:val="000000"/>
          <w:sz w:val="28"/>
          <w:szCs w:val="28"/>
        </w:rPr>
      </w:pPr>
      <w:r>
        <w:rPr>
          <w:rFonts w:hint="eastAsia" w:ascii="仿宋" w:hAnsi="仿宋" w:eastAsia="仿宋"/>
          <w:color w:val="000000"/>
          <w:sz w:val="28"/>
          <w:szCs w:val="28"/>
        </w:rPr>
        <w:t>1.</w:t>
      </w:r>
      <w:r>
        <w:rPr>
          <w:rFonts w:hint="eastAsia"/>
        </w:rPr>
        <w:t xml:space="preserve"> </w:t>
      </w:r>
      <w:r>
        <w:rPr>
          <w:rFonts w:hint="eastAsia" w:ascii="仿宋" w:hAnsi="仿宋" w:eastAsia="仿宋"/>
          <w:color w:val="000000"/>
          <w:sz w:val="28"/>
          <w:szCs w:val="28"/>
        </w:rPr>
        <w:t>监管对象满意度标准分值为5分。我们设计电话询问问卷，调查渝中区生态环境局监管对象满意度。对2020年度区级监管对象85个抽取43个进行电话询问，分别为2019年未询问过的监管对象抽选27个、2019年询问结果为满意的监管对象抽选5个、随机抽选监管对象11个。</w:t>
      </w:r>
      <w:r>
        <w:rPr>
          <w:rFonts w:ascii="仿宋" w:hAnsi="仿宋" w:eastAsia="仿宋"/>
          <w:color w:val="000000"/>
          <w:sz w:val="28"/>
          <w:szCs w:val="28"/>
        </w:rPr>
        <w:t>满意度=满意对象个数/有效闻讯对象个数。</w:t>
      </w:r>
      <w:r>
        <w:rPr>
          <w:rFonts w:hint="eastAsia" w:ascii="仿宋" w:hAnsi="仿宋" w:eastAsia="仿宋"/>
          <w:color w:val="000000"/>
          <w:sz w:val="28"/>
          <w:szCs w:val="28"/>
        </w:rPr>
        <w:t>调查结果显示，剔除无效6个，得有效问询结果37个，其中35个满意，2个基本满意。满意度=35/37=94.59%（＞90%），该指标达到目标，本次绩效评价得分5</w:t>
      </w:r>
      <w:r>
        <w:rPr>
          <w:rFonts w:ascii="仿宋" w:hAnsi="仿宋" w:eastAsia="仿宋"/>
          <w:color w:val="000000"/>
          <w:sz w:val="28"/>
          <w:szCs w:val="28"/>
        </w:rPr>
        <w:t>分</w:t>
      </w:r>
      <w:r>
        <w:rPr>
          <w:rFonts w:hint="eastAsia" w:ascii="仿宋" w:hAnsi="仿宋" w:eastAsia="仿宋"/>
          <w:color w:val="000000"/>
          <w:sz w:val="28"/>
          <w:szCs w:val="28"/>
        </w:rPr>
        <w:t xml:space="preserve">。 </w:t>
      </w:r>
    </w:p>
    <w:p>
      <w:pPr>
        <w:spacing w:line="360" w:lineRule="auto"/>
        <w:ind w:firstLine="560" w:firstLineChars="200"/>
        <w:outlineLvl w:val="1"/>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社会公众满意度</w:t>
      </w:r>
      <w:r>
        <w:rPr>
          <w:rFonts w:hint="eastAsia" w:ascii="仿宋" w:hAnsi="仿宋" w:eastAsia="仿宋"/>
          <w:color w:val="000000"/>
          <w:sz w:val="28"/>
          <w:szCs w:val="28"/>
        </w:rPr>
        <w:t>标准分值为15分。</w:t>
      </w:r>
      <w:r>
        <w:rPr>
          <w:rFonts w:hint="eastAsia" w:ascii="仿宋" w:hAnsi="仿宋" w:eastAsia="仿宋"/>
          <w:bCs/>
          <w:color w:val="000000"/>
          <w:sz w:val="28"/>
          <w:szCs w:val="28"/>
        </w:rPr>
        <w:t>根据</w:t>
      </w:r>
      <w:r>
        <w:rPr>
          <w:rFonts w:hint="eastAsia" w:ascii="仿宋" w:hAnsi="仿宋" w:eastAsia="仿宋"/>
          <w:color w:val="000000"/>
          <w:sz w:val="28"/>
          <w:szCs w:val="28"/>
        </w:rPr>
        <w:t>重庆市考核工作领导小组办公室关于印发《2020年度区县（自治县）考核指标体系》的通知（渝考办〔2020〕2号），市生态环境局关于社会公众生态环境满意度调查考核责任。</w:t>
      </w:r>
      <w:r>
        <w:rPr>
          <w:rFonts w:hint="eastAsia" w:ascii="仿宋" w:hAnsi="仿宋" w:eastAsia="仿宋"/>
          <w:bCs/>
          <w:color w:val="000000"/>
          <w:sz w:val="28"/>
          <w:szCs w:val="28"/>
        </w:rPr>
        <w:t>根据</w:t>
      </w:r>
      <w:r>
        <w:rPr>
          <w:rFonts w:hint="eastAsia" w:ascii="仿宋" w:hAnsi="仿宋" w:eastAsia="仿宋"/>
          <w:color w:val="000000"/>
          <w:sz w:val="28"/>
          <w:szCs w:val="28"/>
        </w:rPr>
        <w:t>重庆市社情民意调查中心出具的《2020年渝中区社会公众生态环境满意度调查报告》（2021年第47期（总第500期））</w:t>
      </w:r>
      <w:r>
        <w:rPr>
          <w:rFonts w:hint="eastAsia" w:ascii="仿宋" w:hAnsi="仿宋" w:eastAsia="仿宋"/>
          <w:bCs/>
          <w:color w:val="000000"/>
          <w:sz w:val="28"/>
          <w:szCs w:val="28"/>
        </w:rPr>
        <w:t>：渝中区生态环境群众满意度为97.14%，调查采用计算机辅助电话调查的方式开展，按照手机和座机75%：25%的比例随机抽取，调查对象为长期居住在当地且年满18周岁以上的城乡居民，调查城乡居民共计350人，重点了解居民对本地区自然环境、人居环境以及污染防治情况的判断，全面把握公众对本地区生态环境总体状况以及改善情况的满意程度。本次评价直接采用该调查结果，</w:t>
      </w:r>
      <w:r>
        <w:rPr>
          <w:rFonts w:hint="eastAsia" w:ascii="仿宋" w:hAnsi="仿宋" w:eastAsia="仿宋"/>
          <w:color w:val="000000"/>
          <w:sz w:val="28"/>
          <w:szCs w:val="28"/>
        </w:rPr>
        <w:t>该指标达到目标，本次绩效评价得分15</w:t>
      </w:r>
      <w:r>
        <w:rPr>
          <w:rFonts w:ascii="仿宋" w:hAnsi="仿宋" w:eastAsia="仿宋"/>
          <w:color w:val="000000"/>
          <w:sz w:val="28"/>
          <w:szCs w:val="28"/>
        </w:rPr>
        <w:t>分</w:t>
      </w:r>
      <w:r>
        <w:rPr>
          <w:rFonts w:hint="eastAsia" w:ascii="仿宋" w:hAnsi="仿宋" w:eastAsia="仿宋"/>
          <w:color w:val="000000"/>
          <w:sz w:val="28"/>
          <w:szCs w:val="28"/>
        </w:rPr>
        <w:t>。</w:t>
      </w:r>
    </w:p>
    <w:p>
      <w:pPr>
        <w:spacing w:line="360" w:lineRule="auto"/>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（五）管理类指标情况</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涉及管理类指标的指标主要为：</w:t>
      </w:r>
      <w:r>
        <w:rPr>
          <w:rFonts w:hint="eastAsia" w:ascii="仿宋" w:hAnsi="仿宋" w:eastAsia="仿宋"/>
          <w:sz w:val="28"/>
          <w:szCs w:val="28"/>
        </w:rPr>
        <w:t>预算执行率、资金使用合规性、绩效目标明确性、政府采购执行准确率、政府采购程序性、资产管理合规性、部门课题经费、规划经费、培训经费统一压减率、一般性项目支出压减率、预决算信息公开及时性。</w:t>
      </w:r>
      <w:r>
        <w:rPr>
          <w:rFonts w:hint="eastAsia" w:ascii="仿宋" w:hAnsi="仿宋" w:eastAsia="仿宋"/>
          <w:color w:val="000000"/>
          <w:sz w:val="28"/>
          <w:szCs w:val="28"/>
        </w:rPr>
        <w:t>具体情况如下：</w:t>
      </w:r>
    </w:p>
    <w:tbl>
      <w:tblPr>
        <w:tblStyle w:val="8"/>
        <w:tblW w:w="5000" w:type="pct"/>
        <w:tblInd w:w="0" w:type="dxa"/>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023"/>
        <w:gridCol w:w="485"/>
        <w:gridCol w:w="1087"/>
        <w:gridCol w:w="489"/>
        <w:gridCol w:w="483"/>
        <w:gridCol w:w="4347"/>
        <w:gridCol w:w="1203"/>
      </w:tblGrid>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blHeader/>
        </w:trPr>
        <w:tc>
          <w:tcPr>
            <w:tcW w:w="561"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明细指标</w:t>
            </w:r>
          </w:p>
        </w:tc>
        <w:tc>
          <w:tcPr>
            <w:tcW w:w="266"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指标性质</w:t>
            </w:r>
          </w:p>
        </w:tc>
        <w:tc>
          <w:tcPr>
            <w:tcW w:w="596" w:type="pct"/>
            <w:shd w:val="clear" w:color="auto" w:fill="auto"/>
            <w:noWrap/>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指标值</w:t>
            </w:r>
          </w:p>
        </w:tc>
        <w:tc>
          <w:tcPr>
            <w:tcW w:w="268"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计量单位</w:t>
            </w:r>
          </w:p>
        </w:tc>
        <w:tc>
          <w:tcPr>
            <w:tcW w:w="265" w:type="pct"/>
            <w:shd w:val="clear" w:color="auto" w:fill="auto"/>
            <w:vAlign w:val="center"/>
          </w:tcPr>
          <w:p>
            <w:pPr>
              <w:jc w:val="center"/>
              <w:textAlignment w:val="center"/>
              <w:rPr>
                <w:rFonts w:ascii="仿宋" w:hAnsi="仿宋" w:eastAsia="仿宋" w:cs="华文仿宋"/>
                <w:bCs/>
                <w:color w:val="000000"/>
                <w:lang w:bidi="ar"/>
              </w:rPr>
            </w:pPr>
            <w:r>
              <w:rPr>
                <w:rFonts w:hint="eastAsia" w:ascii="仿宋" w:hAnsi="仿宋" w:eastAsia="仿宋" w:cs="华文仿宋"/>
                <w:bCs/>
                <w:color w:val="000000"/>
                <w:lang w:bidi="ar"/>
              </w:rPr>
              <w:t>指标权重</w:t>
            </w:r>
          </w:p>
        </w:tc>
        <w:tc>
          <w:tcPr>
            <w:tcW w:w="2384" w:type="pct"/>
            <w:shd w:val="clear" w:color="auto" w:fill="auto"/>
            <w:vAlign w:val="center"/>
          </w:tcPr>
          <w:p>
            <w:pPr>
              <w:jc w:val="center"/>
              <w:textAlignment w:val="center"/>
              <w:rPr>
                <w:rFonts w:ascii="仿宋" w:hAnsi="仿宋" w:eastAsia="仿宋" w:cs="华文仿宋"/>
                <w:color w:val="000000"/>
                <w:lang w:bidi="ar"/>
              </w:rPr>
            </w:pPr>
            <w:r>
              <w:rPr>
                <w:rFonts w:hint="eastAsia" w:ascii="仿宋" w:hAnsi="仿宋" w:eastAsia="仿宋" w:cs="华文仿宋"/>
                <w:color w:val="000000"/>
                <w:lang w:bidi="ar"/>
              </w:rPr>
              <w:t>评价标准</w:t>
            </w:r>
          </w:p>
        </w:tc>
        <w:tc>
          <w:tcPr>
            <w:tcW w:w="660" w:type="pct"/>
            <w:shd w:val="clear" w:color="auto" w:fill="auto"/>
            <w:noWrap/>
            <w:vAlign w:val="center"/>
          </w:tcPr>
          <w:p>
            <w:pPr>
              <w:textAlignment w:val="center"/>
              <w:rPr>
                <w:rFonts w:ascii="仿宋" w:hAnsi="仿宋" w:eastAsia="仿宋"/>
                <w:color w:val="000000"/>
                <w:sz w:val="22"/>
                <w:lang w:bidi="ar"/>
              </w:rPr>
            </w:pPr>
            <w:r>
              <w:rPr>
                <w:rFonts w:hint="eastAsia" w:ascii="仿宋" w:hAnsi="仿宋" w:eastAsia="仿宋"/>
                <w:color w:val="000000"/>
                <w:sz w:val="22"/>
                <w:lang w:bidi="ar"/>
              </w:rPr>
              <w:t xml:space="preserve">实际得分 </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rPr>
            </w:pPr>
            <w:r>
              <w:rPr>
                <w:rFonts w:ascii="仿宋" w:hAnsi="仿宋" w:eastAsia="仿宋" w:cs="华文仿宋"/>
                <w:color w:val="000000"/>
                <w:lang w:bidi="ar"/>
              </w:rPr>
              <w:t>预算执行率</w:t>
            </w:r>
          </w:p>
        </w:tc>
        <w:tc>
          <w:tcPr>
            <w:tcW w:w="266"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w:t>
            </w:r>
          </w:p>
        </w:tc>
        <w:tc>
          <w:tcPr>
            <w:tcW w:w="596"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90</w:t>
            </w:r>
          </w:p>
        </w:tc>
        <w:tc>
          <w:tcPr>
            <w:tcW w:w="268"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8</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预算执行率=部门整体支出/(上年结转+年初预算+本年追加追减预算（不含年底收回））×100%，90%以上计满分，少5%扣1分。</w:t>
            </w:r>
          </w:p>
        </w:tc>
        <w:tc>
          <w:tcPr>
            <w:tcW w:w="660" w:type="pct"/>
            <w:shd w:val="clear" w:color="auto" w:fill="auto"/>
            <w:noWrap/>
            <w:vAlign w:val="center"/>
          </w:tcPr>
          <w:p>
            <w:pPr>
              <w:jc w:val="center"/>
              <w:textAlignment w:val="center"/>
              <w:rPr>
                <w:rFonts w:ascii="仿宋" w:hAnsi="仿宋" w:eastAsia="仿宋" w:cs="华文仿宋"/>
                <w:color w:val="000000"/>
              </w:rPr>
            </w:pPr>
            <w:r>
              <w:rPr>
                <w:rFonts w:hint="eastAsia" w:ascii="仿宋" w:hAnsi="仿宋" w:eastAsia="仿宋" w:cs="华文仿宋"/>
                <w:color w:val="000000"/>
                <w:lang w:bidi="ar"/>
              </w:rPr>
              <w:t>3</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rPr>
            </w:pPr>
            <w:r>
              <w:rPr>
                <w:rFonts w:ascii="仿宋" w:hAnsi="仿宋" w:eastAsia="仿宋" w:cs="华文仿宋"/>
                <w:color w:val="000000"/>
                <w:lang w:bidi="ar"/>
              </w:rPr>
              <w:t>资金使用合规性</w:t>
            </w:r>
          </w:p>
        </w:tc>
        <w:tc>
          <w:tcPr>
            <w:tcW w:w="266"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无</w:t>
            </w:r>
          </w:p>
        </w:tc>
        <w:tc>
          <w:tcPr>
            <w:tcW w:w="596"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合规</w:t>
            </w:r>
          </w:p>
        </w:tc>
        <w:tc>
          <w:tcPr>
            <w:tcW w:w="268"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无</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6</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1.资金拨付有完整的审批程序和手续；                                                                                                                                                             2.预算调整履行规定程序；                                                                                                                                                                       3.资金使用无截留、挤占、挪用、虚列支出等情况（重点关注中央直达资金等上级资金使用情况）。                                                                                                               以上情况每出现一例不符合要求的扣2分，扣完为止。</w:t>
            </w:r>
          </w:p>
        </w:tc>
        <w:tc>
          <w:tcPr>
            <w:tcW w:w="660"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6</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rPr>
            </w:pPr>
            <w:r>
              <w:rPr>
                <w:rFonts w:ascii="仿宋" w:hAnsi="仿宋" w:eastAsia="仿宋" w:cs="华文仿宋"/>
                <w:color w:val="000000"/>
                <w:lang w:bidi="ar"/>
              </w:rPr>
              <w:t>绩效目标明确性</w:t>
            </w:r>
          </w:p>
        </w:tc>
        <w:tc>
          <w:tcPr>
            <w:tcW w:w="266"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无</w:t>
            </w:r>
          </w:p>
        </w:tc>
        <w:tc>
          <w:tcPr>
            <w:tcW w:w="596"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明确</w:t>
            </w:r>
          </w:p>
        </w:tc>
        <w:tc>
          <w:tcPr>
            <w:tcW w:w="268"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无</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4</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1.绩效指标清晰、可衡量：2分。                                                                                                                                                                      2.与部门年度任务数或计划数相对应：</w:t>
            </w:r>
            <w:r>
              <w:rPr>
                <w:rFonts w:hint="eastAsia" w:ascii="仿宋" w:hAnsi="仿宋" w:eastAsia="仿宋" w:cs="华文仿宋"/>
                <w:color w:val="000000"/>
                <w:sz w:val="20"/>
                <w:szCs w:val="20"/>
                <w:lang w:bidi="ar"/>
              </w:rPr>
              <w:t>2</w:t>
            </w:r>
            <w:r>
              <w:rPr>
                <w:rFonts w:ascii="仿宋" w:hAnsi="仿宋" w:eastAsia="仿宋" w:cs="华文仿宋"/>
                <w:color w:val="000000"/>
                <w:sz w:val="20"/>
                <w:szCs w:val="20"/>
                <w:lang w:bidi="ar"/>
              </w:rPr>
              <w:t>分。                                                                                                                                                          根据实际情况打分。</w:t>
            </w:r>
          </w:p>
        </w:tc>
        <w:tc>
          <w:tcPr>
            <w:tcW w:w="660" w:type="pct"/>
            <w:shd w:val="clear" w:color="auto" w:fill="auto"/>
            <w:noWrap/>
            <w:vAlign w:val="center"/>
          </w:tcPr>
          <w:p>
            <w:pPr>
              <w:jc w:val="center"/>
              <w:textAlignment w:val="center"/>
              <w:rPr>
                <w:rFonts w:ascii="仿宋" w:hAnsi="仿宋" w:eastAsia="仿宋" w:cs="华文仿宋"/>
                <w:color w:val="000000"/>
              </w:rPr>
            </w:pPr>
            <w:r>
              <w:rPr>
                <w:rFonts w:hint="eastAsia" w:ascii="仿宋" w:hAnsi="仿宋" w:eastAsia="仿宋" w:cs="华文仿宋"/>
                <w:color w:val="000000"/>
                <w:lang w:bidi="ar"/>
              </w:rPr>
              <w:t>3.5</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rPr>
            </w:pPr>
            <w:r>
              <w:rPr>
                <w:rFonts w:ascii="仿宋" w:hAnsi="仿宋" w:eastAsia="仿宋" w:cs="华文仿宋"/>
                <w:color w:val="000000"/>
                <w:lang w:bidi="ar"/>
              </w:rPr>
              <w:t>政府采购执行准确率</w:t>
            </w:r>
          </w:p>
        </w:tc>
        <w:tc>
          <w:tcPr>
            <w:tcW w:w="266"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w:t>
            </w:r>
          </w:p>
        </w:tc>
        <w:tc>
          <w:tcPr>
            <w:tcW w:w="596"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90</w:t>
            </w:r>
          </w:p>
        </w:tc>
        <w:tc>
          <w:tcPr>
            <w:tcW w:w="268"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2</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政府采购执行率=（政府采购合同登记金额/政府采购预算数）×100%，政府采购执行率超过90%得满分，低于90%不得分。</w:t>
            </w:r>
          </w:p>
        </w:tc>
        <w:tc>
          <w:tcPr>
            <w:tcW w:w="660" w:type="pct"/>
            <w:shd w:val="clear" w:color="auto" w:fill="auto"/>
            <w:noWrap/>
            <w:vAlign w:val="center"/>
          </w:tcPr>
          <w:p>
            <w:pPr>
              <w:jc w:val="center"/>
              <w:textAlignment w:val="center"/>
              <w:rPr>
                <w:rFonts w:ascii="仿宋" w:hAnsi="仿宋" w:eastAsia="仿宋" w:cs="华文仿宋"/>
                <w:color w:val="000000"/>
              </w:rPr>
            </w:pPr>
            <w:r>
              <w:rPr>
                <w:rFonts w:hint="eastAsia" w:ascii="仿宋" w:hAnsi="仿宋" w:eastAsia="仿宋" w:cs="华文仿宋"/>
                <w:color w:val="000000"/>
                <w:lang w:bidi="ar"/>
              </w:rPr>
              <w:t>0</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rPr>
            </w:pPr>
            <w:r>
              <w:rPr>
                <w:rFonts w:ascii="仿宋" w:hAnsi="仿宋" w:eastAsia="仿宋" w:cs="华文仿宋"/>
                <w:color w:val="000000"/>
                <w:lang w:bidi="ar"/>
              </w:rPr>
              <w:t>政府采购程序性</w:t>
            </w:r>
          </w:p>
        </w:tc>
        <w:tc>
          <w:tcPr>
            <w:tcW w:w="266"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无</w:t>
            </w:r>
          </w:p>
        </w:tc>
        <w:tc>
          <w:tcPr>
            <w:tcW w:w="596"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合规</w:t>
            </w:r>
          </w:p>
        </w:tc>
        <w:tc>
          <w:tcPr>
            <w:tcW w:w="268"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无</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2</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应进行政府采购的项目按规定程序进行政府采购的得满分。未按程序进行政府采购的根据情节轻重扣分。</w:t>
            </w:r>
          </w:p>
        </w:tc>
        <w:tc>
          <w:tcPr>
            <w:tcW w:w="660" w:type="pct"/>
            <w:shd w:val="clear" w:color="auto" w:fill="auto"/>
            <w:noWrap/>
            <w:vAlign w:val="center"/>
          </w:tcPr>
          <w:p>
            <w:pPr>
              <w:jc w:val="center"/>
              <w:textAlignment w:val="center"/>
              <w:rPr>
                <w:rFonts w:ascii="仿宋" w:hAnsi="仿宋" w:eastAsia="仿宋" w:cs="华文仿宋"/>
                <w:color w:val="000000"/>
              </w:rPr>
            </w:pPr>
            <w:r>
              <w:rPr>
                <w:rFonts w:hint="eastAsia" w:ascii="仿宋" w:hAnsi="仿宋" w:eastAsia="仿宋" w:cs="华文仿宋"/>
                <w:color w:val="000000"/>
                <w:lang w:bidi="ar"/>
              </w:rPr>
              <w:t>2</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rPr>
            </w:pPr>
            <w:r>
              <w:rPr>
                <w:rFonts w:ascii="仿宋" w:hAnsi="仿宋" w:eastAsia="仿宋" w:cs="华文仿宋"/>
                <w:color w:val="000000"/>
                <w:lang w:bidi="ar"/>
              </w:rPr>
              <w:t>资产管理合规性</w:t>
            </w:r>
          </w:p>
        </w:tc>
        <w:tc>
          <w:tcPr>
            <w:tcW w:w="266"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无</w:t>
            </w:r>
          </w:p>
        </w:tc>
        <w:tc>
          <w:tcPr>
            <w:tcW w:w="596"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合规</w:t>
            </w:r>
          </w:p>
        </w:tc>
        <w:tc>
          <w:tcPr>
            <w:tcW w:w="268"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无</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2</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1.资产处置是否规范；2.资产账务管理是否合规，是否帐实相符；3.资产处置收入是否及时足额上缴。全部符合得满分，否则酌情扣分，扣完为止。</w:t>
            </w:r>
          </w:p>
        </w:tc>
        <w:tc>
          <w:tcPr>
            <w:tcW w:w="660" w:type="pct"/>
            <w:shd w:val="clear" w:color="auto" w:fill="auto"/>
            <w:noWrap/>
            <w:vAlign w:val="center"/>
          </w:tcPr>
          <w:p>
            <w:pPr>
              <w:jc w:val="center"/>
              <w:textAlignment w:val="center"/>
              <w:rPr>
                <w:rFonts w:ascii="仿宋" w:hAnsi="仿宋" w:eastAsia="仿宋" w:cs="华文仿宋"/>
                <w:color w:val="000000"/>
              </w:rPr>
            </w:pPr>
            <w:r>
              <w:rPr>
                <w:rFonts w:hint="eastAsia" w:ascii="仿宋" w:hAnsi="仿宋" w:eastAsia="仿宋" w:cs="华文仿宋"/>
                <w:color w:val="000000"/>
                <w:lang w:bidi="ar"/>
              </w:rPr>
              <w:t>1.5</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rPr>
            </w:pPr>
            <w:r>
              <w:rPr>
                <w:rFonts w:ascii="仿宋" w:hAnsi="仿宋" w:eastAsia="仿宋" w:cs="华文仿宋"/>
                <w:color w:val="000000"/>
                <w:lang w:bidi="ar"/>
              </w:rPr>
              <w:t>部门课题经费、规划经费、培训经费统一压减率</w:t>
            </w:r>
          </w:p>
        </w:tc>
        <w:tc>
          <w:tcPr>
            <w:tcW w:w="266"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w:t>
            </w:r>
          </w:p>
        </w:tc>
        <w:tc>
          <w:tcPr>
            <w:tcW w:w="596"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30</w:t>
            </w:r>
          </w:p>
        </w:tc>
        <w:tc>
          <w:tcPr>
            <w:tcW w:w="268"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2</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部门课题经费、规划经费、培训经费统一压减率≥30%得满分，＜30%不得分。</w:t>
            </w:r>
          </w:p>
        </w:tc>
        <w:tc>
          <w:tcPr>
            <w:tcW w:w="660"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2</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rPr>
            </w:pPr>
            <w:r>
              <w:rPr>
                <w:rFonts w:ascii="仿宋" w:hAnsi="仿宋" w:eastAsia="仿宋" w:cs="华文仿宋"/>
                <w:color w:val="000000"/>
                <w:lang w:bidi="ar"/>
              </w:rPr>
              <w:t>一般性项目支出压减率</w:t>
            </w:r>
          </w:p>
        </w:tc>
        <w:tc>
          <w:tcPr>
            <w:tcW w:w="266"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w:t>
            </w:r>
          </w:p>
        </w:tc>
        <w:tc>
          <w:tcPr>
            <w:tcW w:w="596"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5</w:t>
            </w:r>
          </w:p>
        </w:tc>
        <w:tc>
          <w:tcPr>
            <w:tcW w:w="268"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2</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部门一般性项目支出压减率大于等于5%得满分，＜5%不得分。</w:t>
            </w:r>
          </w:p>
        </w:tc>
        <w:tc>
          <w:tcPr>
            <w:tcW w:w="660"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0</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561" w:type="pct"/>
            <w:shd w:val="clear" w:color="auto" w:fill="auto"/>
            <w:vAlign w:val="center"/>
          </w:tcPr>
          <w:p>
            <w:pPr>
              <w:textAlignment w:val="center"/>
              <w:rPr>
                <w:rFonts w:ascii="仿宋" w:hAnsi="仿宋" w:eastAsia="仿宋" w:cs="华文仿宋"/>
                <w:color w:val="000000"/>
              </w:rPr>
            </w:pPr>
            <w:r>
              <w:rPr>
                <w:rFonts w:ascii="仿宋" w:hAnsi="仿宋" w:eastAsia="仿宋" w:cs="华文仿宋"/>
                <w:color w:val="000000"/>
                <w:lang w:bidi="ar"/>
              </w:rPr>
              <w:t>预决算信息公开及时性</w:t>
            </w:r>
          </w:p>
        </w:tc>
        <w:tc>
          <w:tcPr>
            <w:tcW w:w="266"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无</w:t>
            </w:r>
          </w:p>
        </w:tc>
        <w:tc>
          <w:tcPr>
            <w:tcW w:w="596" w:type="pct"/>
            <w:shd w:val="clear" w:color="auto" w:fill="auto"/>
            <w:noWrap/>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及时</w:t>
            </w:r>
          </w:p>
        </w:tc>
        <w:tc>
          <w:tcPr>
            <w:tcW w:w="268"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无</w:t>
            </w:r>
          </w:p>
        </w:tc>
        <w:tc>
          <w:tcPr>
            <w:tcW w:w="265" w:type="pct"/>
            <w:shd w:val="clear" w:color="auto" w:fill="auto"/>
            <w:vAlign w:val="center"/>
          </w:tcPr>
          <w:p>
            <w:pPr>
              <w:jc w:val="center"/>
              <w:textAlignment w:val="center"/>
              <w:rPr>
                <w:rFonts w:ascii="仿宋" w:hAnsi="仿宋" w:eastAsia="仿宋" w:cs="华文仿宋"/>
                <w:color w:val="000000"/>
              </w:rPr>
            </w:pPr>
            <w:r>
              <w:rPr>
                <w:rFonts w:ascii="仿宋" w:hAnsi="仿宋" w:eastAsia="仿宋" w:cs="华文仿宋"/>
                <w:color w:val="000000"/>
                <w:lang w:bidi="ar"/>
              </w:rPr>
              <w:t>2</w:t>
            </w:r>
          </w:p>
        </w:tc>
        <w:tc>
          <w:tcPr>
            <w:tcW w:w="2384" w:type="pct"/>
            <w:shd w:val="clear" w:color="auto" w:fill="auto"/>
            <w:vAlign w:val="center"/>
          </w:tcPr>
          <w:p>
            <w:pPr>
              <w:jc w:val="left"/>
              <w:textAlignment w:val="center"/>
              <w:rPr>
                <w:rFonts w:ascii="仿宋" w:hAnsi="仿宋" w:eastAsia="仿宋" w:cs="华文仿宋"/>
                <w:color w:val="000000"/>
                <w:sz w:val="20"/>
                <w:szCs w:val="20"/>
              </w:rPr>
            </w:pPr>
            <w:r>
              <w:rPr>
                <w:rFonts w:ascii="仿宋" w:hAnsi="仿宋" w:eastAsia="仿宋" w:cs="华文仿宋"/>
                <w:color w:val="000000"/>
                <w:sz w:val="20"/>
                <w:szCs w:val="20"/>
                <w:lang w:bidi="ar"/>
              </w:rPr>
              <w:t>1.按规定内容公开预决算信息；2.按规定时限公开预决算信息；3.基础数据信息和会计信息资料真实、完整、准确。以上情况每出现一例不符合要求的扣1分，扣完为止。</w:t>
            </w:r>
          </w:p>
        </w:tc>
        <w:tc>
          <w:tcPr>
            <w:tcW w:w="660" w:type="pct"/>
            <w:shd w:val="clear" w:color="auto" w:fill="auto"/>
            <w:noWrap/>
            <w:vAlign w:val="center"/>
          </w:tcPr>
          <w:p>
            <w:pPr>
              <w:jc w:val="center"/>
              <w:textAlignment w:val="center"/>
              <w:rPr>
                <w:rFonts w:ascii="仿宋" w:hAnsi="仿宋" w:eastAsia="仿宋" w:cs="华文仿宋"/>
                <w:color w:val="000000"/>
              </w:rPr>
            </w:pPr>
            <w:r>
              <w:rPr>
                <w:rFonts w:hint="eastAsia" w:ascii="仿宋" w:hAnsi="仿宋" w:eastAsia="仿宋" w:cs="华文仿宋"/>
                <w:color w:val="000000"/>
                <w:lang w:bidi="ar"/>
              </w:rPr>
              <w:t>2</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20" w:hRule="atLeast"/>
        </w:trPr>
        <w:tc>
          <w:tcPr>
            <w:tcW w:w="1691" w:type="pct"/>
            <w:gridSpan w:val="4"/>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lang w:bidi="ar"/>
              </w:rPr>
              <w:t>小计</w:t>
            </w:r>
          </w:p>
        </w:tc>
        <w:tc>
          <w:tcPr>
            <w:tcW w:w="265" w:type="pct"/>
            <w:noWrap/>
            <w:vAlign w:val="center"/>
          </w:tcPr>
          <w:p>
            <w:pPr>
              <w:jc w:val="center"/>
              <w:textAlignment w:val="center"/>
              <w:rPr>
                <w:rFonts w:ascii="仿宋" w:hAnsi="仿宋" w:eastAsia="仿宋" w:cs="华文仿宋"/>
                <w:color w:val="000000"/>
              </w:rPr>
            </w:pPr>
            <w:r>
              <w:rPr>
                <w:rFonts w:hint="eastAsia" w:ascii="仿宋" w:hAnsi="仿宋" w:eastAsia="仿宋" w:cs="华文仿宋"/>
                <w:color w:val="000000"/>
                <w:lang w:bidi="ar"/>
              </w:rPr>
              <w:t>3</w:t>
            </w:r>
            <w:r>
              <w:rPr>
                <w:rFonts w:ascii="仿宋" w:hAnsi="仿宋" w:eastAsia="仿宋" w:cs="华文仿宋"/>
                <w:color w:val="000000"/>
                <w:lang w:bidi="ar"/>
              </w:rPr>
              <w:t>0</w:t>
            </w:r>
          </w:p>
        </w:tc>
        <w:tc>
          <w:tcPr>
            <w:tcW w:w="2384" w:type="pct"/>
            <w:noWrap/>
            <w:vAlign w:val="center"/>
          </w:tcPr>
          <w:p>
            <w:pPr>
              <w:jc w:val="right"/>
              <w:textAlignment w:val="center"/>
              <w:rPr>
                <w:rFonts w:ascii="仿宋" w:hAnsi="仿宋" w:eastAsia="仿宋" w:cs="华文仿宋"/>
                <w:color w:val="000000"/>
              </w:rPr>
            </w:pPr>
          </w:p>
        </w:tc>
        <w:tc>
          <w:tcPr>
            <w:tcW w:w="660" w:type="pct"/>
            <w:noWrap/>
            <w:vAlign w:val="center"/>
          </w:tcPr>
          <w:p>
            <w:pPr>
              <w:jc w:val="center"/>
              <w:textAlignment w:val="center"/>
              <w:rPr>
                <w:rFonts w:ascii="仿宋" w:hAnsi="仿宋" w:eastAsia="仿宋" w:cs="华文仿宋"/>
                <w:color w:val="000000"/>
              </w:rPr>
            </w:pPr>
            <w:r>
              <w:rPr>
                <w:rFonts w:hint="eastAsia" w:ascii="仿宋" w:hAnsi="仿宋" w:eastAsia="仿宋" w:cs="华文仿宋"/>
                <w:color w:val="000000"/>
                <w:lang w:bidi="ar"/>
              </w:rPr>
              <w:t>20</w:t>
            </w:r>
          </w:p>
        </w:tc>
      </w:tr>
    </w:tbl>
    <w:p>
      <w:pPr>
        <w:spacing w:line="360" w:lineRule="auto"/>
        <w:ind w:firstLine="560" w:firstLineChars="200"/>
        <w:outlineLvl w:val="1"/>
        <w:rPr>
          <w:rFonts w:ascii="仿宋" w:hAnsi="仿宋" w:eastAsia="仿宋"/>
          <w:color w:val="000000"/>
          <w:sz w:val="28"/>
          <w:szCs w:val="28"/>
        </w:rPr>
      </w:pPr>
      <w:r>
        <w:rPr>
          <w:rFonts w:hint="eastAsia" w:ascii="仿宋" w:hAnsi="仿宋" w:eastAsia="仿宋"/>
          <w:bCs/>
          <w:color w:val="000000"/>
          <w:sz w:val="28"/>
          <w:szCs w:val="28"/>
        </w:rPr>
        <w:t>1.</w:t>
      </w:r>
      <w:r>
        <w:rPr>
          <w:rFonts w:hint="eastAsia" w:ascii="仿宋" w:hAnsi="仿宋" w:eastAsia="仿宋"/>
          <w:bCs/>
          <w:sz w:val="28"/>
          <w:szCs w:val="28"/>
        </w:rPr>
        <w:t>预算执行率</w:t>
      </w:r>
      <w:r>
        <w:rPr>
          <w:rFonts w:hint="eastAsia" w:ascii="仿宋" w:hAnsi="仿宋" w:eastAsia="仿宋"/>
          <w:color w:val="000000"/>
          <w:sz w:val="28"/>
          <w:szCs w:val="28"/>
        </w:rPr>
        <w:t>标准分值为8分。预算执行率=部门整体支出/(上年结转+年初预算+本年追加追减预算（不含年底收回））×100%，90%以上计满分，少5%扣1分。全年预算数5,013.18万元,全年执行数3,140.65万元;执行率=3,140.65/5,013.18=62.65%。</w:t>
      </w:r>
      <w:r>
        <w:rPr>
          <w:rFonts w:hint="eastAsia" w:ascii="仿宋" w:hAnsi="仿宋" w:eastAsia="仿宋"/>
          <w:sz w:val="28"/>
          <w:szCs w:val="28"/>
        </w:rPr>
        <w:t>根据评价标准</w:t>
      </w:r>
      <w:r>
        <w:rPr>
          <w:rFonts w:hint="eastAsia" w:ascii="仿宋" w:hAnsi="仿宋" w:eastAsia="仿宋"/>
          <w:color w:val="000000"/>
          <w:sz w:val="28"/>
          <w:szCs w:val="28"/>
        </w:rPr>
        <w:t>扣5分，预算执行率本次绩效评价得分3分。</w:t>
      </w:r>
    </w:p>
    <w:p>
      <w:pPr>
        <w:spacing w:line="360" w:lineRule="auto"/>
        <w:ind w:firstLine="560" w:firstLineChars="200"/>
        <w:outlineLvl w:val="1"/>
        <w:rPr>
          <w:rFonts w:ascii="仿宋" w:hAnsi="仿宋" w:eastAsia="仿宋"/>
          <w:color w:val="000000"/>
          <w:sz w:val="28"/>
          <w:szCs w:val="28"/>
        </w:rPr>
      </w:pPr>
      <w:r>
        <w:rPr>
          <w:rFonts w:hint="eastAsia" w:ascii="仿宋" w:hAnsi="仿宋" w:eastAsia="仿宋"/>
          <w:bCs/>
          <w:color w:val="000000"/>
          <w:sz w:val="28"/>
          <w:szCs w:val="28"/>
        </w:rPr>
        <w:t>2.资金使用合规性</w:t>
      </w:r>
      <w:r>
        <w:rPr>
          <w:rFonts w:hint="eastAsia" w:ascii="仿宋" w:hAnsi="仿宋" w:eastAsia="仿宋"/>
          <w:color w:val="000000"/>
          <w:sz w:val="28"/>
          <w:szCs w:val="28"/>
        </w:rPr>
        <w:t>标准分值为6分。本次抽查财务凭证，未见资金拨付审批程序和手续不合规；预算调整上会通过；资金使用多为财政直接支付，未发现资金使用截留等情况。资金使用合规性本次</w:t>
      </w:r>
      <w:r>
        <w:rPr>
          <w:rFonts w:ascii="仿宋" w:hAnsi="仿宋" w:eastAsia="仿宋"/>
          <w:color w:val="000000"/>
          <w:sz w:val="28"/>
          <w:szCs w:val="28"/>
        </w:rPr>
        <w:t>绩效评价</w:t>
      </w:r>
      <w:r>
        <w:rPr>
          <w:rFonts w:hint="eastAsia" w:ascii="仿宋" w:hAnsi="仿宋" w:eastAsia="仿宋"/>
          <w:color w:val="000000"/>
          <w:sz w:val="28"/>
          <w:szCs w:val="28"/>
        </w:rPr>
        <w:t>得分6分。</w:t>
      </w:r>
    </w:p>
    <w:p>
      <w:pPr>
        <w:spacing w:line="360" w:lineRule="auto"/>
        <w:ind w:firstLine="560" w:firstLineChars="200"/>
        <w:outlineLvl w:val="1"/>
        <w:rPr>
          <w:rFonts w:ascii="仿宋" w:hAnsi="仿宋" w:eastAsia="仿宋"/>
          <w:color w:val="000000"/>
          <w:sz w:val="28"/>
          <w:szCs w:val="28"/>
        </w:rPr>
      </w:pPr>
      <w:r>
        <w:rPr>
          <w:rFonts w:hint="eastAsia" w:ascii="仿宋" w:hAnsi="仿宋" w:eastAsia="仿宋"/>
          <w:bCs/>
          <w:color w:val="000000"/>
          <w:sz w:val="28"/>
          <w:szCs w:val="28"/>
        </w:rPr>
        <w:t>3.绩效目标明确性</w:t>
      </w:r>
      <w:r>
        <w:rPr>
          <w:rFonts w:hint="eastAsia" w:ascii="仿宋" w:hAnsi="仿宋" w:eastAsia="仿宋"/>
          <w:color w:val="000000"/>
          <w:sz w:val="28"/>
          <w:szCs w:val="28"/>
        </w:rPr>
        <w:t>标准分值为4分。根据区生态环境局提供的2020年度部门整体支出绩效自评表，个别绩效指标评价标准不够清晰，可衡量性差，如“声环境质量”评价指标为“达到目标得满分，未达到按完成比例得分或不得分”未对标准进行详细说明，可衡量性差，扣0.50分；检查工作总结与年初计划，工作任务基本完成。根据评价标准扣0.50分，本次</w:t>
      </w:r>
      <w:r>
        <w:rPr>
          <w:rFonts w:ascii="仿宋" w:hAnsi="仿宋" w:eastAsia="仿宋"/>
          <w:color w:val="000000"/>
          <w:sz w:val="28"/>
          <w:szCs w:val="28"/>
        </w:rPr>
        <w:t>绩效评价得分</w:t>
      </w:r>
      <w:r>
        <w:rPr>
          <w:rFonts w:hint="eastAsia" w:ascii="仿宋" w:hAnsi="仿宋" w:eastAsia="仿宋"/>
          <w:color w:val="000000"/>
          <w:sz w:val="28"/>
          <w:szCs w:val="28"/>
        </w:rPr>
        <w:t>3.50</w:t>
      </w:r>
      <w:r>
        <w:rPr>
          <w:rFonts w:ascii="仿宋" w:hAnsi="仿宋" w:eastAsia="仿宋"/>
          <w:color w:val="000000"/>
          <w:sz w:val="28"/>
          <w:szCs w:val="28"/>
        </w:rPr>
        <w:t>分。</w:t>
      </w:r>
    </w:p>
    <w:p>
      <w:pPr>
        <w:spacing w:line="360" w:lineRule="auto"/>
        <w:ind w:firstLine="560" w:firstLineChars="200"/>
        <w:outlineLvl w:val="1"/>
        <w:rPr>
          <w:rFonts w:ascii="仿宋" w:hAnsi="仿宋" w:eastAsia="仿宋"/>
          <w:color w:val="000000"/>
          <w:sz w:val="28"/>
          <w:szCs w:val="28"/>
        </w:rPr>
      </w:pPr>
      <w:r>
        <w:rPr>
          <w:rFonts w:hint="eastAsia" w:ascii="仿宋" w:hAnsi="仿宋" w:eastAsia="仿宋"/>
          <w:bCs/>
          <w:color w:val="000000"/>
          <w:sz w:val="28"/>
          <w:szCs w:val="28"/>
        </w:rPr>
        <w:t>4.政府采购执行准确率</w:t>
      </w:r>
      <w:r>
        <w:rPr>
          <w:rFonts w:hint="eastAsia" w:ascii="仿宋" w:hAnsi="仿宋" w:eastAsia="仿宋"/>
          <w:color w:val="000000"/>
          <w:sz w:val="28"/>
          <w:szCs w:val="28"/>
        </w:rPr>
        <w:t>标准分值为2分。</w:t>
      </w:r>
      <w:r>
        <w:rPr>
          <w:rFonts w:hint="eastAsia" w:ascii="仿宋" w:hAnsi="仿宋" w:eastAsia="仿宋"/>
          <w:sz w:val="28"/>
          <w:szCs w:val="28"/>
        </w:rPr>
        <w:t>根据重庆市渝中区环境保护局关于印发《重庆市渝中区环境保护局政府采购管理制度》、渝中区生态环境局采购预算及批复，并抽查财务凭证、预算审批单及政府采购合同，实际政府采购金额为</w:t>
      </w:r>
      <w:r>
        <w:rPr>
          <w:rFonts w:ascii="仿宋" w:hAnsi="仿宋" w:eastAsia="仿宋"/>
          <w:sz w:val="28"/>
          <w:szCs w:val="28"/>
        </w:rPr>
        <w:t>350.46万元。根据政府采购计划和重庆市政府采购网公布的招标信息，政府采购预算数为569.60万元。政府采购执行率=（</w:t>
      </w:r>
      <w:r>
        <w:rPr>
          <w:rFonts w:hint="eastAsia" w:ascii="仿宋" w:hAnsi="仿宋" w:eastAsia="仿宋"/>
          <w:sz w:val="28"/>
          <w:szCs w:val="28"/>
        </w:rPr>
        <w:t>政府采购合同登记金额/政府采购预算数</w:t>
      </w:r>
      <w:r>
        <w:rPr>
          <w:rFonts w:ascii="仿宋" w:hAnsi="仿宋" w:eastAsia="仿宋"/>
          <w:sz w:val="28"/>
          <w:szCs w:val="28"/>
        </w:rPr>
        <w:t>）×100%=</w:t>
      </w:r>
      <w:r>
        <w:rPr>
          <w:rFonts w:hint="eastAsia" w:ascii="仿宋" w:hAnsi="仿宋" w:eastAsia="仿宋"/>
          <w:sz w:val="28"/>
          <w:szCs w:val="28"/>
        </w:rPr>
        <w:t>（</w:t>
      </w:r>
      <w:r>
        <w:rPr>
          <w:rFonts w:ascii="仿宋" w:hAnsi="仿宋" w:eastAsia="仿宋"/>
          <w:sz w:val="28"/>
          <w:szCs w:val="28"/>
        </w:rPr>
        <w:t>350.46</w:t>
      </w:r>
      <w:r>
        <w:rPr>
          <w:rFonts w:hint="eastAsia" w:ascii="仿宋" w:hAnsi="仿宋" w:eastAsia="仿宋"/>
          <w:sz w:val="28"/>
          <w:szCs w:val="28"/>
        </w:rPr>
        <w:t>/</w:t>
      </w:r>
      <w:r>
        <w:rPr>
          <w:rFonts w:ascii="仿宋" w:hAnsi="仿宋" w:eastAsia="仿宋"/>
          <w:sz w:val="28"/>
          <w:szCs w:val="28"/>
        </w:rPr>
        <w:t>569.60</w:t>
      </w:r>
      <w:r>
        <w:rPr>
          <w:rFonts w:hint="eastAsia" w:ascii="仿宋" w:hAnsi="仿宋" w:eastAsia="仿宋"/>
          <w:sz w:val="28"/>
          <w:szCs w:val="28"/>
        </w:rPr>
        <w:t>）×100%=61.53%</w:t>
      </w:r>
      <w:r>
        <w:rPr>
          <w:rFonts w:ascii="仿宋" w:hAnsi="仿宋" w:eastAsia="仿宋"/>
          <w:sz w:val="28"/>
          <w:szCs w:val="28"/>
        </w:rPr>
        <w:t>，低于</w:t>
      </w:r>
      <w:r>
        <w:rPr>
          <w:rFonts w:hint="eastAsia" w:ascii="仿宋" w:hAnsi="仿宋" w:eastAsia="仿宋"/>
          <w:sz w:val="28"/>
          <w:szCs w:val="28"/>
        </w:rPr>
        <w:t>90%，</w:t>
      </w:r>
      <w:r>
        <w:rPr>
          <w:rFonts w:hint="eastAsia" w:ascii="仿宋" w:hAnsi="仿宋" w:eastAsia="仿宋"/>
          <w:color w:val="000000"/>
          <w:sz w:val="28"/>
          <w:szCs w:val="28"/>
        </w:rPr>
        <w:t>根据评价标准扣2分，</w:t>
      </w:r>
      <w:r>
        <w:rPr>
          <w:rFonts w:ascii="仿宋" w:hAnsi="仿宋" w:eastAsia="仿宋"/>
          <w:sz w:val="28"/>
          <w:szCs w:val="28"/>
        </w:rPr>
        <w:t>政府采购执行率本次绩效评价得分</w:t>
      </w:r>
      <w:r>
        <w:rPr>
          <w:rFonts w:hint="eastAsia" w:ascii="仿宋" w:hAnsi="仿宋" w:eastAsia="仿宋"/>
          <w:sz w:val="28"/>
          <w:szCs w:val="28"/>
        </w:rPr>
        <w:t>0</w:t>
      </w:r>
      <w:r>
        <w:rPr>
          <w:rFonts w:ascii="仿宋" w:hAnsi="仿宋" w:eastAsia="仿宋"/>
          <w:sz w:val="28"/>
          <w:szCs w:val="28"/>
        </w:rPr>
        <w:t>分。</w:t>
      </w:r>
    </w:p>
    <w:p>
      <w:pPr>
        <w:spacing w:line="360" w:lineRule="auto"/>
        <w:ind w:firstLine="560" w:firstLineChars="200"/>
        <w:outlineLvl w:val="1"/>
        <w:rPr>
          <w:rFonts w:ascii="仿宋" w:hAnsi="仿宋" w:eastAsia="仿宋"/>
          <w:color w:val="000000"/>
          <w:sz w:val="28"/>
          <w:szCs w:val="28"/>
        </w:rPr>
      </w:pPr>
      <w:r>
        <w:rPr>
          <w:rFonts w:hint="eastAsia" w:ascii="仿宋" w:hAnsi="仿宋" w:eastAsia="仿宋"/>
          <w:bCs/>
          <w:color w:val="000000"/>
          <w:sz w:val="28"/>
          <w:szCs w:val="28"/>
        </w:rPr>
        <w:t>5.政府采购程序性</w:t>
      </w:r>
      <w:r>
        <w:rPr>
          <w:rFonts w:hint="eastAsia" w:ascii="仿宋" w:hAnsi="仿宋" w:eastAsia="仿宋"/>
          <w:color w:val="000000"/>
          <w:sz w:val="28"/>
          <w:szCs w:val="28"/>
        </w:rPr>
        <w:t>标准分值为2分。根据重庆市渝中区环境保护局关于印发《重庆市渝中区环境保护局财务管理办法》《重庆市渝中区环境保护局固定资产管理办法》《重庆市渝中区环境保护局政府采购管理制度》的通知，以及</w:t>
      </w:r>
      <w:r>
        <w:rPr>
          <w:rFonts w:hint="eastAsia" w:ascii="仿宋" w:hAnsi="仿宋" w:eastAsia="仿宋"/>
          <w:sz w:val="28"/>
          <w:szCs w:val="28"/>
        </w:rPr>
        <w:t>抽查财务凭证、会议书面记录、预算审批单及采购合同等资料</w:t>
      </w:r>
      <w:r>
        <w:rPr>
          <w:rFonts w:hint="eastAsia" w:ascii="仿宋" w:hAnsi="仿宋" w:eastAsia="仿宋"/>
          <w:color w:val="000000"/>
          <w:sz w:val="28"/>
          <w:szCs w:val="28"/>
        </w:rPr>
        <w:t>，该部门采购项目未发现不合规现象。政府采购程序性</w:t>
      </w:r>
      <w:r>
        <w:rPr>
          <w:rFonts w:ascii="仿宋" w:hAnsi="仿宋" w:eastAsia="仿宋"/>
          <w:sz w:val="28"/>
          <w:szCs w:val="28"/>
        </w:rPr>
        <w:t>本次绩效评价得分</w:t>
      </w:r>
      <w:r>
        <w:rPr>
          <w:rFonts w:hint="eastAsia" w:ascii="仿宋" w:hAnsi="仿宋" w:eastAsia="仿宋"/>
          <w:sz w:val="28"/>
          <w:szCs w:val="28"/>
        </w:rPr>
        <w:t>2</w:t>
      </w:r>
      <w:r>
        <w:rPr>
          <w:rFonts w:ascii="仿宋" w:hAnsi="仿宋" w:eastAsia="仿宋"/>
          <w:sz w:val="28"/>
          <w:szCs w:val="28"/>
        </w:rPr>
        <w:t>分。</w:t>
      </w:r>
    </w:p>
    <w:p>
      <w:pPr>
        <w:ind w:firstLine="560" w:firstLineChars="200"/>
        <w:outlineLvl w:val="1"/>
        <w:rPr>
          <w:rFonts w:ascii="仿宋" w:hAnsi="仿宋" w:eastAsia="仿宋"/>
        </w:rPr>
      </w:pPr>
      <w:r>
        <w:rPr>
          <w:rFonts w:hint="eastAsia" w:ascii="仿宋" w:hAnsi="仿宋" w:eastAsia="仿宋"/>
          <w:bCs/>
          <w:color w:val="000000"/>
          <w:sz w:val="28"/>
          <w:szCs w:val="28"/>
        </w:rPr>
        <w:t>6.资产管理合规性</w:t>
      </w:r>
      <w:r>
        <w:rPr>
          <w:rFonts w:hint="eastAsia" w:ascii="仿宋" w:hAnsi="仿宋" w:eastAsia="仿宋"/>
          <w:color w:val="000000"/>
          <w:sz w:val="28"/>
          <w:szCs w:val="28"/>
        </w:rPr>
        <w:t>标准分值为2分。根据重庆市渝中区环境保护局关于印发《重庆市渝中区环境保护局固定资产管理办法》，以及进行现场固定资产抽盘，抽查凭证、资产购置合同、资产处置批复、划转固定资产的批复等相关资料，发现部分固定资产卡片不全的情况，扣0.5分。根据评价标准扣0.5分，资产管理合规性本次绩效评价得1.50分。</w:t>
      </w:r>
    </w:p>
    <w:p>
      <w:pPr>
        <w:spacing w:line="360" w:lineRule="auto"/>
        <w:ind w:firstLine="560" w:firstLineChars="200"/>
        <w:outlineLvl w:val="1"/>
        <w:rPr>
          <w:rFonts w:ascii="仿宋" w:hAnsi="仿宋" w:eastAsia="仿宋"/>
          <w:color w:val="000000"/>
          <w:sz w:val="28"/>
          <w:szCs w:val="28"/>
        </w:rPr>
      </w:pPr>
      <w:r>
        <w:rPr>
          <w:rFonts w:hint="eastAsia" w:ascii="仿宋" w:hAnsi="仿宋" w:eastAsia="仿宋"/>
          <w:bCs/>
          <w:color w:val="000000"/>
          <w:sz w:val="28"/>
          <w:szCs w:val="28"/>
        </w:rPr>
        <w:t>7.部门课题经费、规划经费、培训经费统一压减率</w:t>
      </w:r>
      <w:r>
        <w:rPr>
          <w:rFonts w:hint="eastAsia" w:ascii="仿宋" w:hAnsi="仿宋" w:eastAsia="仿宋"/>
          <w:color w:val="000000"/>
          <w:sz w:val="28"/>
          <w:szCs w:val="28"/>
        </w:rPr>
        <w:t>标准分值为2分。根据该部门课题经费、规划经费、培训经费预算情况，年初预算金额为</w:t>
      </w:r>
      <w:r>
        <w:rPr>
          <w:rFonts w:ascii="仿宋" w:hAnsi="仿宋" w:eastAsia="仿宋"/>
          <w:color w:val="000000"/>
          <w:sz w:val="28"/>
          <w:szCs w:val="28"/>
        </w:rPr>
        <w:t>27.00万</w:t>
      </w:r>
      <w:r>
        <w:rPr>
          <w:rFonts w:hint="eastAsia" w:ascii="仿宋" w:hAnsi="仿宋" w:eastAsia="仿宋"/>
          <w:color w:val="000000"/>
          <w:sz w:val="28"/>
          <w:szCs w:val="28"/>
        </w:rPr>
        <w:t>元，压减金额</w:t>
      </w:r>
      <w:r>
        <w:rPr>
          <w:rFonts w:ascii="仿宋" w:hAnsi="仿宋" w:eastAsia="仿宋"/>
          <w:color w:val="000000"/>
          <w:sz w:val="28"/>
          <w:szCs w:val="28"/>
        </w:rPr>
        <w:t>8.10万</w:t>
      </w:r>
      <w:r>
        <w:rPr>
          <w:rFonts w:hint="eastAsia" w:ascii="仿宋" w:hAnsi="仿宋" w:eastAsia="仿宋"/>
          <w:color w:val="000000"/>
          <w:sz w:val="28"/>
          <w:szCs w:val="28"/>
        </w:rPr>
        <w:t>元，压减率=压减金额/年初预算金额=</w:t>
      </w:r>
      <w:r>
        <w:rPr>
          <w:rFonts w:ascii="仿宋" w:hAnsi="仿宋" w:eastAsia="仿宋"/>
          <w:color w:val="000000"/>
          <w:sz w:val="28"/>
          <w:szCs w:val="28"/>
        </w:rPr>
        <w:t>8.10</w:t>
      </w:r>
      <w:r>
        <w:rPr>
          <w:rFonts w:hint="eastAsia" w:ascii="仿宋" w:hAnsi="仿宋" w:eastAsia="仿宋"/>
          <w:color w:val="000000"/>
          <w:sz w:val="28"/>
          <w:szCs w:val="28"/>
        </w:rPr>
        <w:t>/</w:t>
      </w:r>
      <w:r>
        <w:rPr>
          <w:rFonts w:ascii="仿宋" w:hAnsi="仿宋" w:eastAsia="仿宋"/>
          <w:color w:val="000000"/>
          <w:sz w:val="28"/>
          <w:szCs w:val="28"/>
        </w:rPr>
        <w:t>27.00</w:t>
      </w:r>
      <w:r>
        <w:rPr>
          <w:rFonts w:hint="eastAsia" w:ascii="仿宋" w:hAnsi="仿宋" w:eastAsia="仿宋"/>
          <w:color w:val="000000"/>
          <w:sz w:val="28"/>
          <w:szCs w:val="28"/>
        </w:rPr>
        <w:t>=30.00%（≥30%）。部门课题经费、规划经费、培训经费统一压减率符合评价标准，本次绩效评价得2分。</w:t>
      </w:r>
    </w:p>
    <w:p>
      <w:pPr>
        <w:spacing w:line="360" w:lineRule="auto"/>
        <w:ind w:firstLine="560" w:firstLineChars="200"/>
        <w:outlineLvl w:val="1"/>
        <w:rPr>
          <w:rFonts w:ascii="仿宋" w:hAnsi="仿宋" w:eastAsia="仿宋"/>
          <w:color w:val="000000"/>
          <w:sz w:val="28"/>
          <w:szCs w:val="28"/>
        </w:rPr>
      </w:pPr>
      <w:r>
        <w:rPr>
          <w:rFonts w:hint="eastAsia" w:ascii="仿宋" w:hAnsi="仿宋" w:eastAsia="仿宋"/>
          <w:bCs/>
          <w:color w:val="000000"/>
          <w:sz w:val="28"/>
          <w:szCs w:val="28"/>
        </w:rPr>
        <w:t>8.一般性项目支出压减率</w:t>
      </w:r>
      <w:r>
        <w:rPr>
          <w:rFonts w:hint="eastAsia" w:ascii="仿宋" w:hAnsi="仿宋" w:eastAsia="仿宋"/>
          <w:color w:val="000000"/>
          <w:sz w:val="28"/>
          <w:szCs w:val="28"/>
        </w:rPr>
        <w:t>标准分值为2分。根据该部门一般性项目支出情况，2019年支出</w:t>
      </w:r>
      <w:r>
        <w:rPr>
          <w:rFonts w:ascii="仿宋" w:hAnsi="仿宋" w:eastAsia="仿宋"/>
          <w:color w:val="000000"/>
          <w:sz w:val="28"/>
          <w:szCs w:val="28"/>
        </w:rPr>
        <w:t>637.99万</w:t>
      </w:r>
      <w:r>
        <w:rPr>
          <w:rFonts w:hint="eastAsia" w:ascii="仿宋" w:hAnsi="仿宋" w:eastAsia="仿宋"/>
          <w:color w:val="000000"/>
          <w:sz w:val="28"/>
          <w:szCs w:val="28"/>
        </w:rPr>
        <w:t>元，2020年支出</w:t>
      </w:r>
      <w:r>
        <w:rPr>
          <w:rFonts w:ascii="仿宋" w:hAnsi="仿宋" w:eastAsia="仿宋"/>
          <w:color w:val="000000"/>
          <w:sz w:val="28"/>
          <w:szCs w:val="28"/>
        </w:rPr>
        <w:t>839.19万</w:t>
      </w:r>
      <w:r>
        <w:rPr>
          <w:rFonts w:hint="eastAsia" w:ascii="仿宋" w:hAnsi="仿宋" w:eastAsia="仿宋"/>
          <w:color w:val="000000"/>
          <w:sz w:val="28"/>
          <w:szCs w:val="28"/>
        </w:rPr>
        <w:t>元，压减率=本年减少金额/上年金额=（</w:t>
      </w:r>
      <w:r>
        <w:rPr>
          <w:rFonts w:ascii="仿宋" w:hAnsi="仿宋" w:eastAsia="仿宋"/>
          <w:color w:val="000000"/>
          <w:sz w:val="28"/>
          <w:szCs w:val="28"/>
        </w:rPr>
        <w:t>637.99</w:t>
      </w:r>
      <w:r>
        <w:rPr>
          <w:rFonts w:hint="eastAsia" w:ascii="仿宋" w:hAnsi="仿宋" w:eastAsia="仿宋"/>
          <w:color w:val="000000"/>
          <w:sz w:val="28"/>
          <w:szCs w:val="28"/>
        </w:rPr>
        <w:t>-</w:t>
      </w:r>
      <w:r>
        <w:rPr>
          <w:rFonts w:ascii="仿宋" w:hAnsi="仿宋" w:eastAsia="仿宋"/>
          <w:color w:val="000000"/>
          <w:sz w:val="28"/>
          <w:szCs w:val="28"/>
        </w:rPr>
        <w:t>839.19</w:t>
      </w:r>
      <w:r>
        <w:rPr>
          <w:rFonts w:hint="eastAsia" w:ascii="仿宋" w:hAnsi="仿宋" w:eastAsia="仿宋"/>
          <w:color w:val="000000"/>
          <w:sz w:val="28"/>
          <w:szCs w:val="28"/>
        </w:rPr>
        <w:t>）/</w:t>
      </w:r>
      <w:r>
        <w:rPr>
          <w:rFonts w:ascii="仿宋" w:hAnsi="仿宋" w:eastAsia="仿宋"/>
          <w:color w:val="000000"/>
          <w:sz w:val="28"/>
          <w:szCs w:val="28"/>
        </w:rPr>
        <w:t>637.99</w:t>
      </w:r>
      <w:r>
        <w:rPr>
          <w:rFonts w:hint="eastAsia" w:ascii="仿宋" w:hAnsi="仿宋" w:eastAsia="仿宋"/>
          <w:color w:val="000000"/>
          <w:sz w:val="28"/>
          <w:szCs w:val="28"/>
        </w:rPr>
        <w:t>=</w:t>
      </w:r>
      <w:r>
        <w:rPr>
          <w:rFonts w:ascii="仿宋" w:hAnsi="仿宋" w:eastAsia="仿宋"/>
          <w:color w:val="000000"/>
          <w:sz w:val="28"/>
          <w:szCs w:val="28"/>
        </w:rPr>
        <w:t>-31.54%</w:t>
      </w:r>
      <w:r>
        <w:rPr>
          <w:rFonts w:hint="eastAsia" w:ascii="仿宋" w:hAnsi="仿宋" w:eastAsia="仿宋"/>
          <w:color w:val="000000"/>
          <w:sz w:val="28"/>
          <w:szCs w:val="28"/>
        </w:rPr>
        <w:t>，本年一般性项目支出增加，未减少，压缩率为</w:t>
      </w:r>
      <w:r>
        <w:rPr>
          <w:rFonts w:ascii="仿宋" w:hAnsi="仿宋" w:eastAsia="仿宋"/>
          <w:color w:val="000000"/>
          <w:sz w:val="28"/>
          <w:szCs w:val="28"/>
        </w:rPr>
        <w:t>-31.54%</w:t>
      </w:r>
      <w:r>
        <w:rPr>
          <w:rFonts w:hint="eastAsia" w:ascii="仿宋" w:hAnsi="仿宋" w:eastAsia="仿宋"/>
          <w:color w:val="000000"/>
          <w:sz w:val="28"/>
          <w:szCs w:val="28"/>
        </w:rPr>
        <w:t>，扣2分。根据评价标准扣2分，本次一般性项目支出压减率绩效评价得分0分。</w:t>
      </w:r>
    </w:p>
    <w:p>
      <w:pPr>
        <w:spacing w:line="360" w:lineRule="auto"/>
        <w:ind w:firstLine="560" w:firstLineChars="200"/>
        <w:outlineLvl w:val="1"/>
        <w:rPr>
          <w:rFonts w:ascii="仿宋" w:hAnsi="仿宋" w:eastAsia="仿宋"/>
          <w:color w:val="000000"/>
          <w:sz w:val="28"/>
          <w:szCs w:val="28"/>
        </w:rPr>
      </w:pPr>
      <w:r>
        <w:rPr>
          <w:rFonts w:hint="eastAsia" w:ascii="仿宋" w:hAnsi="仿宋" w:eastAsia="仿宋"/>
          <w:bCs/>
          <w:color w:val="000000"/>
          <w:sz w:val="28"/>
          <w:szCs w:val="28"/>
        </w:rPr>
        <w:t>9.预决算信息公开及时性</w:t>
      </w:r>
      <w:r>
        <w:rPr>
          <w:rFonts w:hint="eastAsia" w:ascii="仿宋" w:hAnsi="仿宋" w:eastAsia="仿宋"/>
          <w:color w:val="000000"/>
          <w:sz w:val="28"/>
          <w:szCs w:val="28"/>
        </w:rPr>
        <w:t>标准分值为2分。经查询官网，2020年9月30日公开2019年度预决算信息；在政府预决算批准后按时向社会公开；该指标符合评价要点，本次绩效得分2分。预决算信息公开及时性此次绩效评价得分2分。</w:t>
      </w:r>
    </w:p>
    <w:p>
      <w:pPr>
        <w:spacing w:line="360" w:lineRule="auto"/>
        <w:ind w:firstLine="562" w:firstLineChars="200"/>
        <w:outlineLvl w:val="1"/>
        <w:rPr>
          <w:rFonts w:ascii="仿宋" w:hAnsi="仿宋" w:eastAsia="仿宋"/>
          <w:b/>
          <w:color w:val="000000"/>
          <w:sz w:val="28"/>
          <w:szCs w:val="28"/>
        </w:rPr>
      </w:pPr>
      <w:r>
        <w:rPr>
          <w:rFonts w:hint="eastAsia" w:ascii="仿宋" w:hAnsi="仿宋" w:eastAsia="仿宋"/>
          <w:b/>
          <w:color w:val="000000"/>
          <w:sz w:val="28"/>
          <w:szCs w:val="28"/>
        </w:rPr>
        <w:t>四、综合评价情况及评价结论</w:t>
      </w:r>
    </w:p>
    <w:p>
      <w:pPr>
        <w:spacing w:line="360" w:lineRule="auto"/>
        <w:ind w:firstLine="560" w:firstLineChars="200"/>
        <w:rPr>
          <w:rFonts w:ascii="仿宋" w:hAnsi="仿宋" w:eastAsia="仿宋"/>
          <w:color w:val="FF0000"/>
          <w:sz w:val="28"/>
          <w:szCs w:val="28"/>
        </w:rPr>
      </w:pPr>
      <w:r>
        <w:rPr>
          <w:rFonts w:hint="eastAsia" w:ascii="仿宋" w:hAnsi="仿宋" w:eastAsia="仿宋"/>
          <w:color w:val="000000"/>
          <w:sz w:val="28"/>
          <w:szCs w:val="28"/>
        </w:rPr>
        <w:t>根据设定的绩效目标，重庆市渝中区生态环境局</w:t>
      </w:r>
      <w:r>
        <w:rPr>
          <w:rFonts w:ascii="仿宋" w:hAnsi="仿宋" w:eastAsia="仿宋"/>
          <w:color w:val="000000"/>
          <w:sz w:val="28"/>
          <w:szCs w:val="28"/>
        </w:rPr>
        <w:t>20</w:t>
      </w:r>
      <w:r>
        <w:rPr>
          <w:rFonts w:hint="eastAsia" w:ascii="仿宋" w:hAnsi="仿宋" w:eastAsia="仿宋"/>
          <w:color w:val="000000"/>
          <w:sz w:val="28"/>
          <w:szCs w:val="28"/>
        </w:rPr>
        <w:t>20年部门整体支出绩效评价得</w:t>
      </w:r>
      <w:r>
        <w:rPr>
          <w:rFonts w:hint="eastAsia" w:ascii="仿宋" w:hAnsi="仿宋" w:eastAsia="仿宋"/>
          <w:sz w:val="28"/>
          <w:szCs w:val="28"/>
        </w:rPr>
        <w:t>分为90.00分，绩效评价等级为：良，各项指标得分情况如下：</w:t>
      </w:r>
    </w:p>
    <w:tbl>
      <w:tblPr>
        <w:tblStyle w:val="8"/>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190"/>
        <w:gridCol w:w="1175"/>
        <w:gridCol w:w="1182"/>
        <w:gridCol w:w="1476"/>
        <w:gridCol w:w="1476"/>
        <w:gridCol w:w="1299"/>
        <w:gridCol w:w="131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653" w:type="pct"/>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指标</w:t>
            </w:r>
          </w:p>
        </w:tc>
        <w:tc>
          <w:tcPr>
            <w:tcW w:w="644" w:type="pct"/>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履职效能</w:t>
            </w:r>
          </w:p>
        </w:tc>
        <w:tc>
          <w:tcPr>
            <w:tcW w:w="648" w:type="pct"/>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社会效应</w:t>
            </w:r>
          </w:p>
        </w:tc>
        <w:tc>
          <w:tcPr>
            <w:tcW w:w="809" w:type="pct"/>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可持续发展能力</w:t>
            </w:r>
          </w:p>
        </w:tc>
        <w:tc>
          <w:tcPr>
            <w:tcW w:w="809" w:type="pct"/>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服务对象满意度</w:t>
            </w:r>
          </w:p>
        </w:tc>
        <w:tc>
          <w:tcPr>
            <w:tcW w:w="712" w:type="pct"/>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管理类</w:t>
            </w:r>
          </w:p>
        </w:tc>
        <w:tc>
          <w:tcPr>
            <w:tcW w:w="723" w:type="pct"/>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653" w:type="pct"/>
            <w:noWrap/>
            <w:vAlign w:val="center"/>
          </w:tcPr>
          <w:p>
            <w:pPr>
              <w:rPr>
                <w:rFonts w:ascii="仿宋" w:hAnsi="仿宋" w:eastAsia="仿宋"/>
                <w:color w:val="000000"/>
                <w:sz w:val="18"/>
                <w:szCs w:val="18"/>
              </w:rPr>
            </w:pPr>
            <w:r>
              <w:rPr>
                <w:rFonts w:hint="eastAsia" w:ascii="仿宋" w:hAnsi="仿宋" w:eastAsia="仿宋"/>
                <w:color w:val="000000"/>
                <w:sz w:val="18"/>
                <w:szCs w:val="18"/>
              </w:rPr>
              <w:t>标准分</w:t>
            </w:r>
          </w:p>
        </w:tc>
        <w:tc>
          <w:tcPr>
            <w:tcW w:w="644" w:type="pct"/>
            <w:noWrap/>
            <w:vAlign w:val="center"/>
          </w:tcPr>
          <w:p>
            <w:pPr>
              <w:jc w:val="right"/>
              <w:rPr>
                <w:rFonts w:ascii="仿宋" w:hAnsi="仿宋" w:eastAsia="仿宋"/>
                <w:color w:val="000000"/>
                <w:sz w:val="18"/>
                <w:szCs w:val="18"/>
              </w:rPr>
            </w:pPr>
            <w:r>
              <w:rPr>
                <w:rFonts w:hint="eastAsia" w:ascii="仿宋" w:hAnsi="仿宋" w:eastAsia="仿宋"/>
                <w:color w:val="000000"/>
                <w:sz w:val="18"/>
                <w:szCs w:val="18"/>
              </w:rPr>
              <w:t>10</w:t>
            </w:r>
          </w:p>
        </w:tc>
        <w:tc>
          <w:tcPr>
            <w:tcW w:w="648" w:type="pct"/>
            <w:noWrap/>
            <w:vAlign w:val="center"/>
          </w:tcPr>
          <w:p>
            <w:pPr>
              <w:jc w:val="right"/>
              <w:rPr>
                <w:rFonts w:ascii="仿宋" w:hAnsi="仿宋" w:eastAsia="仿宋"/>
                <w:color w:val="000000"/>
                <w:sz w:val="18"/>
                <w:szCs w:val="18"/>
              </w:rPr>
            </w:pPr>
            <w:r>
              <w:rPr>
                <w:rFonts w:hint="eastAsia" w:ascii="仿宋" w:hAnsi="仿宋" w:eastAsia="仿宋"/>
                <w:color w:val="000000"/>
                <w:sz w:val="18"/>
                <w:szCs w:val="18"/>
              </w:rPr>
              <w:t>30</w:t>
            </w:r>
          </w:p>
        </w:tc>
        <w:tc>
          <w:tcPr>
            <w:tcW w:w="809" w:type="pct"/>
            <w:noWrap/>
            <w:vAlign w:val="center"/>
          </w:tcPr>
          <w:p>
            <w:pPr>
              <w:jc w:val="right"/>
              <w:rPr>
                <w:rFonts w:ascii="仿宋" w:hAnsi="仿宋" w:eastAsia="仿宋"/>
                <w:color w:val="000000"/>
                <w:sz w:val="18"/>
                <w:szCs w:val="18"/>
              </w:rPr>
            </w:pPr>
            <w:r>
              <w:rPr>
                <w:rFonts w:hint="eastAsia" w:ascii="仿宋" w:hAnsi="仿宋" w:eastAsia="仿宋"/>
                <w:color w:val="000000"/>
                <w:sz w:val="18"/>
                <w:szCs w:val="18"/>
              </w:rPr>
              <w:t>10</w:t>
            </w:r>
          </w:p>
        </w:tc>
        <w:tc>
          <w:tcPr>
            <w:tcW w:w="809" w:type="pct"/>
            <w:noWrap/>
            <w:vAlign w:val="center"/>
          </w:tcPr>
          <w:p>
            <w:pPr>
              <w:jc w:val="right"/>
              <w:rPr>
                <w:rFonts w:ascii="仿宋" w:hAnsi="仿宋" w:eastAsia="仿宋"/>
                <w:color w:val="000000"/>
                <w:sz w:val="18"/>
                <w:szCs w:val="18"/>
              </w:rPr>
            </w:pPr>
            <w:r>
              <w:rPr>
                <w:rFonts w:hint="eastAsia" w:ascii="仿宋" w:hAnsi="仿宋" w:eastAsia="仿宋"/>
                <w:color w:val="000000"/>
                <w:sz w:val="18"/>
                <w:szCs w:val="18"/>
              </w:rPr>
              <w:t>20</w:t>
            </w:r>
          </w:p>
        </w:tc>
        <w:tc>
          <w:tcPr>
            <w:tcW w:w="712" w:type="pct"/>
            <w:noWrap/>
            <w:vAlign w:val="center"/>
          </w:tcPr>
          <w:p>
            <w:pPr>
              <w:jc w:val="right"/>
              <w:rPr>
                <w:rFonts w:ascii="仿宋" w:hAnsi="仿宋" w:eastAsia="仿宋"/>
                <w:color w:val="000000"/>
                <w:sz w:val="18"/>
                <w:szCs w:val="18"/>
              </w:rPr>
            </w:pPr>
            <w:r>
              <w:rPr>
                <w:rFonts w:hint="eastAsia" w:ascii="仿宋" w:hAnsi="仿宋" w:eastAsia="仿宋"/>
                <w:color w:val="000000"/>
                <w:sz w:val="18"/>
                <w:szCs w:val="18"/>
              </w:rPr>
              <w:t>30</w:t>
            </w:r>
          </w:p>
        </w:tc>
        <w:tc>
          <w:tcPr>
            <w:tcW w:w="723" w:type="pct"/>
            <w:noWrap/>
            <w:vAlign w:val="center"/>
          </w:tcPr>
          <w:p>
            <w:pPr>
              <w:jc w:val="right"/>
              <w:rPr>
                <w:rFonts w:ascii="仿宋" w:hAnsi="仿宋" w:eastAsia="仿宋"/>
                <w:color w:val="000000"/>
                <w:sz w:val="18"/>
                <w:szCs w:val="18"/>
              </w:rPr>
            </w:pPr>
            <w:r>
              <w:rPr>
                <w:rFonts w:ascii="仿宋" w:hAnsi="仿宋" w:eastAsia="仿宋"/>
                <w:color w:val="000000"/>
                <w:sz w:val="18"/>
                <w:szCs w:val="18"/>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653" w:type="pct"/>
            <w:noWrap/>
            <w:vAlign w:val="center"/>
          </w:tcPr>
          <w:p>
            <w:pPr>
              <w:rPr>
                <w:rFonts w:ascii="仿宋" w:hAnsi="仿宋" w:eastAsia="仿宋"/>
                <w:color w:val="000000"/>
                <w:sz w:val="18"/>
                <w:szCs w:val="18"/>
              </w:rPr>
            </w:pPr>
            <w:r>
              <w:rPr>
                <w:rFonts w:hint="eastAsia" w:ascii="仿宋" w:hAnsi="仿宋" w:eastAsia="仿宋"/>
                <w:color w:val="000000"/>
                <w:sz w:val="18"/>
                <w:szCs w:val="18"/>
              </w:rPr>
              <w:t>得分</w:t>
            </w:r>
          </w:p>
        </w:tc>
        <w:tc>
          <w:tcPr>
            <w:tcW w:w="644" w:type="pct"/>
            <w:noWrap/>
            <w:vAlign w:val="center"/>
          </w:tcPr>
          <w:p>
            <w:pPr>
              <w:jc w:val="right"/>
              <w:rPr>
                <w:rFonts w:ascii="仿宋" w:hAnsi="仿宋" w:eastAsia="仿宋"/>
                <w:color w:val="000000"/>
                <w:sz w:val="18"/>
                <w:szCs w:val="18"/>
              </w:rPr>
            </w:pPr>
            <w:r>
              <w:rPr>
                <w:rFonts w:hint="eastAsia" w:ascii="仿宋" w:hAnsi="仿宋" w:eastAsia="仿宋"/>
                <w:color w:val="000000"/>
                <w:sz w:val="18"/>
                <w:szCs w:val="18"/>
              </w:rPr>
              <w:t>10</w:t>
            </w:r>
          </w:p>
        </w:tc>
        <w:tc>
          <w:tcPr>
            <w:tcW w:w="648" w:type="pct"/>
            <w:noWrap/>
            <w:vAlign w:val="center"/>
          </w:tcPr>
          <w:p>
            <w:pPr>
              <w:jc w:val="right"/>
              <w:rPr>
                <w:rFonts w:ascii="仿宋" w:hAnsi="仿宋" w:eastAsia="仿宋"/>
                <w:color w:val="000000"/>
                <w:sz w:val="18"/>
                <w:szCs w:val="18"/>
              </w:rPr>
            </w:pPr>
            <w:r>
              <w:rPr>
                <w:rFonts w:hint="eastAsia" w:ascii="仿宋" w:hAnsi="仿宋" w:eastAsia="仿宋"/>
                <w:color w:val="000000"/>
                <w:sz w:val="18"/>
                <w:szCs w:val="18"/>
              </w:rPr>
              <w:t>30</w:t>
            </w:r>
          </w:p>
        </w:tc>
        <w:tc>
          <w:tcPr>
            <w:tcW w:w="809" w:type="pct"/>
            <w:noWrap/>
            <w:vAlign w:val="center"/>
          </w:tcPr>
          <w:p>
            <w:pPr>
              <w:jc w:val="right"/>
              <w:rPr>
                <w:rFonts w:ascii="仿宋" w:hAnsi="仿宋" w:eastAsia="仿宋"/>
                <w:color w:val="000000"/>
                <w:sz w:val="18"/>
                <w:szCs w:val="18"/>
              </w:rPr>
            </w:pPr>
            <w:r>
              <w:rPr>
                <w:rFonts w:hint="eastAsia" w:ascii="仿宋" w:hAnsi="仿宋" w:eastAsia="仿宋"/>
                <w:color w:val="000000"/>
                <w:sz w:val="18"/>
                <w:szCs w:val="18"/>
              </w:rPr>
              <w:t>10</w:t>
            </w:r>
          </w:p>
        </w:tc>
        <w:tc>
          <w:tcPr>
            <w:tcW w:w="809" w:type="pct"/>
            <w:noWrap/>
            <w:vAlign w:val="center"/>
          </w:tcPr>
          <w:p>
            <w:pPr>
              <w:jc w:val="right"/>
              <w:rPr>
                <w:rFonts w:ascii="仿宋" w:hAnsi="仿宋" w:eastAsia="仿宋"/>
                <w:color w:val="000000"/>
                <w:sz w:val="18"/>
                <w:szCs w:val="18"/>
              </w:rPr>
            </w:pPr>
            <w:r>
              <w:rPr>
                <w:rFonts w:hint="eastAsia" w:ascii="仿宋" w:hAnsi="仿宋" w:eastAsia="仿宋"/>
                <w:color w:val="000000"/>
                <w:sz w:val="18"/>
                <w:szCs w:val="18"/>
              </w:rPr>
              <w:t>20</w:t>
            </w:r>
          </w:p>
        </w:tc>
        <w:tc>
          <w:tcPr>
            <w:tcW w:w="712" w:type="pct"/>
            <w:noWrap/>
            <w:vAlign w:val="center"/>
          </w:tcPr>
          <w:p>
            <w:pPr>
              <w:jc w:val="right"/>
              <w:rPr>
                <w:rFonts w:ascii="仿宋" w:hAnsi="仿宋" w:eastAsia="仿宋"/>
                <w:color w:val="000000"/>
                <w:sz w:val="18"/>
                <w:szCs w:val="18"/>
              </w:rPr>
            </w:pPr>
            <w:r>
              <w:rPr>
                <w:rFonts w:hint="eastAsia" w:ascii="仿宋" w:hAnsi="仿宋" w:eastAsia="仿宋"/>
                <w:color w:val="000000"/>
                <w:sz w:val="18"/>
                <w:szCs w:val="18"/>
              </w:rPr>
              <w:t>20</w:t>
            </w:r>
          </w:p>
        </w:tc>
        <w:tc>
          <w:tcPr>
            <w:tcW w:w="723" w:type="pct"/>
            <w:noWrap/>
            <w:vAlign w:val="center"/>
          </w:tcPr>
          <w:p>
            <w:pPr>
              <w:jc w:val="right"/>
              <w:rPr>
                <w:rFonts w:ascii="仿宋" w:hAnsi="仿宋" w:eastAsia="仿宋"/>
                <w:color w:val="000000"/>
                <w:sz w:val="18"/>
                <w:szCs w:val="18"/>
              </w:rPr>
            </w:pPr>
            <w:r>
              <w:rPr>
                <w:rFonts w:hint="eastAsia" w:ascii="仿宋" w:hAnsi="仿宋" w:eastAsia="仿宋"/>
                <w:color w:val="000000"/>
                <w:sz w:val="18"/>
                <w:szCs w:val="18"/>
              </w:rPr>
              <w:t>90</w:t>
            </w:r>
          </w:p>
        </w:tc>
      </w:tr>
    </w:tbl>
    <w:p>
      <w:pPr>
        <w:widowControl/>
        <w:adjustRightInd w:val="0"/>
        <w:snapToGrid w:val="0"/>
        <w:spacing w:before="156" w:beforeLines="50"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注：详见重庆市渝中区生态环境局2020年部门整体支出绩效指标评分表。</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区生态环境局全年履职效能优良，各约束性目标完成优良，可持续发展能力建设目标明确且完成情况优良，工作监管对象满意、社会公众对渝中区生态环境情况基本满意。内部控制制度基本健全、制度执行基本合规，预算管理、资产管理有待加强，采购、绩效管理基本规范、执行有效。区生态环境局预算数为</w:t>
      </w:r>
      <w:r>
        <w:rPr>
          <w:rFonts w:ascii="仿宋" w:hAnsi="仿宋" w:eastAsia="仿宋"/>
          <w:color w:val="000000"/>
          <w:sz w:val="28"/>
          <w:szCs w:val="28"/>
        </w:rPr>
        <w:t>5,013.18 万</w:t>
      </w:r>
      <w:r>
        <w:rPr>
          <w:rFonts w:hint="eastAsia" w:ascii="仿宋" w:hAnsi="仿宋" w:eastAsia="仿宋"/>
          <w:color w:val="000000"/>
          <w:sz w:val="28"/>
          <w:szCs w:val="28"/>
        </w:rPr>
        <w:t>元</w:t>
      </w:r>
      <w:r>
        <w:rPr>
          <w:rFonts w:ascii="仿宋" w:hAnsi="仿宋" w:eastAsia="仿宋"/>
          <w:color w:val="000000"/>
          <w:sz w:val="28"/>
          <w:szCs w:val="28"/>
        </w:rPr>
        <w:t>，执行数为3,140.65 万</w:t>
      </w:r>
      <w:r>
        <w:rPr>
          <w:rFonts w:hint="eastAsia" w:ascii="仿宋" w:hAnsi="仿宋" w:eastAsia="仿宋"/>
          <w:color w:val="000000"/>
          <w:sz w:val="28"/>
          <w:szCs w:val="28"/>
        </w:rPr>
        <w:t>元</w:t>
      </w:r>
      <w:r>
        <w:rPr>
          <w:rFonts w:ascii="仿宋" w:hAnsi="仿宋" w:eastAsia="仿宋"/>
          <w:color w:val="000000"/>
          <w:sz w:val="28"/>
          <w:szCs w:val="28"/>
        </w:rPr>
        <w:t>，完成预算的</w:t>
      </w:r>
      <w:r>
        <w:rPr>
          <w:rFonts w:hint="eastAsia" w:ascii="仿宋" w:hAnsi="仿宋" w:eastAsia="仿宋"/>
          <w:color w:val="000000"/>
          <w:sz w:val="28"/>
          <w:szCs w:val="28"/>
        </w:rPr>
        <w:t>62.65</w:t>
      </w:r>
      <w:r>
        <w:rPr>
          <w:rFonts w:ascii="仿宋" w:hAnsi="仿宋" w:eastAsia="仿宋"/>
          <w:color w:val="000000"/>
          <w:sz w:val="28"/>
          <w:szCs w:val="28"/>
        </w:rPr>
        <w:t>%</w:t>
      </w:r>
      <w:r>
        <w:rPr>
          <w:rFonts w:hint="eastAsia" w:ascii="仿宋" w:hAnsi="仿宋" w:eastAsia="仿宋"/>
          <w:color w:val="000000"/>
          <w:sz w:val="28"/>
          <w:szCs w:val="28"/>
        </w:rPr>
        <w:t>，预算执行率较低</w:t>
      </w:r>
      <w:r>
        <w:rPr>
          <w:rFonts w:ascii="仿宋" w:hAnsi="仿宋" w:eastAsia="仿宋"/>
          <w:color w:val="000000"/>
          <w:sz w:val="28"/>
          <w:szCs w:val="28"/>
        </w:rPr>
        <w:t>。</w:t>
      </w:r>
    </w:p>
    <w:p>
      <w:pPr>
        <w:autoSpaceDE w:val="0"/>
        <w:autoSpaceDN w:val="0"/>
        <w:adjustRightInd w:val="0"/>
        <w:spacing w:before="312" w:beforeLines="100" w:line="360" w:lineRule="auto"/>
        <w:ind w:firstLine="562" w:firstLineChars="200"/>
        <w:outlineLvl w:val="0"/>
        <w:rPr>
          <w:rFonts w:ascii="仿宋" w:hAnsi="仿宋" w:eastAsia="仿宋"/>
          <w:b/>
          <w:color w:val="000000"/>
          <w:sz w:val="28"/>
          <w:szCs w:val="28"/>
        </w:rPr>
      </w:pPr>
      <w:r>
        <w:rPr>
          <w:rFonts w:hint="eastAsia" w:ascii="仿宋" w:hAnsi="仿宋" w:eastAsia="仿宋"/>
          <w:b/>
          <w:color w:val="000000"/>
          <w:sz w:val="28"/>
          <w:szCs w:val="28"/>
        </w:rPr>
        <w:t>五、存在的问题和建议</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（一）根据重庆市社情民意调查中心出具的《2020年渝中区社会公众生态环境满意度调查报告》（2021年第47期（总第500期））：满意度最低的是“空气质量改善认可度”指标，为58.17%，“生态环境改善认可度”、 “声环境质量满意度”和“生活垃圾处理情况满意度”等指标满意度得分较低。根据满意度调查报告提出的建议，延长优良空气天数，达到全市平均水平；加大宣传，提高民众对生态环境工作的认可度。</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二）预算执行率低。建议区生态环境局积极全面收集区生态环境局、监测站、执法支队各方面意见，进行多层次、多方面的调查论证，形成与设定的绩效目标匹配的预算资金，最终提高资金使用效率；并加强部门内部监督，强化预算约束。</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（三）部分固定资产卡片不全。建议管理人员应完善固定资产卡片、以使账账、账卡、账实相符，方便固定资产的盘点和清理。</w:t>
      </w:r>
    </w:p>
    <w:p>
      <w:pPr>
        <w:spacing w:line="360" w:lineRule="auto"/>
        <w:ind w:firstLine="560" w:firstLineChars="200"/>
        <w:rPr>
          <w:rFonts w:ascii="仿宋" w:hAnsi="仿宋" w:eastAsia="仿宋"/>
          <w:color w:val="000000"/>
          <w:sz w:val="28"/>
          <w:szCs w:val="28"/>
        </w:rPr>
      </w:pPr>
    </w:p>
    <w:p>
      <w:pPr>
        <w:rPr>
          <w:rFonts w:ascii="仿宋" w:hAnsi="仿宋" w:eastAsia="仿宋"/>
          <w:color w:val="000000"/>
        </w:rPr>
      </w:pPr>
    </w:p>
    <w:p/>
    <w:tbl>
      <w:tblPr>
        <w:tblStyle w:val="8"/>
        <w:tblW w:w="9095" w:type="dxa"/>
        <w:jc w:val="center"/>
        <w:tblLayout w:type="fixed"/>
        <w:tblCellMar>
          <w:top w:w="0" w:type="dxa"/>
          <w:left w:w="108" w:type="dxa"/>
          <w:bottom w:w="0" w:type="dxa"/>
          <w:right w:w="108" w:type="dxa"/>
        </w:tblCellMar>
      </w:tblPr>
      <w:tblGrid>
        <w:gridCol w:w="4793"/>
        <w:gridCol w:w="4302"/>
      </w:tblGrid>
      <w:tr>
        <w:tblPrEx>
          <w:tblCellMar>
            <w:top w:w="0" w:type="dxa"/>
            <w:left w:w="108" w:type="dxa"/>
            <w:bottom w:w="0" w:type="dxa"/>
            <w:right w:w="108" w:type="dxa"/>
          </w:tblCellMar>
        </w:tblPrEx>
        <w:trPr>
          <w:trHeight w:val="1106" w:hRule="exact"/>
          <w:jc w:val="center"/>
        </w:trPr>
        <w:tc>
          <w:tcPr>
            <w:tcW w:w="4793" w:type="dxa"/>
            <w:vAlign w:val="center"/>
          </w:tcPr>
          <w:p>
            <w:pPr>
              <w:jc w:val="center"/>
              <w:rPr>
                <w:rFonts w:ascii="Arial Narrow" w:hAnsi="Arial Narrow"/>
                <w:kern w:val="0"/>
                <w:sz w:val="28"/>
                <w:szCs w:val="28"/>
              </w:rPr>
            </w:pPr>
            <w:r>
              <w:rPr>
                <w:rFonts w:ascii="Arial Narrow" w:hAnsi="宋体"/>
                <w:kern w:val="0"/>
                <w:sz w:val="28"/>
                <w:szCs w:val="28"/>
              </w:rPr>
              <w:t>大华会计师事务所</w:t>
            </w:r>
            <w:r>
              <w:rPr>
                <w:rFonts w:ascii="Arial Narrow" w:hAnsi="Arial Narrow"/>
                <w:kern w:val="0"/>
                <w:sz w:val="28"/>
                <w:szCs w:val="28"/>
              </w:rPr>
              <w:t>(</w:t>
            </w:r>
            <w:r>
              <w:rPr>
                <w:rFonts w:ascii="Arial Narrow" w:hAnsi="宋体"/>
                <w:kern w:val="0"/>
                <w:sz w:val="28"/>
                <w:szCs w:val="28"/>
              </w:rPr>
              <w:t>特殊普通合伙</w:t>
            </w:r>
            <w:r>
              <w:rPr>
                <w:rFonts w:ascii="Arial Narrow" w:hAnsi="Arial Narrow"/>
                <w:kern w:val="0"/>
                <w:sz w:val="28"/>
                <w:szCs w:val="28"/>
              </w:rPr>
              <w:t>)</w:t>
            </w:r>
          </w:p>
          <w:p>
            <w:pPr>
              <w:jc w:val="center"/>
              <w:rPr>
                <w:rFonts w:ascii="Arial Narrow" w:hAnsi="Arial Narrow"/>
                <w:kern w:val="0"/>
                <w:sz w:val="28"/>
                <w:szCs w:val="28"/>
              </w:rPr>
            </w:pPr>
            <w:r>
              <w:rPr>
                <w:rFonts w:hint="eastAsia" w:ascii="Arial Narrow" w:hAnsi="Arial Narrow"/>
                <w:kern w:val="0"/>
                <w:sz w:val="28"/>
                <w:szCs w:val="28"/>
              </w:rPr>
              <w:t>重庆分所</w:t>
            </w:r>
          </w:p>
        </w:tc>
        <w:tc>
          <w:tcPr>
            <w:tcW w:w="4302" w:type="dxa"/>
            <w:vAlign w:val="center"/>
          </w:tcPr>
          <w:p>
            <w:pPr>
              <w:ind w:firstLine="420" w:firstLineChars="150"/>
              <w:jc w:val="left"/>
              <w:rPr>
                <w:rFonts w:ascii="Arial Narrow" w:hAnsi="宋体"/>
                <w:kern w:val="0"/>
                <w:sz w:val="28"/>
                <w:szCs w:val="28"/>
              </w:rPr>
            </w:pPr>
          </w:p>
          <w:p>
            <w:pPr>
              <w:ind w:firstLine="2940" w:firstLineChars="1050"/>
              <w:jc w:val="left"/>
              <w:rPr>
                <w:rFonts w:ascii="Arial Narrow" w:hAnsi="Arial Narrow"/>
                <w:kern w:val="0"/>
                <w:sz w:val="28"/>
                <w:szCs w:val="28"/>
              </w:rPr>
            </w:pPr>
          </w:p>
        </w:tc>
      </w:tr>
      <w:tr>
        <w:tblPrEx>
          <w:tblCellMar>
            <w:top w:w="0" w:type="dxa"/>
            <w:left w:w="108" w:type="dxa"/>
            <w:bottom w:w="0" w:type="dxa"/>
            <w:right w:w="108" w:type="dxa"/>
          </w:tblCellMar>
        </w:tblPrEx>
        <w:trPr>
          <w:trHeight w:val="732" w:hRule="exact"/>
          <w:jc w:val="center"/>
        </w:trPr>
        <w:tc>
          <w:tcPr>
            <w:tcW w:w="4793" w:type="dxa"/>
            <w:vMerge w:val="restart"/>
            <w:vAlign w:val="center"/>
          </w:tcPr>
          <w:p>
            <w:pPr>
              <w:jc w:val="center"/>
              <w:rPr>
                <w:rFonts w:ascii="Arial Narrow" w:hAnsi="Arial Narrow"/>
                <w:kern w:val="0"/>
                <w:sz w:val="28"/>
                <w:szCs w:val="28"/>
              </w:rPr>
            </w:pPr>
            <w:r>
              <w:rPr>
                <w:rFonts w:ascii="Arial Narrow" w:hAnsi="宋体"/>
                <w:sz w:val="28"/>
                <w:szCs w:val="28"/>
              </w:rPr>
              <w:t>中国</w:t>
            </w:r>
            <w:r>
              <w:rPr>
                <w:rFonts w:ascii="Arial Narrow" w:hAnsi="Arial Narrow"/>
                <w:b/>
                <w:sz w:val="28"/>
                <w:szCs w:val="28"/>
              </w:rPr>
              <w:t>·</w:t>
            </w:r>
            <w:r>
              <w:rPr>
                <w:rFonts w:hint="eastAsia" w:ascii="Arial Narrow" w:hAnsi="宋体"/>
                <w:sz w:val="28"/>
                <w:szCs w:val="28"/>
              </w:rPr>
              <w:t xml:space="preserve">重庆 </w:t>
            </w:r>
          </w:p>
        </w:tc>
        <w:tc>
          <w:tcPr>
            <w:tcW w:w="4302" w:type="dxa"/>
            <w:vAlign w:val="center"/>
          </w:tcPr>
          <w:p>
            <w:pPr>
              <w:rPr>
                <w:rFonts w:ascii="Arial Narrow" w:hAnsi="Arial Narrow"/>
                <w:kern w:val="0"/>
                <w:sz w:val="28"/>
                <w:szCs w:val="28"/>
              </w:rPr>
            </w:pPr>
            <w:r>
              <w:rPr>
                <w:rFonts w:hint="eastAsia" w:ascii="Arial Narrow" w:hAnsi="宋体"/>
                <w:kern w:val="0"/>
                <w:sz w:val="28"/>
                <w:szCs w:val="28"/>
              </w:rPr>
              <w:t xml:space="preserve"> </w:t>
            </w:r>
          </w:p>
        </w:tc>
      </w:tr>
      <w:tr>
        <w:tblPrEx>
          <w:tblCellMar>
            <w:top w:w="0" w:type="dxa"/>
            <w:left w:w="108" w:type="dxa"/>
            <w:bottom w:w="0" w:type="dxa"/>
            <w:right w:w="108" w:type="dxa"/>
          </w:tblCellMar>
        </w:tblPrEx>
        <w:trPr>
          <w:trHeight w:val="732" w:hRule="exact"/>
          <w:jc w:val="center"/>
        </w:trPr>
        <w:tc>
          <w:tcPr>
            <w:tcW w:w="4793" w:type="dxa"/>
            <w:vMerge w:val="continue"/>
            <w:vAlign w:val="center"/>
          </w:tcPr>
          <w:p>
            <w:pPr>
              <w:jc w:val="center"/>
              <w:rPr>
                <w:rFonts w:ascii="Arial Narrow" w:hAnsi="Arial Narrow"/>
                <w:kern w:val="0"/>
                <w:sz w:val="28"/>
                <w:szCs w:val="28"/>
              </w:rPr>
            </w:pPr>
          </w:p>
        </w:tc>
        <w:tc>
          <w:tcPr>
            <w:tcW w:w="4302" w:type="dxa"/>
            <w:vAlign w:val="center"/>
          </w:tcPr>
          <w:p>
            <w:pPr>
              <w:ind w:firstLine="420" w:firstLineChars="150"/>
              <w:jc w:val="left"/>
              <w:rPr>
                <w:rFonts w:ascii="Arial Narrow" w:hAnsi="宋体"/>
                <w:kern w:val="0"/>
                <w:sz w:val="28"/>
                <w:szCs w:val="28"/>
              </w:rPr>
            </w:pPr>
          </w:p>
        </w:tc>
      </w:tr>
      <w:tr>
        <w:tblPrEx>
          <w:tblCellMar>
            <w:top w:w="0" w:type="dxa"/>
            <w:left w:w="108" w:type="dxa"/>
            <w:bottom w:w="0" w:type="dxa"/>
            <w:right w:w="108" w:type="dxa"/>
          </w:tblCellMar>
        </w:tblPrEx>
        <w:trPr>
          <w:trHeight w:val="892" w:hRule="exact"/>
          <w:jc w:val="center"/>
        </w:trPr>
        <w:tc>
          <w:tcPr>
            <w:tcW w:w="4793" w:type="dxa"/>
            <w:vMerge w:val="continue"/>
            <w:vAlign w:val="center"/>
          </w:tcPr>
          <w:p>
            <w:pPr>
              <w:jc w:val="center"/>
              <w:rPr>
                <w:rFonts w:ascii="Arial Narrow" w:hAnsi="Arial Narrow"/>
                <w:kern w:val="0"/>
                <w:sz w:val="28"/>
                <w:szCs w:val="28"/>
              </w:rPr>
            </w:pPr>
          </w:p>
        </w:tc>
        <w:tc>
          <w:tcPr>
            <w:tcW w:w="4302" w:type="dxa"/>
            <w:vAlign w:val="center"/>
          </w:tcPr>
          <w:p>
            <w:pPr>
              <w:ind w:firstLine="2800" w:firstLineChars="1000"/>
              <w:rPr>
                <w:rFonts w:ascii="Arial Narrow" w:hAnsi="Arial Narrow"/>
                <w:kern w:val="0"/>
                <w:sz w:val="28"/>
                <w:szCs w:val="28"/>
              </w:rPr>
            </w:pPr>
          </w:p>
        </w:tc>
      </w:tr>
      <w:tr>
        <w:tblPrEx>
          <w:tblCellMar>
            <w:top w:w="0" w:type="dxa"/>
            <w:left w:w="108" w:type="dxa"/>
            <w:bottom w:w="0" w:type="dxa"/>
            <w:right w:w="108" w:type="dxa"/>
          </w:tblCellMar>
        </w:tblPrEx>
        <w:trPr>
          <w:trHeight w:val="732" w:hRule="exact"/>
          <w:jc w:val="center"/>
        </w:trPr>
        <w:tc>
          <w:tcPr>
            <w:tcW w:w="4793" w:type="dxa"/>
            <w:vAlign w:val="center"/>
          </w:tcPr>
          <w:p>
            <w:pPr>
              <w:jc w:val="center"/>
              <w:rPr>
                <w:rFonts w:ascii="Arial Narrow" w:hAnsi="Arial Narrow"/>
                <w:kern w:val="0"/>
                <w:sz w:val="28"/>
                <w:szCs w:val="28"/>
              </w:rPr>
            </w:pPr>
          </w:p>
        </w:tc>
        <w:tc>
          <w:tcPr>
            <w:tcW w:w="4302" w:type="dxa"/>
            <w:vAlign w:val="center"/>
          </w:tcPr>
          <w:p>
            <w:pPr>
              <w:jc w:val="right"/>
              <w:rPr>
                <w:rFonts w:ascii="Arial Narrow" w:hAnsi="Arial Narrow"/>
                <w:kern w:val="0"/>
                <w:sz w:val="28"/>
                <w:szCs w:val="28"/>
              </w:rPr>
            </w:pPr>
          </w:p>
        </w:tc>
      </w:tr>
    </w:tbl>
    <w:p/>
    <w:sectPr>
      <w:headerReference r:id="rId5" w:type="first"/>
      <w:footerReference r:id="rId7" w:type="first"/>
      <w:headerReference r:id="rId4" w:type="default"/>
      <w:footerReference r:id="rId6" w:type="default"/>
      <w:pgSz w:w="11906" w:h="16838"/>
      <w:pgMar w:top="1361" w:right="1304" w:bottom="1361" w:left="170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Mincho">
    <w:altName w:val="Kozuka Mincho Pr6N M"/>
    <w:panose1 w:val="02020609040205080304"/>
    <w:charset w:val="80"/>
    <w:family w:val="modern"/>
    <w:pitch w:val="default"/>
    <w:sig w:usb0="00000000" w:usb1="00000000" w:usb2="08000012" w:usb3="00000000" w:csb0="0002009F" w:csb1="00000000"/>
  </w:font>
  <w:font w:name="Kozuka Mincho Pr6N M">
    <w:panose1 w:val="02020600000000000000"/>
    <w:charset w:val="80"/>
    <w:family w:val="auto"/>
    <w:pitch w:val="default"/>
    <w:sig w:usb0="000002D7" w:usb1="2AC71C11" w:usb2="00000012" w:usb3="00000000" w:csb0="2002009F" w:csb1="00000000"/>
  </w:font>
  <w:font w:name="Segoe UI Symbol">
    <w:panose1 w:val="020B0502040204020203"/>
    <w:charset w:val="00"/>
    <w:family w:val="swiss"/>
    <w:pitch w:val="default"/>
    <w:sig w:usb0="800001E3" w:usb1="1200FFEF" w:usb2="00040000" w:usb3="04000000" w:csb0="00000001" w:csb1="4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rPr>
        <w:rFonts w:ascii="Arial Unicode MS" w:hAnsi="Arial Unicode MS" w:eastAsia="Arial Unicode MS"/>
      </w:rPr>
    </w:pPr>
    <w:r>
      <w:rPr>
        <w:rStyle w:val="10"/>
        <w:rFonts w:hint="eastAsia" w:ascii="宋体" w:hAnsi="宋体"/>
      </w:rPr>
      <w:t>第</w:t>
    </w:r>
    <w:r>
      <w:rPr>
        <w:rFonts w:ascii="Arial" w:hAnsi="Arial" w:eastAsia="Arial Unicode MS" w:cs="Arial"/>
      </w:rPr>
      <w:fldChar w:fldCharType="begin"/>
    </w:r>
    <w:r>
      <w:rPr>
        <w:rStyle w:val="10"/>
        <w:rFonts w:ascii="Arial" w:hAnsi="Arial" w:eastAsia="Arial Unicode MS" w:cs="Arial"/>
      </w:rPr>
      <w:instrText xml:space="preserve"> PAGE </w:instrText>
    </w:r>
    <w:r>
      <w:rPr>
        <w:rFonts w:ascii="Arial" w:hAnsi="Arial" w:eastAsia="Arial Unicode MS" w:cs="Arial"/>
      </w:rPr>
      <w:fldChar w:fldCharType="separate"/>
    </w:r>
    <w:r>
      <w:rPr>
        <w:rStyle w:val="10"/>
        <w:rFonts w:ascii="Arial" w:hAnsi="Arial" w:eastAsia="Arial Unicode MS" w:cs="Arial"/>
      </w:rPr>
      <w:t>24</w:t>
    </w:r>
    <w:r>
      <w:rPr>
        <w:rFonts w:ascii="Arial" w:hAnsi="Arial" w:eastAsia="Arial Unicode MS" w:cs="Arial"/>
      </w:rPr>
      <w:fldChar w:fldCharType="end"/>
    </w:r>
    <w:r>
      <w:rPr>
        <w:rStyle w:val="10"/>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第1页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drawing>
        <wp:inline distT="0" distB="0" distL="0" distR="0">
          <wp:extent cx="2254250" cy="260350"/>
          <wp:effectExtent l="0" t="0" r="0" b="6350"/>
          <wp:docPr id="2" name="图片 2" descr="大华国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大华国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54250" cy="260350"/>
                  </a:xfrm>
                  <a:prstGeom prst="rect">
                    <a:avLst/>
                  </a:prstGeom>
                  <a:noFill/>
                  <a:ln>
                    <a:noFill/>
                  </a:ln>
                </pic:spPr>
              </pic:pic>
            </a:graphicData>
          </a:graphic>
        </wp:inline>
      </w:drawing>
    </w:r>
    <w:r>
      <w:rPr>
        <w:rFonts w:hint="eastAsia"/>
      </w:rPr>
      <w:t xml:space="preserve">                         </w:t>
    </w:r>
    <w:r>
      <w:rPr>
        <w:rFonts w:hint="eastAsia" w:ascii="宋体" w:hAnsi="宋体" w:cs="宋体"/>
      </w:rPr>
      <w:t>大华咨字[2021]250023号专项审计报告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87F21"/>
    <w:multiLevelType w:val="singleLevel"/>
    <w:tmpl w:val="ABB87F21"/>
    <w:lvl w:ilvl="0" w:tentative="0">
      <w:start w:val="1"/>
      <w:numFmt w:val="decimal"/>
      <w:suff w:val="nothing"/>
      <w:lvlText w:val="%1、"/>
      <w:lvlJc w:val="left"/>
    </w:lvl>
  </w:abstractNum>
  <w:abstractNum w:abstractNumId="1">
    <w:nsid w:val="01216D62"/>
    <w:multiLevelType w:val="multilevel"/>
    <w:tmpl w:val="01216D62"/>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zAxZjkyNjNmZWNiZTIxMGYwMWUwYTk5ZDhmMDYifQ=="/>
  </w:docVars>
  <w:rsids>
    <w:rsidRoot w:val="006F4C7A"/>
    <w:rsid w:val="00003542"/>
    <w:rsid w:val="00004C8E"/>
    <w:rsid w:val="00007AA9"/>
    <w:rsid w:val="00010657"/>
    <w:rsid w:val="00014DAD"/>
    <w:rsid w:val="0003144C"/>
    <w:rsid w:val="0003480E"/>
    <w:rsid w:val="00044628"/>
    <w:rsid w:val="0006254F"/>
    <w:rsid w:val="0007472D"/>
    <w:rsid w:val="0007542A"/>
    <w:rsid w:val="00075645"/>
    <w:rsid w:val="00077628"/>
    <w:rsid w:val="00086699"/>
    <w:rsid w:val="00090AFF"/>
    <w:rsid w:val="000A453E"/>
    <w:rsid w:val="000B4BD2"/>
    <w:rsid w:val="000C5643"/>
    <w:rsid w:val="000C6CE2"/>
    <w:rsid w:val="000E0D36"/>
    <w:rsid w:val="000E2FAB"/>
    <w:rsid w:val="000E4F07"/>
    <w:rsid w:val="000E7C5A"/>
    <w:rsid w:val="000F6622"/>
    <w:rsid w:val="001172AE"/>
    <w:rsid w:val="00121C98"/>
    <w:rsid w:val="00121D8F"/>
    <w:rsid w:val="0013330C"/>
    <w:rsid w:val="0013599E"/>
    <w:rsid w:val="00136995"/>
    <w:rsid w:val="00143F1C"/>
    <w:rsid w:val="001468C6"/>
    <w:rsid w:val="00150846"/>
    <w:rsid w:val="00156665"/>
    <w:rsid w:val="0016029C"/>
    <w:rsid w:val="00164109"/>
    <w:rsid w:val="001740A0"/>
    <w:rsid w:val="001807B7"/>
    <w:rsid w:val="0018343A"/>
    <w:rsid w:val="00183908"/>
    <w:rsid w:val="00187704"/>
    <w:rsid w:val="00190CEC"/>
    <w:rsid w:val="00192219"/>
    <w:rsid w:val="00192D76"/>
    <w:rsid w:val="001946C4"/>
    <w:rsid w:val="001956E6"/>
    <w:rsid w:val="00195848"/>
    <w:rsid w:val="001A02F5"/>
    <w:rsid w:val="001A0942"/>
    <w:rsid w:val="001A7C6E"/>
    <w:rsid w:val="001B0005"/>
    <w:rsid w:val="001B1EA9"/>
    <w:rsid w:val="001B3B47"/>
    <w:rsid w:val="001B7CE8"/>
    <w:rsid w:val="001C2674"/>
    <w:rsid w:val="001C2D30"/>
    <w:rsid w:val="001C316B"/>
    <w:rsid w:val="001D6395"/>
    <w:rsid w:val="00200A5E"/>
    <w:rsid w:val="002035B7"/>
    <w:rsid w:val="00203DAF"/>
    <w:rsid w:val="0020736A"/>
    <w:rsid w:val="00207724"/>
    <w:rsid w:val="0021183F"/>
    <w:rsid w:val="00215AC2"/>
    <w:rsid w:val="002252E3"/>
    <w:rsid w:val="00225AF5"/>
    <w:rsid w:val="0023043E"/>
    <w:rsid w:val="0023624D"/>
    <w:rsid w:val="002413C8"/>
    <w:rsid w:val="002476E3"/>
    <w:rsid w:val="00252B86"/>
    <w:rsid w:val="0025500B"/>
    <w:rsid w:val="002557C7"/>
    <w:rsid w:val="00264F82"/>
    <w:rsid w:val="00265790"/>
    <w:rsid w:val="0026715E"/>
    <w:rsid w:val="00272329"/>
    <w:rsid w:val="00274B9A"/>
    <w:rsid w:val="0027615F"/>
    <w:rsid w:val="002838E2"/>
    <w:rsid w:val="002854C0"/>
    <w:rsid w:val="00287AF2"/>
    <w:rsid w:val="002A2F94"/>
    <w:rsid w:val="002A6EF9"/>
    <w:rsid w:val="002C1F20"/>
    <w:rsid w:val="002D19C8"/>
    <w:rsid w:val="002E46BF"/>
    <w:rsid w:val="002E68CD"/>
    <w:rsid w:val="002E7F03"/>
    <w:rsid w:val="002F4D52"/>
    <w:rsid w:val="00303565"/>
    <w:rsid w:val="00307EA8"/>
    <w:rsid w:val="00316BDC"/>
    <w:rsid w:val="003239B8"/>
    <w:rsid w:val="003410D6"/>
    <w:rsid w:val="00347891"/>
    <w:rsid w:val="00364BED"/>
    <w:rsid w:val="00372CDD"/>
    <w:rsid w:val="0038610D"/>
    <w:rsid w:val="003A2108"/>
    <w:rsid w:val="003B10A3"/>
    <w:rsid w:val="003C541D"/>
    <w:rsid w:val="003C5AEB"/>
    <w:rsid w:val="003D6425"/>
    <w:rsid w:val="0040044E"/>
    <w:rsid w:val="00401322"/>
    <w:rsid w:val="00403BC1"/>
    <w:rsid w:val="00405492"/>
    <w:rsid w:val="00415F53"/>
    <w:rsid w:val="0042095A"/>
    <w:rsid w:val="00422F80"/>
    <w:rsid w:val="00424CB8"/>
    <w:rsid w:val="00427E06"/>
    <w:rsid w:val="00431734"/>
    <w:rsid w:val="00433AF8"/>
    <w:rsid w:val="004441EE"/>
    <w:rsid w:val="00450B38"/>
    <w:rsid w:val="00450B4F"/>
    <w:rsid w:val="004632A7"/>
    <w:rsid w:val="00470537"/>
    <w:rsid w:val="0048137E"/>
    <w:rsid w:val="004873D6"/>
    <w:rsid w:val="004878FD"/>
    <w:rsid w:val="00492188"/>
    <w:rsid w:val="00492E41"/>
    <w:rsid w:val="004955A2"/>
    <w:rsid w:val="00496327"/>
    <w:rsid w:val="00496A95"/>
    <w:rsid w:val="004A6E91"/>
    <w:rsid w:val="004B0BBF"/>
    <w:rsid w:val="004B28B3"/>
    <w:rsid w:val="004B487C"/>
    <w:rsid w:val="004B70D7"/>
    <w:rsid w:val="004C3D6E"/>
    <w:rsid w:val="004C5AAB"/>
    <w:rsid w:val="004C7D41"/>
    <w:rsid w:val="004D1A3B"/>
    <w:rsid w:val="004D3701"/>
    <w:rsid w:val="004E0F89"/>
    <w:rsid w:val="004F7F3E"/>
    <w:rsid w:val="005045C9"/>
    <w:rsid w:val="00505728"/>
    <w:rsid w:val="005123BF"/>
    <w:rsid w:val="00515DFF"/>
    <w:rsid w:val="0052242F"/>
    <w:rsid w:val="00522ECE"/>
    <w:rsid w:val="00524C88"/>
    <w:rsid w:val="00526C1C"/>
    <w:rsid w:val="00527CC3"/>
    <w:rsid w:val="00530776"/>
    <w:rsid w:val="00542FE2"/>
    <w:rsid w:val="00543A01"/>
    <w:rsid w:val="00553F49"/>
    <w:rsid w:val="00555F61"/>
    <w:rsid w:val="0055723C"/>
    <w:rsid w:val="00561DEF"/>
    <w:rsid w:val="00562D32"/>
    <w:rsid w:val="00567E79"/>
    <w:rsid w:val="00580EFF"/>
    <w:rsid w:val="00585331"/>
    <w:rsid w:val="00595717"/>
    <w:rsid w:val="00595AB0"/>
    <w:rsid w:val="00596D1B"/>
    <w:rsid w:val="00597EBE"/>
    <w:rsid w:val="005A51E1"/>
    <w:rsid w:val="005B612C"/>
    <w:rsid w:val="005D032F"/>
    <w:rsid w:val="005E35AB"/>
    <w:rsid w:val="005E7B43"/>
    <w:rsid w:val="0060201E"/>
    <w:rsid w:val="006037E2"/>
    <w:rsid w:val="00627074"/>
    <w:rsid w:val="00643CC4"/>
    <w:rsid w:val="006443C7"/>
    <w:rsid w:val="00644760"/>
    <w:rsid w:val="00646E7F"/>
    <w:rsid w:val="00653584"/>
    <w:rsid w:val="0065463F"/>
    <w:rsid w:val="0065540A"/>
    <w:rsid w:val="006566FD"/>
    <w:rsid w:val="0066293E"/>
    <w:rsid w:val="00662E96"/>
    <w:rsid w:val="006644B5"/>
    <w:rsid w:val="006674A3"/>
    <w:rsid w:val="00673B3B"/>
    <w:rsid w:val="00673E87"/>
    <w:rsid w:val="00676A83"/>
    <w:rsid w:val="00695013"/>
    <w:rsid w:val="006A0868"/>
    <w:rsid w:val="006A3849"/>
    <w:rsid w:val="006A49CF"/>
    <w:rsid w:val="006A68E2"/>
    <w:rsid w:val="006B66C4"/>
    <w:rsid w:val="006B6EE0"/>
    <w:rsid w:val="006C3A7F"/>
    <w:rsid w:val="006D621F"/>
    <w:rsid w:val="006E4ACC"/>
    <w:rsid w:val="006E5828"/>
    <w:rsid w:val="006F007F"/>
    <w:rsid w:val="006F4C7A"/>
    <w:rsid w:val="006F79A5"/>
    <w:rsid w:val="00701BAA"/>
    <w:rsid w:val="00704189"/>
    <w:rsid w:val="00712448"/>
    <w:rsid w:val="007211E3"/>
    <w:rsid w:val="00727FD9"/>
    <w:rsid w:val="007355FE"/>
    <w:rsid w:val="007368F7"/>
    <w:rsid w:val="00737D1B"/>
    <w:rsid w:val="00740836"/>
    <w:rsid w:val="007409B6"/>
    <w:rsid w:val="007525AA"/>
    <w:rsid w:val="0076082A"/>
    <w:rsid w:val="00767FEE"/>
    <w:rsid w:val="00773743"/>
    <w:rsid w:val="00777FAF"/>
    <w:rsid w:val="0078092D"/>
    <w:rsid w:val="00795DE7"/>
    <w:rsid w:val="007A0784"/>
    <w:rsid w:val="007A62EC"/>
    <w:rsid w:val="007B5A26"/>
    <w:rsid w:val="007B6CB1"/>
    <w:rsid w:val="007D61F6"/>
    <w:rsid w:val="007E02AD"/>
    <w:rsid w:val="007F42BC"/>
    <w:rsid w:val="007F4E0E"/>
    <w:rsid w:val="007F4F60"/>
    <w:rsid w:val="00801368"/>
    <w:rsid w:val="008018B0"/>
    <w:rsid w:val="008019E9"/>
    <w:rsid w:val="00804D77"/>
    <w:rsid w:val="008212ED"/>
    <w:rsid w:val="00824F56"/>
    <w:rsid w:val="0083545F"/>
    <w:rsid w:val="00841AB1"/>
    <w:rsid w:val="008448F9"/>
    <w:rsid w:val="008457E1"/>
    <w:rsid w:val="00845C2A"/>
    <w:rsid w:val="008513A5"/>
    <w:rsid w:val="008557BE"/>
    <w:rsid w:val="0086231C"/>
    <w:rsid w:val="00865CED"/>
    <w:rsid w:val="00875843"/>
    <w:rsid w:val="008842DD"/>
    <w:rsid w:val="00885A3E"/>
    <w:rsid w:val="00893E48"/>
    <w:rsid w:val="00896493"/>
    <w:rsid w:val="008A7136"/>
    <w:rsid w:val="008B1B5E"/>
    <w:rsid w:val="008B74B2"/>
    <w:rsid w:val="008B7651"/>
    <w:rsid w:val="008C3C48"/>
    <w:rsid w:val="008D52D8"/>
    <w:rsid w:val="008E097C"/>
    <w:rsid w:val="008E4AB5"/>
    <w:rsid w:val="008F60B6"/>
    <w:rsid w:val="009018F5"/>
    <w:rsid w:val="0090613F"/>
    <w:rsid w:val="00917B53"/>
    <w:rsid w:val="00924D3F"/>
    <w:rsid w:val="00926F74"/>
    <w:rsid w:val="00936088"/>
    <w:rsid w:val="009432F7"/>
    <w:rsid w:val="00946B01"/>
    <w:rsid w:val="009507AC"/>
    <w:rsid w:val="00953C37"/>
    <w:rsid w:val="009604AA"/>
    <w:rsid w:val="0097068A"/>
    <w:rsid w:val="00980BD6"/>
    <w:rsid w:val="009A17E8"/>
    <w:rsid w:val="009A7057"/>
    <w:rsid w:val="009B614B"/>
    <w:rsid w:val="009B68CA"/>
    <w:rsid w:val="009C02F9"/>
    <w:rsid w:val="009D5D89"/>
    <w:rsid w:val="009D7DA4"/>
    <w:rsid w:val="009E15F6"/>
    <w:rsid w:val="009E16E2"/>
    <w:rsid w:val="009E1F6E"/>
    <w:rsid w:val="009E643B"/>
    <w:rsid w:val="009F0BF5"/>
    <w:rsid w:val="009F26F9"/>
    <w:rsid w:val="009F355A"/>
    <w:rsid w:val="00A009F9"/>
    <w:rsid w:val="00A117F3"/>
    <w:rsid w:val="00A250CA"/>
    <w:rsid w:val="00A2791B"/>
    <w:rsid w:val="00A30E6D"/>
    <w:rsid w:val="00A32028"/>
    <w:rsid w:val="00A36340"/>
    <w:rsid w:val="00A43D1D"/>
    <w:rsid w:val="00A441C7"/>
    <w:rsid w:val="00A443A0"/>
    <w:rsid w:val="00A51716"/>
    <w:rsid w:val="00A57506"/>
    <w:rsid w:val="00A6129C"/>
    <w:rsid w:val="00A678BF"/>
    <w:rsid w:val="00A700D7"/>
    <w:rsid w:val="00A70A1E"/>
    <w:rsid w:val="00A742F6"/>
    <w:rsid w:val="00A75FF3"/>
    <w:rsid w:val="00A77339"/>
    <w:rsid w:val="00A86CA5"/>
    <w:rsid w:val="00A92F56"/>
    <w:rsid w:val="00A9438D"/>
    <w:rsid w:val="00A97AA3"/>
    <w:rsid w:val="00AC271D"/>
    <w:rsid w:val="00AC76DD"/>
    <w:rsid w:val="00AD26D8"/>
    <w:rsid w:val="00AE5C82"/>
    <w:rsid w:val="00AE745B"/>
    <w:rsid w:val="00B16DA3"/>
    <w:rsid w:val="00B16F7E"/>
    <w:rsid w:val="00B26B8C"/>
    <w:rsid w:val="00B26BCB"/>
    <w:rsid w:val="00B31EA8"/>
    <w:rsid w:val="00B3637F"/>
    <w:rsid w:val="00B45FFA"/>
    <w:rsid w:val="00B46195"/>
    <w:rsid w:val="00B5001F"/>
    <w:rsid w:val="00B54F6C"/>
    <w:rsid w:val="00B71042"/>
    <w:rsid w:val="00B728FB"/>
    <w:rsid w:val="00B75B73"/>
    <w:rsid w:val="00B76A2E"/>
    <w:rsid w:val="00B87295"/>
    <w:rsid w:val="00B965A8"/>
    <w:rsid w:val="00B972FF"/>
    <w:rsid w:val="00BC4BEE"/>
    <w:rsid w:val="00BD0523"/>
    <w:rsid w:val="00BD588B"/>
    <w:rsid w:val="00BD7B6A"/>
    <w:rsid w:val="00BE2FBD"/>
    <w:rsid w:val="00BE3920"/>
    <w:rsid w:val="00BF083B"/>
    <w:rsid w:val="00BF6F12"/>
    <w:rsid w:val="00BF7D24"/>
    <w:rsid w:val="00C021D3"/>
    <w:rsid w:val="00C0327C"/>
    <w:rsid w:val="00C050BE"/>
    <w:rsid w:val="00C10260"/>
    <w:rsid w:val="00C228A6"/>
    <w:rsid w:val="00C25249"/>
    <w:rsid w:val="00C3154E"/>
    <w:rsid w:val="00C36552"/>
    <w:rsid w:val="00C60F1F"/>
    <w:rsid w:val="00C6741E"/>
    <w:rsid w:val="00C67AD1"/>
    <w:rsid w:val="00C72783"/>
    <w:rsid w:val="00C765CF"/>
    <w:rsid w:val="00C768B6"/>
    <w:rsid w:val="00C77E2A"/>
    <w:rsid w:val="00C810E6"/>
    <w:rsid w:val="00C83AF7"/>
    <w:rsid w:val="00C903F7"/>
    <w:rsid w:val="00C9291F"/>
    <w:rsid w:val="00C934FB"/>
    <w:rsid w:val="00C94CF9"/>
    <w:rsid w:val="00C969E7"/>
    <w:rsid w:val="00CA7EE0"/>
    <w:rsid w:val="00CB6F81"/>
    <w:rsid w:val="00CB734F"/>
    <w:rsid w:val="00CB75C5"/>
    <w:rsid w:val="00CC302E"/>
    <w:rsid w:val="00CC318C"/>
    <w:rsid w:val="00CC48BC"/>
    <w:rsid w:val="00CC4E21"/>
    <w:rsid w:val="00CD195D"/>
    <w:rsid w:val="00CD76B7"/>
    <w:rsid w:val="00CD7E75"/>
    <w:rsid w:val="00CE1EAD"/>
    <w:rsid w:val="00CE5178"/>
    <w:rsid w:val="00CE70F8"/>
    <w:rsid w:val="00CF29CC"/>
    <w:rsid w:val="00CF3655"/>
    <w:rsid w:val="00CF3AB6"/>
    <w:rsid w:val="00CF6323"/>
    <w:rsid w:val="00D02B77"/>
    <w:rsid w:val="00D03C85"/>
    <w:rsid w:val="00D05855"/>
    <w:rsid w:val="00D06386"/>
    <w:rsid w:val="00D06DEB"/>
    <w:rsid w:val="00D205B8"/>
    <w:rsid w:val="00D22389"/>
    <w:rsid w:val="00D3019A"/>
    <w:rsid w:val="00D362A3"/>
    <w:rsid w:val="00D414F7"/>
    <w:rsid w:val="00D41B73"/>
    <w:rsid w:val="00D44BC4"/>
    <w:rsid w:val="00D46EBB"/>
    <w:rsid w:val="00D521A6"/>
    <w:rsid w:val="00D52E3A"/>
    <w:rsid w:val="00D562F0"/>
    <w:rsid w:val="00D74025"/>
    <w:rsid w:val="00D7787A"/>
    <w:rsid w:val="00D915BF"/>
    <w:rsid w:val="00DB10A4"/>
    <w:rsid w:val="00DB132C"/>
    <w:rsid w:val="00DB2CDD"/>
    <w:rsid w:val="00DB672E"/>
    <w:rsid w:val="00DC0BFE"/>
    <w:rsid w:val="00DC3B8E"/>
    <w:rsid w:val="00DC4796"/>
    <w:rsid w:val="00DD20CD"/>
    <w:rsid w:val="00DD5AFD"/>
    <w:rsid w:val="00DD672D"/>
    <w:rsid w:val="00DD6FD0"/>
    <w:rsid w:val="00DD76C8"/>
    <w:rsid w:val="00DE3B50"/>
    <w:rsid w:val="00DE5DAF"/>
    <w:rsid w:val="00DF5A69"/>
    <w:rsid w:val="00DF61BD"/>
    <w:rsid w:val="00DF7AFC"/>
    <w:rsid w:val="00E07BDC"/>
    <w:rsid w:val="00E20C2C"/>
    <w:rsid w:val="00E2376C"/>
    <w:rsid w:val="00E248DC"/>
    <w:rsid w:val="00E27DB6"/>
    <w:rsid w:val="00E31F8C"/>
    <w:rsid w:val="00E34BA3"/>
    <w:rsid w:val="00E36D5D"/>
    <w:rsid w:val="00E5277E"/>
    <w:rsid w:val="00E52B98"/>
    <w:rsid w:val="00E623A1"/>
    <w:rsid w:val="00E719F8"/>
    <w:rsid w:val="00E76301"/>
    <w:rsid w:val="00E903AD"/>
    <w:rsid w:val="00E92F6D"/>
    <w:rsid w:val="00E97682"/>
    <w:rsid w:val="00EA2B5A"/>
    <w:rsid w:val="00EA2E3A"/>
    <w:rsid w:val="00EA4EA8"/>
    <w:rsid w:val="00EA6180"/>
    <w:rsid w:val="00EA727F"/>
    <w:rsid w:val="00EB3719"/>
    <w:rsid w:val="00EB5DBC"/>
    <w:rsid w:val="00EB789C"/>
    <w:rsid w:val="00EC2B71"/>
    <w:rsid w:val="00EC3DCD"/>
    <w:rsid w:val="00EC6A80"/>
    <w:rsid w:val="00EC7253"/>
    <w:rsid w:val="00ED2D50"/>
    <w:rsid w:val="00ED57F9"/>
    <w:rsid w:val="00ED5B5C"/>
    <w:rsid w:val="00ED6C6E"/>
    <w:rsid w:val="00EE6A02"/>
    <w:rsid w:val="00EF1B4E"/>
    <w:rsid w:val="00EF4437"/>
    <w:rsid w:val="00EF56BB"/>
    <w:rsid w:val="00EF74C0"/>
    <w:rsid w:val="00F03461"/>
    <w:rsid w:val="00F109E4"/>
    <w:rsid w:val="00F10DDF"/>
    <w:rsid w:val="00F14363"/>
    <w:rsid w:val="00F20E51"/>
    <w:rsid w:val="00F25057"/>
    <w:rsid w:val="00F341B2"/>
    <w:rsid w:val="00F34D95"/>
    <w:rsid w:val="00F36F3D"/>
    <w:rsid w:val="00F474CA"/>
    <w:rsid w:val="00F5359F"/>
    <w:rsid w:val="00F60D9C"/>
    <w:rsid w:val="00F70949"/>
    <w:rsid w:val="00F71CC9"/>
    <w:rsid w:val="00F72BA7"/>
    <w:rsid w:val="00F8107B"/>
    <w:rsid w:val="00F938AE"/>
    <w:rsid w:val="00F93DAB"/>
    <w:rsid w:val="00F9573C"/>
    <w:rsid w:val="00F97268"/>
    <w:rsid w:val="00F972E0"/>
    <w:rsid w:val="00FB32C6"/>
    <w:rsid w:val="00FB5C2B"/>
    <w:rsid w:val="00FC09EC"/>
    <w:rsid w:val="00FC6801"/>
    <w:rsid w:val="00FD3394"/>
    <w:rsid w:val="00FE319F"/>
    <w:rsid w:val="00FE76E1"/>
    <w:rsid w:val="00FF66F6"/>
    <w:rsid w:val="1B247D5A"/>
    <w:rsid w:val="5B4E5973"/>
    <w:rsid w:val="70A53B12"/>
    <w:rsid w:val="7C9B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2"/>
    <w:qFormat/>
    <w:uiPriority w:val="0"/>
    <w:pPr>
      <w:keepNext/>
      <w:keepLines/>
      <w:adjustRightInd w:val="0"/>
      <w:spacing w:before="340" w:after="330" w:line="578" w:lineRule="atLeast"/>
      <w:textAlignment w:val="baseline"/>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alloon Text"/>
    <w:basedOn w:val="1"/>
    <w:link w:val="20"/>
    <w:semiHidden/>
    <w:unhideWhenUsed/>
    <w:uiPriority w:val="99"/>
    <w:rPr>
      <w:sz w:val="18"/>
      <w:szCs w:val="18"/>
    </w:rPr>
  </w:style>
  <w:style w:type="paragraph" w:styleId="5">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25"/>
    <w:semiHidden/>
    <w:unhideWhenUsed/>
    <w:qFormat/>
    <w:uiPriority w:val="99"/>
    <w:rPr>
      <w:b/>
      <w:bCs/>
    </w:rPr>
  </w:style>
  <w:style w:type="character" w:styleId="10">
    <w:name w:val="page number"/>
    <w:basedOn w:val="9"/>
    <w:qFormat/>
    <w:uiPriority w:val="0"/>
  </w:style>
  <w:style w:type="character" w:styleId="11">
    <w:name w:val="annotation reference"/>
    <w:basedOn w:val="9"/>
    <w:semiHidden/>
    <w:unhideWhenUsed/>
    <w:uiPriority w:val="99"/>
    <w:rPr>
      <w:sz w:val="21"/>
      <w:szCs w:val="21"/>
    </w:rPr>
  </w:style>
  <w:style w:type="character" w:customStyle="1" w:styleId="12">
    <w:name w:val="标题 1 Char"/>
    <w:basedOn w:val="9"/>
    <w:link w:val="2"/>
    <w:uiPriority w:val="0"/>
    <w:rPr>
      <w:rFonts w:ascii="Times New Roman" w:hAnsi="Times New Roman" w:eastAsia="宋体" w:cs="Times New Roman"/>
      <w:b/>
      <w:bCs/>
      <w:kern w:val="44"/>
      <w:sz w:val="44"/>
      <w:szCs w:val="44"/>
    </w:rPr>
  </w:style>
  <w:style w:type="character" w:customStyle="1" w:styleId="13">
    <w:name w:val="页脚 Char"/>
    <w:qFormat/>
    <w:uiPriority w:val="0"/>
    <w:rPr>
      <w:sz w:val="18"/>
      <w:szCs w:val="18"/>
    </w:rPr>
  </w:style>
  <w:style w:type="character" w:customStyle="1" w:styleId="14">
    <w:name w:val="页眉 Char"/>
    <w:qFormat/>
    <w:uiPriority w:val="0"/>
    <w:rPr>
      <w:sz w:val="18"/>
      <w:szCs w:val="18"/>
    </w:rPr>
  </w:style>
  <w:style w:type="character" w:customStyle="1" w:styleId="15">
    <w:name w:val="页眉 Char1"/>
    <w:basedOn w:val="9"/>
    <w:link w:val="6"/>
    <w:semiHidden/>
    <w:uiPriority w:val="99"/>
    <w:rPr>
      <w:rFonts w:ascii="Times New Roman" w:hAnsi="Times New Roman" w:eastAsia="宋体" w:cs="Times New Roman"/>
      <w:sz w:val="18"/>
      <w:szCs w:val="18"/>
    </w:rPr>
  </w:style>
  <w:style w:type="character" w:customStyle="1" w:styleId="16">
    <w:name w:val="页脚 Char1"/>
    <w:basedOn w:val="9"/>
    <w:link w:val="5"/>
    <w:semiHidden/>
    <w:qFormat/>
    <w:uiPriority w:val="99"/>
    <w:rPr>
      <w:rFonts w:ascii="Times New Roman" w:hAnsi="Times New Roman" w:eastAsia="宋体" w:cs="Times New Roman"/>
      <w:sz w:val="18"/>
      <w:szCs w:val="18"/>
    </w:rPr>
  </w:style>
  <w:style w:type="paragraph" w:styleId="1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8">
    <w:name w:val="List Paragraph"/>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0">
    <w:name w:val="批注框文本 Char"/>
    <w:basedOn w:val="9"/>
    <w:link w:val="4"/>
    <w:semiHidden/>
    <w:uiPriority w:val="99"/>
    <w:rPr>
      <w:rFonts w:ascii="Times New Roman" w:hAnsi="Times New Roman" w:eastAsia="宋体" w:cs="Times New Roman"/>
      <w:kern w:val="2"/>
      <w:sz w:val="18"/>
      <w:szCs w:val="18"/>
    </w:rPr>
  </w:style>
  <w:style w:type="character" w:customStyle="1" w:styleId="21">
    <w:name w:val="font31"/>
    <w:qFormat/>
    <w:uiPriority w:val="0"/>
    <w:rPr>
      <w:rFonts w:hint="default" w:ascii="华文仿宋" w:hAnsi="华文仿宋" w:eastAsia="华文仿宋" w:cs="华文仿宋"/>
      <w:color w:val="000000"/>
      <w:sz w:val="20"/>
      <w:szCs w:val="20"/>
      <w:u w:val="none"/>
    </w:rPr>
  </w:style>
  <w:style w:type="character" w:customStyle="1" w:styleId="22">
    <w:name w:val="font71"/>
    <w:uiPriority w:val="0"/>
    <w:rPr>
      <w:rFonts w:hint="eastAsia" w:ascii="宋体" w:hAnsi="宋体" w:eastAsia="宋体" w:cs="宋体"/>
      <w:color w:val="000000"/>
      <w:sz w:val="22"/>
      <w:szCs w:val="22"/>
      <w:u w:val="none"/>
    </w:rPr>
  </w:style>
  <w:style w:type="character" w:customStyle="1" w:styleId="23">
    <w:name w:val="font101"/>
    <w:uiPriority w:val="0"/>
    <w:rPr>
      <w:rFonts w:hint="default" w:ascii="华文仿宋" w:hAnsi="华文仿宋" w:eastAsia="华文仿宋" w:cs="华文仿宋"/>
      <w:color w:val="FF0000"/>
      <w:sz w:val="20"/>
      <w:szCs w:val="20"/>
      <w:u w:val="none"/>
    </w:rPr>
  </w:style>
  <w:style w:type="character" w:customStyle="1" w:styleId="24">
    <w:name w:val="批注文字 Char"/>
    <w:basedOn w:val="9"/>
    <w:link w:val="3"/>
    <w:semiHidden/>
    <w:uiPriority w:val="99"/>
    <w:rPr>
      <w:rFonts w:ascii="Times New Roman" w:hAnsi="Times New Roman" w:eastAsia="宋体" w:cs="Times New Roman"/>
      <w:kern w:val="2"/>
      <w:sz w:val="21"/>
      <w:szCs w:val="22"/>
    </w:rPr>
  </w:style>
  <w:style w:type="character" w:customStyle="1" w:styleId="25">
    <w:name w:val="批注主题 Char"/>
    <w:basedOn w:val="24"/>
    <w:link w:val="7"/>
    <w:semiHidden/>
    <w:uiPriority w:val="99"/>
    <w:rPr>
      <w:rFonts w:ascii="Times New Roman" w:hAnsi="Times New Roman" w:eastAsia="宋体" w:cs="Times New Roman"/>
      <w:b/>
      <w:bCs/>
      <w:kern w:val="2"/>
      <w:sz w:val="21"/>
      <w:szCs w:val="22"/>
    </w:rPr>
  </w:style>
  <w:style w:type="paragraph" w:customStyle="1" w:styleId="26">
    <w:name w:val="Revision"/>
    <w:hidden/>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10FC-D7E3-4ABB-B2D2-23A3CA162310}">
  <ds:schemaRefs/>
</ds:datastoreItem>
</file>

<file path=docProps/app.xml><?xml version="1.0" encoding="utf-8"?>
<Properties xmlns="http://schemas.openxmlformats.org/officeDocument/2006/extended-properties" xmlns:vt="http://schemas.openxmlformats.org/officeDocument/2006/docPropsVTypes">
  <Template>Normal</Template>
  <Pages>26</Pages>
  <Words>12742</Words>
  <Characters>13776</Characters>
  <Lines>124</Lines>
  <Paragraphs>35</Paragraphs>
  <TotalTime>0</TotalTime>
  <ScaleCrop>false</ScaleCrop>
  <LinksUpToDate>false</LinksUpToDate>
  <CharactersWithSpaces>17057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2021-07-09T07:28:00Z</dcterms:created>
  <dc:creator>肖洋</dc:creator>
  <cp:lastModifiedBy>那个她</cp:lastModifiedBy>
  <dcterms:modified xsi:type="dcterms:W3CDTF">2022-06-28T03:57:07Z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D5A8F73259A54F81861B3F9170012249</vt:lpwstr>
  </property>
</Properties>
</file>