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2019年渝中区商务委整体支出</w:t>
      </w:r>
    </w:p>
    <w:p>
      <w:pPr>
        <w:spacing w:line="360" w:lineRule="auto"/>
        <w:jc w:val="center"/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  <w:lang w:val="en-US" w:eastAsia="zh-CN"/>
        </w:rPr>
        <w:t>绩效评价报告</w:t>
      </w:r>
    </w:p>
    <w:p>
      <w:pPr>
        <w:pStyle w:val="8"/>
        <w:spacing w:line="594" w:lineRule="exact"/>
        <w:ind w:firstLine="320" w:firstLineChars="100"/>
        <w:jc w:val="left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《渝中区财政局关于开展2019年度预算绩效评价工作的通知》（渝中财绩〔2020〕3号）文件要求，我委组织人员对2019年部门整体运行及支出情况进行了自查自评，并对照部门整体支出绩效指标评价标准进行了评分，自评得分86.6分。现将自评情况报告如下：</w:t>
      </w: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一、基本概况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（一）部门概况。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渝中区商务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</w:rPr>
        <w:t>为区政府组成部门，主要职能是：贯彻执行国家、市有关国内外贸易、对外经济合作、投资促进的法律、法规、规章和方针政策；提出并制定相关发展规划和政策建议。负责推动内外贸融合发展，拟定全区商务工作具体措施；制定区域内利用外资计划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并组织实施</w:t>
      </w:r>
      <w:r>
        <w:rPr>
          <w:rFonts w:hint="eastAsia" w:ascii="仿宋_GB2312" w:hAnsi="仿宋_GB2312" w:eastAsia="仿宋_GB2312" w:cs="仿宋_GB2312"/>
          <w:sz w:val="32"/>
        </w:rPr>
        <w:t>；促进电子商务发展。负责引导重要商品市场调控任务，建立健全生活必需品市场供应应急管理机制；监测分析内外贸重点行业、重点领域运行动态；负责重要商品的储备管理工作。牵头统筹协调、落实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市场业态调整</w:t>
      </w:r>
      <w:r>
        <w:rPr>
          <w:rFonts w:hint="eastAsia" w:ascii="仿宋_GB2312" w:hAnsi="仿宋_GB2312" w:eastAsia="仿宋_GB2312" w:cs="仿宋_GB2312"/>
          <w:sz w:val="32"/>
        </w:rPr>
        <w:t>工作，制定扶持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sz w:val="32"/>
        </w:rPr>
        <w:t>，并组织实施；负责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区域商贸类企业联系、走访、服务工作</w:t>
      </w:r>
      <w:r>
        <w:rPr>
          <w:rFonts w:hint="eastAsia" w:ascii="仿宋_GB2312" w:hAnsi="仿宋_GB2312" w:eastAsia="仿宋_GB2312" w:cs="仿宋_GB2312"/>
          <w:sz w:val="32"/>
        </w:rPr>
        <w:t>；负责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</w:rPr>
        <w:t>区域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商贸</w:t>
      </w:r>
      <w:r>
        <w:rPr>
          <w:rFonts w:hint="eastAsia" w:ascii="仿宋_GB2312" w:hAnsi="仿宋_GB2312" w:eastAsia="仿宋_GB2312" w:cs="仿宋_GB2312"/>
          <w:sz w:val="32"/>
        </w:rPr>
        <w:t>产业、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落实商旅文融合发展工作</w:t>
      </w:r>
      <w:r>
        <w:rPr>
          <w:rFonts w:hint="eastAsia" w:ascii="仿宋_GB2312" w:hAnsi="仿宋_GB2312" w:eastAsia="仿宋_GB2312" w:cs="仿宋_GB2312"/>
          <w:sz w:val="32"/>
        </w:rPr>
        <w:t>，根据国内外发展趋势，为区政府提出可行性意见和建议。负责推动商贸流通业发展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推进商贸流通业产业结构调整；提出促进消费的政策措施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并组织实施</w:t>
      </w:r>
      <w:r>
        <w:rPr>
          <w:rFonts w:hint="eastAsia" w:ascii="仿宋_GB2312" w:hAnsi="仿宋_GB2312" w:eastAsia="仿宋_GB2312" w:cs="仿宋_GB2312"/>
          <w:sz w:val="32"/>
        </w:rPr>
        <w:t>；推动现代流通方式的运用和发展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促进现代商贸供应链应用发展</w:t>
      </w:r>
      <w:r>
        <w:rPr>
          <w:rFonts w:hint="eastAsia" w:ascii="仿宋_GB2312" w:hAnsi="仿宋_GB2312" w:eastAsia="仿宋_GB2312" w:cs="仿宋_GB2312"/>
          <w:sz w:val="32"/>
        </w:rPr>
        <w:t>。负责商贸网络体系建设。指导购物中心、大型市场、大型商场、社区商业发展。会同有关部门推动商贸流通业领域信用体系建设，指导商贸企业诚信经营。负责区域投资环境营销宣传。推动会展经济发展，统筹区域内重大经贸会展活动，组织相关企业参加境内外重大经贸会展活动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牵头内陆开放高地建设推进工作，</w:t>
      </w:r>
      <w:r>
        <w:rPr>
          <w:rFonts w:hint="eastAsia" w:ascii="仿宋_GB2312" w:hAnsi="仿宋_GB2312" w:eastAsia="仿宋_GB2312" w:cs="仿宋_GB2312"/>
          <w:sz w:val="32"/>
        </w:rPr>
        <w:t>负责推动区域对外开放工作。负责外资、外经、外贸的管理服务工作，依法管理和监督对外工程承包、劳动合同等事项。承担商贸特殊行业、特种商品监督管理的责任。依法负责液化石油气经营、散装水泥、酒类销售的监督管理；负责再生资源回收的规划和布局；协助对报废汽车回收、旧货流通、典当、成品油流通的管理。负责区域内重点企业指导、服务工作，负责推进区域内商务、园区沟通协作。负责本部门及下属单位国资管理工作。负责本部门及所属单位改革、信访稳定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区域商贸企业、加油站等</w:t>
      </w:r>
      <w:r>
        <w:rPr>
          <w:rFonts w:hint="eastAsia" w:ascii="仿宋_GB2312" w:hAnsi="仿宋_GB2312" w:eastAsia="仿宋_GB2312" w:cs="仿宋_GB2312"/>
          <w:sz w:val="32"/>
        </w:rPr>
        <w:t>安全生产监督管理工作。依法组织实施行业统计工作等事项。提供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商贸商务</w:t>
      </w:r>
      <w:r>
        <w:rPr>
          <w:rFonts w:hint="eastAsia" w:ascii="仿宋_GB2312" w:hAnsi="仿宋_GB2312" w:eastAsia="仿宋_GB2312" w:cs="仿宋_GB2312"/>
          <w:sz w:val="32"/>
        </w:rPr>
        <w:t>相关服务，促进经济发展，负责全区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商贸商务</w:t>
      </w:r>
      <w:r>
        <w:rPr>
          <w:rFonts w:hint="eastAsia" w:ascii="仿宋_GB2312" w:hAnsi="仿宋_GB2312" w:eastAsia="仿宋_GB2312" w:cs="仿宋_GB2312"/>
          <w:sz w:val="32"/>
        </w:rPr>
        <w:t>投资促进具体事务性工作；负责为企业提供投资咨询服务；负责投资环境对外宣传推广；负责国内外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商贸商务</w:t>
      </w:r>
      <w:r>
        <w:rPr>
          <w:rFonts w:hint="eastAsia" w:ascii="仿宋_GB2312" w:hAnsi="仿宋_GB2312" w:eastAsia="仿宋_GB2312" w:cs="仿宋_GB2312"/>
          <w:sz w:val="32"/>
        </w:rPr>
        <w:t>项目投资情报收集；负责对外招商代理机构的联络。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负责牵头研究制定自由贸易试验区综合改革、投资、贸易、金融、人才等政策创新措施，总结、推广创新经验和做法；协调推进自由贸易区各项改革试点任务的落实。负责中心互联互通重点项目推动工作。负责商贸系统党建工作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单位构成。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渝中区商务</w:t>
      </w:r>
      <w:r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委员会现设有9个内设机构与1个事业单位，包括行政办公室、组织人事科、商贸发展科、市场流通科、外资外贸科、企业服务科、电子商务科、综合</w:t>
      </w:r>
      <w:r>
        <w:rPr>
          <w:rStyle w:val="7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监管科、自贸推进科与商务发展促进中心。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（二）整体支出绩效目标。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lang w:val="en-US" w:eastAsia="zh-CN"/>
        </w:rPr>
        <w:t>一是充分使用产业资金，严格执行部门外资外贸</w:t>
      </w:r>
      <w:r>
        <w:rPr>
          <w:rFonts w:hint="eastAsia" w:ascii="方正仿宋_GBK" w:eastAsia="方正仿宋_GBK"/>
          <w:sz w:val="32"/>
          <w:lang w:eastAsia="zh-CN"/>
        </w:rPr>
        <w:t>、</w:t>
      </w:r>
      <w:r>
        <w:rPr>
          <w:rFonts w:hint="eastAsia" w:ascii="方正仿宋_GBK" w:eastAsia="方正仿宋_GBK"/>
          <w:sz w:val="32"/>
          <w:lang w:val="en-US" w:eastAsia="zh-CN"/>
        </w:rPr>
        <w:t>自贸建设、安全维稳</w:t>
      </w:r>
      <w:r>
        <w:rPr>
          <w:rFonts w:hint="eastAsia" w:ascii="方正仿宋_GBK" w:eastAsia="方正仿宋_GBK"/>
          <w:sz w:val="32"/>
          <w:lang w:eastAsia="zh-CN"/>
        </w:rPr>
        <w:t>、民生商业、</w:t>
      </w:r>
      <w:r>
        <w:rPr>
          <w:rFonts w:hint="eastAsia" w:ascii="方正仿宋_GBK" w:eastAsia="方正仿宋_GBK"/>
          <w:sz w:val="32"/>
          <w:lang w:val="en-US" w:eastAsia="zh-CN"/>
        </w:rPr>
        <w:t>统计监测、</w:t>
      </w:r>
      <w:r>
        <w:rPr>
          <w:rFonts w:hint="eastAsia" w:ascii="方正仿宋_GBK" w:eastAsia="方正仿宋_GBK"/>
          <w:sz w:val="32"/>
          <w:lang w:eastAsia="zh-CN"/>
        </w:rPr>
        <w:t>招商引资</w:t>
      </w:r>
      <w:r>
        <w:rPr>
          <w:rFonts w:hint="eastAsia" w:ascii="方正仿宋_GBK" w:eastAsia="方正仿宋_GBK"/>
          <w:sz w:val="32"/>
          <w:lang w:val="en-US" w:eastAsia="zh-CN"/>
        </w:rPr>
        <w:t>等职能职责</w:t>
      </w:r>
      <w:r>
        <w:rPr>
          <w:rFonts w:hint="eastAsia" w:ascii="方正仿宋_GBK" w:eastAsia="方正仿宋_GBK"/>
          <w:sz w:val="32"/>
          <w:lang w:eastAsia="zh-CN"/>
        </w:rPr>
        <w:t>，扩大消费市场，增加税源，促进经济社会发展；</w:t>
      </w:r>
      <w:r>
        <w:rPr>
          <w:rFonts w:hint="eastAsia" w:ascii="方正仿宋_GBK" w:eastAsia="方正仿宋_GBK"/>
          <w:sz w:val="32"/>
          <w:lang w:val="en-US" w:eastAsia="zh-CN"/>
        </w:rPr>
        <w:t>二是充分发挥政府纽带作用，密切联系与服务区域内企业，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着力稳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增长、扩消费，稳三外、促开放，强招商、优服务，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全力稳固商贸“基本盘”，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启动国际消费中心城市核心区建设，推动内陆开放高地建设取得新进展。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二、绩效评价工作情况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（一）绩效评价目的。</w:t>
      </w:r>
    </w:p>
    <w:p>
      <w:pPr>
        <w:ind w:firstLine="640" w:firstLineChars="20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加强和规范产业发展专项资金管理，提高资金使用效益；</w:t>
      </w:r>
      <w:r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建立健全绩效评价机制，更好实现</w:t>
      </w: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产业发展专项资金管理</w:t>
      </w:r>
      <w:r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目标。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（二）绩效评价原则、评价指标体系、评价方法。</w:t>
      </w:r>
    </w:p>
    <w:p>
      <w:pPr>
        <w:ind w:firstLine="640" w:firstLineChars="20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1、绩效评价原则：目标导向、依法评价；科学规范、分级实施；客观公正、公开透明。</w:t>
      </w:r>
    </w:p>
    <w:p>
      <w:pPr>
        <w:ind w:firstLine="640" w:firstLineChars="20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2、评价指标体系。根据渝中区财政局拟定的2019年部门整体运行资金绩效评价指标体系及评分表。整个指标体系分为分为投入（7分），过程（24分），产出（39分），效果</w:t>
      </w:r>
    </w:p>
    <w:p>
      <w:pP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（30分），共设置了4个一级指标，8个二级指标，35个三级指标。</w:t>
      </w:r>
    </w:p>
    <w:p>
      <w:pPr>
        <w:ind w:firstLine="640" w:firstLineChars="20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3、评价方法：因素分析法。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（三）绩效评价工作过程。</w:t>
      </w:r>
    </w:p>
    <w:p>
      <w:pPr>
        <w:spacing w:line="594" w:lineRule="exact"/>
        <w:ind w:firstLine="640" w:firstLineChars="200"/>
        <w:outlineLvl w:val="0"/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次绩效评价以项目支出为重点，重点评价2019年部门整体运行资金绩效情况。年初由各科室根据全年重点工作提出具体的项目规划和资金计划，由各分管领导初审，交商务委员会党委会进行统筹拨付资金；年中与责任科室</w:t>
      </w:r>
      <w:r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核实调整</w:t>
      </w: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绩效</w:t>
      </w:r>
      <w:r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相关事项，再深入分析调查获取的各种信息</w:t>
      </w: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；年末</w:t>
      </w:r>
      <w:r>
        <w:rPr>
          <w:rStyle w:val="7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按照要求撰写绩效评价报告。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三、综合评价情况及评价结论</w:t>
      </w:r>
    </w:p>
    <w:p>
      <w:pPr>
        <w:ind w:firstLine="640" w:firstLineChars="200"/>
        <w:outlineLvl w:val="0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自评得分86.8分。未完成的指标的明细如下：</w:t>
      </w:r>
    </w:p>
    <w:p>
      <w:pPr>
        <w:ind w:firstLine="640" w:firstLineChars="200"/>
        <w:outlineLvl w:val="0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“在职人员控制率”：2019年行政编制21人、事业编制5人、聘用人员14人，在职人员控制率为1.6；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z w:val="32"/>
          <w:lang w:val="en-US" w:eastAsia="zh-CN"/>
        </w:rPr>
        <w:t>“预</w:t>
      </w: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算调整率”：预算数2436.48万元，调整预算数12494.49万元，预算调整率为5.13；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“公用经费控制率”：公用经费预算为197.36万元，公用经费实际支出206.34万元，公用经费控制率为1.05；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“"三公经费"控制率”："三公经费"预算安排数为23.5万元，"三公经费"实际支出数为17.77万元，"三公经费"控制率为0.76；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“政府采购执行率”：实际政府采购金额为195.09万元，政府采购预算数262万元，政府采购执行率为0.74；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“实际利用外资”绩效目标为5亿美元，2019年实际利用外资4.32亿美元；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“限上商品销售额增长”绩效目标为12%，2019年限上商品销售额增长5.4%；</w:t>
      </w:r>
    </w:p>
    <w:p>
      <w:pPr>
        <w:spacing w:line="594" w:lineRule="exact"/>
        <w:ind w:firstLine="640" w:firstLineChars="200"/>
        <w:outlineLvl w:val="0"/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“社会消费品零售总额增长”绩效目标为7.5%，2019年社会消费品零售总额增长5.6%。</w:t>
      </w: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四、项目资金和组织管理情况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（一）整体支出资金情况分析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项目/整体支出资金安排落实、总投入等情况分析。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highlight w:val="none"/>
          <w:lang w:eastAsia="zh-CN"/>
        </w:rPr>
        <w:t>我</w:t>
      </w:r>
      <w:r>
        <w:rPr>
          <w:rFonts w:hint="eastAsia" w:ascii="方正仿宋_GBK" w:eastAsia="方正仿宋_GBK"/>
          <w:sz w:val="32"/>
          <w:highlight w:val="none"/>
          <w:lang w:val="en-US" w:eastAsia="zh-CN"/>
        </w:rPr>
        <w:t>委2019年共收到财政拨款12494.49万元，1-12月实际共支出12494.49万元。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highlight w:val="yellow"/>
          <w:lang w:eastAsia="zh-CN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整体支出资金实际使用情况分析。</w:t>
      </w:r>
    </w:p>
    <w:tbl>
      <w:tblPr>
        <w:tblStyle w:val="5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4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9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354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一般公共服务支出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卫生健康支出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城乡社区支出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2477.88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资源勘探信息等支出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商业服务业等支出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7769.20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住房保障支出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4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12494.49</w:t>
            </w:r>
          </w:p>
        </w:tc>
      </w:tr>
    </w:tbl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整体支出资金管理情况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为加强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管理，提高资金的使用效益，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委建立完善单位内部控制制度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产业发展资金的使用由</w:t>
      </w:r>
      <w:r>
        <w:rPr>
          <w:rFonts w:hint="eastAsia" w:ascii="方正仿宋_GBK" w:eastAsia="方正仿宋_GBK"/>
          <w:sz w:val="32"/>
          <w:lang w:val="en-US" w:eastAsia="zh-CN"/>
        </w:rPr>
        <w:t>商务委员会党委会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研究通过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同时，为保证资金使用的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效率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出台了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相关资金使用条例</w:t>
      </w: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，对项目资金强化收支管理，专款专用。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（二）整体支出组织情况分析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整体支出组织情况分析。</w:t>
      </w:r>
    </w:p>
    <w:p>
      <w:pPr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高度重视项目的组织实施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。年初由各科室根据全年重点工作提出具体的项目规划和资金计划，由各分管领导初审，交</w:t>
      </w:r>
      <w:r>
        <w:rPr>
          <w:rFonts w:hint="eastAsia" w:ascii="方正仿宋_GBK" w:eastAsia="方正仿宋_GBK"/>
          <w:sz w:val="32"/>
          <w:lang w:val="en-US" w:eastAsia="zh-CN"/>
        </w:rPr>
        <w:t>商务委员会党委会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进行统筹。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整体支出管理情况分析。</w:t>
      </w:r>
    </w:p>
    <w:p>
      <w:pPr>
        <w:ind w:firstLine="640" w:firstLineChars="200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在项目的执行过程中，由各科室具体跟踪落实，监督项目实施的全过程，并重视资料的收集整理，保存归档，以备查验。</w:t>
      </w:r>
    </w:p>
    <w:p>
      <w:pPr>
        <w:spacing w:line="594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五、主要经验及做法、存在的问题和建议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</w:rPr>
        <w:t>商贸大区强区的地位进一步巩固提升，主要行业指标保持全市领先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实现商品销售总额同比增长9.7%，社会消费品零售总额同比增长5.6%，住宿餐饮业营业额同比增长14.4%；实际利用外资4.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亿美元，外贸进出口额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亿元，保持稳定；服务贸易额165亿元，位居全市首位。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eastAsia="zh-CN"/>
        </w:rPr>
        <w:t>）重点行业企业动能转换加快，重点龙头企业“一家不少”。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业航母重庆商社混改拉响改革汽笛，成功稳定乡村基、苏宁、对外贸易进口等一批重点龙头企业，商贸50强、外贸20强无一流失。精准引进落地中盐西南盐业等龙头总部，“红蜻蜓”、“喜茶”、“良品铺子”等知名连锁品牌区域总部，“招大引强”8.5户，培育新增20家规上企业，争取各类市级项目资金8000余万元，兑现产业政策资金超1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（三）“四首经济”全面发力。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大力吸引“区域首店、行业首牌、品牌首秀、新品首发”，引进国际知名品牌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个，总数达到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个，收获阿迪达斯全球品牌中心等首牌首店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家，举办首秀首发活动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余场，意大利迦达时装秀全球发布。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（四）商圈经济向差异化、独特化进阶。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解放碑商圈加快推动国家级步行街改造提升，率先打造离境退税示范街区，阿迪达斯、耐克等三大旗舰店汇聚八一广场，解放碑——朝天门一体化发展列入全市重点规划，区域外事活动是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往年的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倍。大坪商圈突出情景化和体验性，不断丰富商业业态，龙湖时代天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街年销售额达38亿元，继续保持全市单体商业销售第一。来福士购物中心盛大开业，引进四成独有业态成为消费新亮点。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（五）自贸区建设纵深推进。1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项改革试点任务、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项创新举措、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项复制推广试点经验，落实率均超95%。在全国率先试点建立市场主体信用风险分类监管平台，形成大数据食品药品安全监管、审批服务“一窗通办”等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项制度创新成果。“一带一路”智能体验馆等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个重点企业和项目相继落地，签约资金额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超100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亿元。新增企业数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1750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户，占全市自贸区比重近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15%，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其中外资企业占全市自贸区比重超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（六）中新合作落地一批示范性项目。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中新（重庆）互联互通项目综合展厅高层次揭幕亮相，新增金融服务项目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个、融资规模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10.7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亿美元，助推中西部首个跨境房地产信托融资项目赴新加坡募资近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亿元，金窝窝、迪肯区块链成为中新（重庆）国际数据通道下首批合作项目，落地中新智慧旅游等中新合作项目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个，签约金额达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37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亿元。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（七）“三外”开放领域和地域有效拓展。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新增乌克兰等国家外商投资企业及机构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121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家，区域对“一带一路”沿线国家（含东盟）贸易额同比增长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15.5%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，对外承包工程营业额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4.5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亿美元，占全市比重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56%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。培育帕斯亚科技等国家级和市级服务贸易品牌企业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</w:rPr>
        <w:t>家，解放碑、化龙桥服贸产业园在全市规模位列第一、第二。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（八）餐饮消费加速释放。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培育壮大“亿元级”企业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巴将军、朝天门火锅入选“重庆非物质文化遗产”名录，“唐糕祖”等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个品牌获评市级老字号，总数达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家餐饮商号获奖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大众点评必吃榜（重庆），组织举办第三届重庆厨师节和重庆国际美食节。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（九）数字商务经济蓬勃兴起。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在全市率先启动数字商务产业园建设，入驻欧菲斯、茶语网等数字商务企业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家。苏宁易购等重点平台营收增速保持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以上，宝妈时光、香满圆、阅淘网等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余家垂直细分领域平台汇聚渝中，“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智慧朝天门”网红电商孵化基地初见雏形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，区域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网络零售额突破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（十）节会促销全年保持热度。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联动美团、大众点评、新浪等头部平台，开展“潮享.夜渝中”、迎春消费季等商圈促销主题活动，各商场实现平台下单量超过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150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万单，线上交易额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3.4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亿元。引进奥特曼、阿童木等一批知名IP展，承接中法环保月、HI Color艺术节等一批国际艺术家活动。评选渝中优秀展会，较场口夜市在中国夜间经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  <w:t>济论坛中入围“游客喜爱的十大夜市”。全年发布原创新闻稿件200余篇，其中市级以上媒体110余篇。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（十一）商贸领域安全稳定“底线”坚守有力。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持续深化“大排查大整治大执法大落实”行动，完成龙湖时代天街高层建筑液化气、大型商业体消防安全专项整治，对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449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家规上企业实行ABC级风险管理，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举办商贸领域综合应急大练兵。完成民生家电、留真摄影等企业资产处置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，海林蔬菜、群林市场等重点群体稳控到位，市、区交办信访积案有效化解。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十二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全面从严治党驰而不息。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高质量开展“不忘初心、牢记使命”主题教育，创作“我是共产党员”主题教育微动漫，拍摄庆祝新中国成立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周年商务青年快闪视频，开展“我为渝中商务代言招商推介大比拼”，两篇调研文章入选全区优秀调研成果集，在全区进行了主题教育经验交流和专题党课分享。撤销清算解体企业党组织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个，评选“招商能手”“服务明星”“创新先锋”等，充分发挥机关党员的先锋模范作用。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名干部提拔重用，推荐选拔1名正科级领导干部。引进“高精尖”商务领域人才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名、外籍高层次人才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名、外籍专业技术人才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名、新零售新商业团队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个。</w:t>
      </w:r>
    </w:p>
    <w:p>
      <w:pPr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为了用好用活有限的财政资金，保障资金的安全和绩效，我委针对全年的工作进行了项目细化，并按照工作重点合理安排资金。随着单位职能职责的增加，工作任务重，建议向周边区县学习，增加产业发展资金年初预算。</w:t>
      </w:r>
    </w:p>
    <w:p>
      <w:pPr>
        <w:spacing w:line="594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六、其他需说明的问题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83780"/>
    <w:multiLevelType w:val="singleLevel"/>
    <w:tmpl w:val="B018378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13AE9"/>
    <w:rsid w:val="039D65AB"/>
    <w:rsid w:val="1029156E"/>
    <w:rsid w:val="135A6DD7"/>
    <w:rsid w:val="13BF49C3"/>
    <w:rsid w:val="16AA6DAC"/>
    <w:rsid w:val="1A821DA8"/>
    <w:rsid w:val="1B1B7BAC"/>
    <w:rsid w:val="1BA44F36"/>
    <w:rsid w:val="1E3F1EE9"/>
    <w:rsid w:val="20A02A09"/>
    <w:rsid w:val="216271C2"/>
    <w:rsid w:val="230C65DC"/>
    <w:rsid w:val="250D56FF"/>
    <w:rsid w:val="2AB06C9C"/>
    <w:rsid w:val="2AF67145"/>
    <w:rsid w:val="2C125E59"/>
    <w:rsid w:val="2E082F8A"/>
    <w:rsid w:val="2E8618E5"/>
    <w:rsid w:val="31093B46"/>
    <w:rsid w:val="3AC879F8"/>
    <w:rsid w:val="3B3831A8"/>
    <w:rsid w:val="3BA37EF9"/>
    <w:rsid w:val="3C0F15EC"/>
    <w:rsid w:val="3FBA4CFC"/>
    <w:rsid w:val="40C95BBF"/>
    <w:rsid w:val="43970D20"/>
    <w:rsid w:val="442C71F1"/>
    <w:rsid w:val="4686600C"/>
    <w:rsid w:val="48272DC6"/>
    <w:rsid w:val="4C3C00AD"/>
    <w:rsid w:val="53397D2B"/>
    <w:rsid w:val="53EF4AD9"/>
    <w:rsid w:val="5AC70BBF"/>
    <w:rsid w:val="5AF13AE9"/>
    <w:rsid w:val="5D271874"/>
    <w:rsid w:val="6570151D"/>
    <w:rsid w:val="72E30ACF"/>
    <w:rsid w:val="72FC1349"/>
    <w:rsid w:val="7ADC4C88"/>
    <w:rsid w:val="7F154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99"/>
    <w:pPr>
      <w:spacing w:line="240" w:lineRule="auto"/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2020-04-17T06:51:00Z</dcterms:created>
  <dc:creator>罗丽宏</dc:creator>
  <cp:lastModifiedBy>罗丽宏</cp:lastModifiedBy>
  <dcterms:modified xsi:type="dcterms:W3CDTF">2020-09-29T08:40:27Z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