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96" w:lineRule="exact"/>
        <w:jc w:val="center"/>
        <w:rPr>
          <w:rFonts w:hint="default" w:ascii="方正小标宋_GBK" w:hAnsi="方正小标宋_GBK" w:eastAsia="方正小标宋_GBK" w:cs="方正小标宋_GBK"/>
          <w:color w:val="auto"/>
          <w:sz w:val="44"/>
          <w:szCs w:val="44"/>
        </w:rPr>
      </w:pPr>
      <w:r>
        <w:rPr>
          <w:rFonts w:ascii="方正小标宋_GBK" w:hAnsi="方正小标宋_GBK" w:eastAsia="方正小标宋_GBK" w:cs="方正小标宋_GBK"/>
          <w:color w:val="auto"/>
          <w:sz w:val="44"/>
          <w:szCs w:val="44"/>
        </w:rPr>
        <w:t>重庆市渝中区社会经济调查队（重庆市渝中区统计执法大队）</w:t>
      </w:r>
    </w:p>
    <w:p>
      <w:pPr>
        <w:pStyle w:val="2"/>
        <w:spacing w:before="0" w:beforeAutospacing="0" w:after="0" w:afterAutospacing="0" w:line="596" w:lineRule="exact"/>
        <w:jc w:val="center"/>
        <w:rPr>
          <w:rFonts w:hint="default" w:ascii="方正小标宋_GBK" w:hAnsi="方正小标宋_GBK" w:eastAsia="方正小标宋_GBK" w:cs="方正小标宋_GBK"/>
          <w:color w:val="auto"/>
          <w:sz w:val="44"/>
          <w:szCs w:val="44"/>
          <w:shd w:val="clear" w:color="auto" w:fill="FFFFFF"/>
        </w:rPr>
      </w:pPr>
      <w:r>
        <w:rPr>
          <w:rFonts w:hint="default" w:ascii="Times New Roman" w:hAnsi="Times New Roman" w:eastAsia="方正小标宋_GBK"/>
          <w:color w:val="auto"/>
          <w:sz w:val="44"/>
          <w:szCs w:val="44"/>
          <w:shd w:val="clear" w:color="auto" w:fill="FFFFFF"/>
        </w:rPr>
        <w:t>2024</w:t>
      </w:r>
      <w:r>
        <w:rPr>
          <w:rFonts w:ascii="方正小标宋_GBK" w:hAnsi="方正小标宋_GBK" w:eastAsia="方正小标宋_GBK" w:cs="方正小标宋_GBK"/>
          <w:color w:val="auto"/>
          <w:sz w:val="44"/>
          <w:szCs w:val="44"/>
          <w:shd w:val="clear" w:color="auto" w:fill="FFFFFF"/>
        </w:rPr>
        <w:t>年度决算公开说明</w:t>
      </w:r>
    </w:p>
    <w:p>
      <w:pPr>
        <w:pStyle w:val="2"/>
        <w:spacing w:before="0" w:beforeAutospacing="0" w:after="0" w:afterAutospacing="0" w:line="596" w:lineRule="exact"/>
        <w:rPr>
          <w:rFonts w:hint="default"/>
          <w:color w:val="auto"/>
          <w:sz w:val="27"/>
          <w:szCs w:val="27"/>
          <w:shd w:val="clear" w:color="auto" w:fill="FFFF00"/>
        </w:rPr>
      </w:pPr>
    </w:p>
    <w:p>
      <w:pPr>
        <w:pStyle w:val="2"/>
        <w:shd w:val="clear" w:color="auto" w:fill="FFFFFF"/>
        <w:spacing w:before="0" w:beforeAutospacing="0" w:after="0" w:afterAutospacing="0" w:line="596" w:lineRule="exact"/>
        <w:ind w:firstLine="643" w:firstLineChars="200"/>
        <w:rPr>
          <w:rStyle w:val="5"/>
          <w:rFonts w:hint="default" w:ascii="黑体" w:hAnsi="黑体" w:eastAsia="黑体" w:cs="黑体"/>
          <w:color w:val="auto"/>
          <w:sz w:val="32"/>
          <w:szCs w:val="32"/>
          <w:shd w:val="clear" w:color="auto" w:fill="FFFFFF"/>
        </w:rPr>
      </w:pPr>
      <w:r>
        <w:rPr>
          <w:rStyle w:val="5"/>
          <w:rFonts w:ascii="黑体" w:hAnsi="黑体" w:eastAsia="黑体" w:cs="黑体"/>
          <w:color w:val="auto"/>
          <w:sz w:val="32"/>
          <w:szCs w:val="32"/>
          <w:shd w:val="clear" w:color="auto" w:fill="FFFFFF"/>
        </w:rPr>
        <w:t>一、单位基本情况</w:t>
      </w:r>
    </w:p>
    <w:p>
      <w:pPr>
        <w:pStyle w:val="2"/>
        <w:shd w:val="clear" w:color="auto" w:fill="FFFFFF"/>
        <w:ind w:firstLine="420"/>
        <w:rPr>
          <w:rFonts w:hint="default" w:ascii="方正仿宋_GBK" w:hAnsi="方正仿宋_GBK" w:eastAsia="方正仿宋_GBK" w:cs="方正仿宋_GBK"/>
          <w:color w:val="auto"/>
          <w:sz w:val="32"/>
          <w:szCs w:val="32"/>
        </w:rPr>
      </w:pPr>
      <w:r>
        <w:rPr>
          <w:rStyle w:val="5"/>
          <w:rFonts w:ascii="楷体" w:hAnsi="楷体" w:eastAsia="楷体" w:cs="楷体"/>
          <w:color w:val="auto"/>
          <w:sz w:val="32"/>
          <w:szCs w:val="32"/>
          <w:shd w:val="clear" w:color="auto" w:fill="FFFFFF"/>
        </w:rPr>
        <w:t>（一）职能职责</w:t>
      </w:r>
    </w:p>
    <w:p>
      <w:pPr>
        <w:pStyle w:val="2"/>
        <w:shd w:val="clear" w:color="auto" w:fill="FFFFFF"/>
        <w:ind w:firstLine="640" w:firstLineChars="200"/>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为政府决策及社会需求调查提供社会经济信息，配合区统计局相关科室实施全区人口、经济等有关普查及专项调查及专项调查；完成国家统计局重庆调查总队、重庆市统计局及区统计局布置的其他有关社会经济调查和专项调查任务。</w:t>
      </w:r>
    </w:p>
    <w:p>
      <w:pPr>
        <w:pStyle w:val="2"/>
        <w:shd w:val="clear" w:color="auto" w:fill="FFFFFF"/>
        <w:ind w:firstLine="420"/>
        <w:rPr>
          <w:rFonts w:hint="default" w:ascii="楷体" w:hAnsi="楷体" w:eastAsia="楷体" w:cs="楷体"/>
          <w:color w:val="auto"/>
          <w:sz w:val="32"/>
          <w:szCs w:val="32"/>
        </w:rPr>
      </w:pPr>
      <w:r>
        <w:rPr>
          <w:rStyle w:val="5"/>
          <w:rFonts w:ascii="楷体" w:hAnsi="楷体" w:eastAsia="楷体" w:cs="楷体"/>
          <w:color w:val="auto"/>
          <w:sz w:val="32"/>
          <w:szCs w:val="32"/>
          <w:shd w:val="clear" w:color="auto" w:fill="FFFFFF"/>
        </w:rPr>
        <w:t>（二）机构设置</w:t>
      </w:r>
    </w:p>
    <w:p>
      <w:pPr>
        <w:pStyle w:val="2"/>
        <w:shd w:val="clear" w:color="auto" w:fill="FFFFFF"/>
        <w:ind w:firstLine="640" w:firstLineChars="200"/>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重庆市渝中区社会经济调查队为</w:t>
      </w:r>
      <w:r>
        <w:rPr>
          <w:rFonts w:hint="eastAsia" w:ascii="方正仿宋_GBK" w:hAnsi="方正仿宋_GBK" w:eastAsia="方正仿宋_GBK" w:cs="方正仿宋_GBK"/>
          <w:color w:val="000000"/>
          <w:kern w:val="0"/>
          <w:sz w:val="32"/>
          <w:szCs w:val="32"/>
        </w:rPr>
        <w:t>参照公务员法管理的科级事业单位</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2024年底</w:t>
      </w:r>
      <w:r>
        <w:rPr>
          <w:rFonts w:hint="eastAsia" w:ascii="方正仿宋_GBK" w:hAnsi="方正仿宋_GBK" w:eastAsia="方正仿宋_GBK" w:cs="方正仿宋_GBK"/>
          <w:color w:val="auto"/>
          <w:sz w:val="32"/>
          <w:szCs w:val="32"/>
          <w:shd w:val="clear" w:color="auto" w:fill="FFFFFF"/>
          <w:lang w:eastAsia="zh-CN"/>
        </w:rPr>
        <w:t>有事业编人员</w:t>
      </w:r>
      <w:r>
        <w:rPr>
          <w:rFonts w:hint="eastAsia" w:ascii="方正仿宋_GBK" w:hAnsi="方正仿宋_GBK" w:eastAsia="方正仿宋_GBK" w:cs="方正仿宋_GBK"/>
          <w:color w:val="auto"/>
          <w:sz w:val="32"/>
          <w:szCs w:val="32"/>
          <w:shd w:val="clear" w:color="auto" w:fill="FFFFFF"/>
          <w:lang w:val="en-US" w:eastAsia="zh-CN"/>
        </w:rPr>
        <w:t>10人。</w:t>
      </w:r>
    </w:p>
    <w:p>
      <w:pPr>
        <w:pStyle w:val="2"/>
        <w:shd w:val="clear" w:color="auto" w:fill="FFFFFF"/>
        <w:spacing w:before="0" w:beforeAutospacing="0" w:after="0" w:afterAutospacing="0" w:line="596" w:lineRule="exact"/>
        <w:ind w:firstLine="643" w:firstLineChars="200"/>
        <w:rPr>
          <w:rStyle w:val="5"/>
          <w:rFonts w:hint="default" w:ascii="黑体" w:hAnsi="黑体" w:eastAsia="黑体" w:cs="黑体"/>
          <w:color w:val="auto"/>
          <w:sz w:val="32"/>
          <w:szCs w:val="32"/>
          <w:shd w:val="clear" w:color="auto" w:fill="FFFFFF"/>
        </w:rPr>
      </w:pPr>
      <w:r>
        <w:rPr>
          <w:rStyle w:val="5"/>
          <w:rFonts w:ascii="黑体" w:hAnsi="黑体" w:eastAsia="黑体" w:cs="黑体"/>
          <w:color w:val="auto"/>
          <w:sz w:val="32"/>
          <w:szCs w:val="32"/>
          <w:shd w:val="clear" w:color="auto" w:fill="FFFFFF"/>
        </w:rPr>
        <w:t>二、单位决算收支情况说明</w:t>
      </w:r>
    </w:p>
    <w:p>
      <w:pPr>
        <w:pStyle w:val="6"/>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2"/>
        <w:shd w:val="clear" w:color="auto" w:fill="FFFFFF"/>
        <w:ind w:firstLine="643" w:firstLineChars="200"/>
        <w:rPr>
          <w:rFonts w:hint="default" w:ascii="方正仿宋_GBK" w:hAnsi="方正仿宋_GBK" w:eastAsia="方正仿宋_GBK" w:cs="方正仿宋_GBK"/>
          <w:color w:val="auto"/>
          <w:sz w:val="32"/>
          <w:szCs w:val="32"/>
        </w:rPr>
      </w:pPr>
      <w:r>
        <w:rPr>
          <w:rStyle w:val="5"/>
          <w:rFonts w:ascii="方正仿宋_GBK" w:hAnsi="方正仿宋_GBK" w:eastAsia="方正仿宋_GBK" w:cs="方正仿宋_GBK"/>
          <w:color w:val="auto"/>
          <w:sz w:val="32"/>
          <w:szCs w:val="32"/>
          <w:shd w:val="clear" w:color="auto" w:fill="FFFFFF"/>
        </w:rPr>
        <w:t>1.总体情况。</w:t>
      </w:r>
      <w:r>
        <w:rPr>
          <w:rFonts w:ascii="方正仿宋_GBK" w:hAnsi="方正仿宋_GBK" w:eastAsia="方正仿宋_GBK" w:cs="方正仿宋_GBK"/>
          <w:color w:val="auto"/>
          <w:sz w:val="32"/>
          <w:szCs w:val="32"/>
          <w:shd w:val="clear" w:color="auto" w:fill="FFFFFF"/>
        </w:rPr>
        <w:t>2024年度收入总计145.34万元，支出总计</w:t>
      </w:r>
      <w:r>
        <w:rPr>
          <w:rFonts w:ascii="方正仿宋_GBK" w:hAnsi="方正仿宋_GBK" w:eastAsia="方正仿宋_GBK" w:cs="方正仿宋_GBK"/>
          <w:color w:val="auto"/>
          <w:sz w:val="32"/>
          <w:szCs w:val="32"/>
        </w:rPr>
        <w:t>145.34</w:t>
      </w:r>
      <w:r>
        <w:rPr>
          <w:rFonts w:ascii="方正仿宋_GBK" w:hAnsi="方正仿宋_GBK" w:eastAsia="方正仿宋_GBK" w:cs="方正仿宋_GBK"/>
          <w:color w:val="auto"/>
          <w:sz w:val="32"/>
          <w:szCs w:val="32"/>
          <w:shd w:val="clear" w:color="auto" w:fill="FFFFFF"/>
        </w:rPr>
        <w:t>万元。收、支与2023年度相比，增加145.34万元，增长100.0%，主要原因是</w:t>
      </w:r>
      <w:r>
        <w:rPr>
          <w:rFonts w:hint="eastAsia" w:ascii="方正仿宋_GBK" w:hAnsi="方正仿宋_GBK" w:eastAsia="方正仿宋_GBK" w:cs="方正仿宋_GBK"/>
          <w:color w:val="auto"/>
          <w:sz w:val="32"/>
          <w:szCs w:val="32"/>
          <w:shd w:val="clear" w:color="auto" w:fill="FFFFFF"/>
          <w:lang w:eastAsia="zh-CN"/>
        </w:rPr>
        <w:t>调查队</w:t>
      </w:r>
      <w:r>
        <w:rPr>
          <w:rFonts w:hint="eastAsia" w:ascii="方正仿宋_GBK" w:hAnsi="方正仿宋_GBK" w:eastAsia="方正仿宋_GBK" w:cs="方正仿宋_GBK"/>
          <w:color w:val="auto"/>
          <w:sz w:val="32"/>
          <w:szCs w:val="32"/>
          <w:shd w:val="clear" w:color="auto" w:fill="FFFFFF"/>
          <w:lang w:val="en-US" w:eastAsia="zh-CN"/>
        </w:rPr>
        <w:t>2024年3月开始独立核算，因此相比2023年度增长率为100%</w:t>
      </w:r>
      <w:r>
        <w:rPr>
          <w:rFonts w:ascii="方正仿宋_GBK" w:hAnsi="方正仿宋_GBK" w:eastAsia="方正仿宋_GBK" w:cs="方正仿宋_GBK"/>
          <w:color w:val="auto"/>
          <w:sz w:val="32"/>
          <w:szCs w:val="32"/>
          <w:shd w:val="clear" w:color="auto" w:fill="FFFFFF"/>
        </w:rPr>
        <w:t>。</w:t>
      </w:r>
    </w:p>
    <w:p>
      <w:pPr>
        <w:pStyle w:val="2"/>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5"/>
          <w:rFonts w:ascii="方正仿宋_GBK" w:hAnsi="方正仿宋_GBK" w:eastAsia="方正仿宋_GBK" w:cs="方正仿宋_GBK"/>
          <w:color w:val="auto"/>
          <w:sz w:val="32"/>
          <w:szCs w:val="32"/>
          <w:shd w:val="clear" w:color="auto" w:fill="FFFFFF"/>
        </w:rPr>
        <w:t>2.收入情况。</w:t>
      </w:r>
      <w:r>
        <w:rPr>
          <w:rFonts w:ascii="方正仿宋_GBK" w:hAnsi="方正仿宋_GBK" w:eastAsia="方正仿宋_GBK" w:cs="方正仿宋_GBK"/>
          <w:color w:val="auto"/>
          <w:sz w:val="32"/>
          <w:szCs w:val="32"/>
          <w:shd w:val="clear" w:color="auto" w:fill="FFFFFF"/>
        </w:rPr>
        <w:t>2024年度收入合计145.34万元，与2023年度相比，增加145.34万元，增长100.0%，主要原因是</w:t>
      </w:r>
      <w:r>
        <w:rPr>
          <w:rFonts w:hint="eastAsia" w:ascii="方正仿宋_GBK" w:hAnsi="方正仿宋_GBK" w:eastAsia="方正仿宋_GBK" w:cs="方正仿宋_GBK"/>
          <w:color w:val="auto"/>
          <w:sz w:val="32"/>
          <w:szCs w:val="32"/>
          <w:shd w:val="clear" w:color="auto" w:fill="FFFFFF"/>
          <w:lang w:eastAsia="zh-CN"/>
        </w:rPr>
        <w:t>调查队</w:t>
      </w:r>
      <w:r>
        <w:rPr>
          <w:rFonts w:hint="eastAsia" w:ascii="方正仿宋_GBK" w:hAnsi="方正仿宋_GBK" w:eastAsia="方正仿宋_GBK" w:cs="方正仿宋_GBK"/>
          <w:color w:val="auto"/>
          <w:sz w:val="32"/>
          <w:szCs w:val="32"/>
          <w:shd w:val="clear" w:color="auto" w:fill="FFFFFF"/>
          <w:lang w:val="en-US" w:eastAsia="zh-CN"/>
        </w:rPr>
        <w:t>2024年3月开始独立核算，因此相比2023年度增长率为100%</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145.34</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万元，占0.00%。此外，使用非财政拨款结余和专用结余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2"/>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5"/>
          <w:rFonts w:ascii="方正仿宋_GBK" w:hAnsi="方正仿宋_GBK" w:eastAsia="方正仿宋_GBK" w:cs="方正仿宋_GBK"/>
          <w:color w:val="auto"/>
          <w:sz w:val="32"/>
          <w:szCs w:val="32"/>
          <w:shd w:val="clear" w:color="auto" w:fill="FFFFFF"/>
        </w:rPr>
        <w:t>3.支出情况。</w:t>
      </w:r>
      <w:r>
        <w:rPr>
          <w:rFonts w:ascii="方正仿宋_GBK" w:hAnsi="方正仿宋_GBK" w:eastAsia="方正仿宋_GBK" w:cs="方正仿宋_GBK"/>
          <w:color w:val="auto"/>
          <w:sz w:val="32"/>
          <w:szCs w:val="32"/>
          <w:shd w:val="clear" w:color="auto" w:fill="FFFFFF"/>
        </w:rPr>
        <w:t>2024年度支出合计</w:t>
      </w:r>
      <w:r>
        <w:rPr>
          <w:rFonts w:ascii="方正仿宋_GBK" w:hAnsi="方正仿宋_GBK" w:eastAsia="方正仿宋_GBK" w:cs="方正仿宋_GBK"/>
          <w:color w:val="auto"/>
          <w:sz w:val="32"/>
          <w:szCs w:val="32"/>
        </w:rPr>
        <w:t>145.34</w:t>
      </w:r>
      <w:r>
        <w:rPr>
          <w:rFonts w:ascii="方正仿宋_GBK" w:hAnsi="方正仿宋_GBK" w:eastAsia="方正仿宋_GBK" w:cs="方正仿宋_GBK"/>
          <w:color w:val="auto"/>
          <w:sz w:val="32"/>
          <w:szCs w:val="32"/>
          <w:shd w:val="clear" w:color="auto" w:fill="FFFFFF"/>
        </w:rPr>
        <w:t>万元，与2023年度相比，增加145.34万元，增长100.0%，主要原因是</w:t>
      </w:r>
      <w:r>
        <w:rPr>
          <w:rFonts w:hint="eastAsia" w:ascii="方正仿宋_GBK" w:hAnsi="方正仿宋_GBK" w:eastAsia="方正仿宋_GBK" w:cs="方正仿宋_GBK"/>
          <w:color w:val="auto"/>
          <w:sz w:val="32"/>
          <w:szCs w:val="32"/>
          <w:shd w:val="clear" w:color="auto" w:fill="FFFFFF"/>
          <w:lang w:eastAsia="zh-CN"/>
        </w:rPr>
        <w:t>调查队</w:t>
      </w:r>
      <w:r>
        <w:rPr>
          <w:rFonts w:hint="eastAsia" w:ascii="方正仿宋_GBK" w:hAnsi="方正仿宋_GBK" w:eastAsia="方正仿宋_GBK" w:cs="方正仿宋_GBK"/>
          <w:color w:val="auto"/>
          <w:sz w:val="32"/>
          <w:szCs w:val="32"/>
          <w:shd w:val="clear" w:color="auto" w:fill="FFFFFF"/>
          <w:lang w:val="en-US" w:eastAsia="zh-CN"/>
        </w:rPr>
        <w:t>2024年3月开始独立核算，因此相比2023年度增长率为100%</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145.34</w:t>
      </w:r>
      <w:r>
        <w:rPr>
          <w:rFonts w:ascii="方正仿宋_GBK" w:hAnsi="方正仿宋_GBK" w:eastAsia="方正仿宋_GBK" w:cs="方正仿宋_GBK"/>
          <w:color w:val="auto"/>
          <w:sz w:val="32"/>
          <w:szCs w:val="32"/>
          <w:shd w:val="clear" w:color="auto" w:fill="FFFFFF"/>
        </w:rPr>
        <w:t>万元，占100.00%；项目支出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2"/>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5"/>
          <w:rFonts w:ascii="方正仿宋_GBK" w:hAnsi="方正仿宋_GBK" w:eastAsia="方正仿宋_GBK" w:cs="方正仿宋_GBK"/>
          <w:color w:val="auto"/>
          <w:sz w:val="32"/>
          <w:szCs w:val="32"/>
          <w:shd w:val="clear" w:color="auto" w:fill="FFFFFF"/>
        </w:rPr>
        <w:t>4.结转结余情况。</w:t>
      </w:r>
      <w:r>
        <w:rPr>
          <w:rFonts w:ascii="方正仿宋_GBK" w:hAnsi="方正仿宋_GBK" w:eastAsia="方正仿宋_GBK" w:cs="方正仿宋_GBK"/>
          <w:color w:val="auto"/>
          <w:sz w:val="32"/>
          <w:szCs w:val="32"/>
          <w:shd w:val="clear" w:color="auto" w:fill="FFFFFF"/>
        </w:rPr>
        <w:t>2024年度年末结转和结余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w:t>
      </w:r>
    </w:p>
    <w:p>
      <w:pPr>
        <w:pStyle w:val="6"/>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2024年度财政拨款收、支总计145.34万元。与2023年相比，财政拨款收、支总计各增加145.34万元，增长100.0%。主要原因是</w:t>
      </w:r>
      <w:r>
        <w:rPr>
          <w:rFonts w:hint="eastAsia" w:ascii="方正仿宋_GBK" w:hAnsi="方正仿宋_GBK" w:eastAsia="方正仿宋_GBK" w:cs="方正仿宋_GBK"/>
          <w:color w:val="auto"/>
          <w:sz w:val="32"/>
          <w:szCs w:val="32"/>
          <w:shd w:val="clear" w:color="auto" w:fill="FFFFFF"/>
          <w:lang w:eastAsia="zh-CN"/>
        </w:rPr>
        <w:t>调查队</w:t>
      </w:r>
      <w:r>
        <w:rPr>
          <w:rFonts w:hint="eastAsia" w:ascii="方正仿宋_GBK" w:hAnsi="方正仿宋_GBK" w:eastAsia="方正仿宋_GBK" w:cs="方正仿宋_GBK"/>
          <w:color w:val="auto"/>
          <w:sz w:val="32"/>
          <w:szCs w:val="32"/>
          <w:shd w:val="clear" w:color="auto" w:fill="FFFFFF"/>
          <w:lang w:val="en-US" w:eastAsia="zh-CN"/>
        </w:rPr>
        <w:t>2024年3月开始独立核算，因此相比2023年度增长率为100%</w:t>
      </w:r>
      <w:r>
        <w:rPr>
          <w:rFonts w:ascii="方正仿宋_GBK" w:hAnsi="方正仿宋_GBK" w:eastAsia="方正仿宋_GBK" w:cs="方正仿宋_GBK"/>
          <w:color w:val="auto"/>
          <w:sz w:val="32"/>
          <w:szCs w:val="32"/>
          <w:shd w:val="clear" w:color="auto" w:fill="FFFFFF"/>
        </w:rPr>
        <w:t>。</w:t>
      </w:r>
    </w:p>
    <w:p>
      <w:pPr>
        <w:pStyle w:val="6"/>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2"/>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5"/>
          <w:rFonts w:ascii="方正仿宋_GBK" w:hAnsi="方正仿宋_GBK" w:eastAsia="方正仿宋_GBK" w:cs="方正仿宋_GBK"/>
          <w:color w:val="auto"/>
          <w:sz w:val="32"/>
          <w:szCs w:val="32"/>
          <w:shd w:val="clear" w:color="auto" w:fill="FFFFFF"/>
        </w:rPr>
        <w:t>1.收入情况。</w:t>
      </w:r>
      <w:r>
        <w:rPr>
          <w:rFonts w:ascii="方正仿宋_GBK" w:hAnsi="方正仿宋_GBK" w:eastAsia="方正仿宋_GBK" w:cs="方正仿宋_GBK"/>
          <w:color w:val="auto"/>
          <w:sz w:val="32"/>
          <w:szCs w:val="32"/>
          <w:shd w:val="clear" w:color="auto" w:fill="FFFFFF"/>
        </w:rPr>
        <w:t>2024年度一般公共预算财政拨款收入</w:t>
      </w:r>
      <w:r>
        <w:rPr>
          <w:rFonts w:ascii="方正仿宋_GBK" w:hAnsi="方正仿宋_GBK" w:eastAsia="方正仿宋_GBK" w:cs="方正仿宋_GBK"/>
          <w:color w:val="auto"/>
          <w:sz w:val="32"/>
          <w:szCs w:val="32"/>
        </w:rPr>
        <w:t>145.34</w:t>
      </w:r>
      <w:r>
        <w:rPr>
          <w:rFonts w:ascii="方正仿宋_GBK" w:hAnsi="方正仿宋_GBK" w:eastAsia="方正仿宋_GBK" w:cs="方正仿宋_GBK"/>
          <w:color w:val="auto"/>
          <w:sz w:val="32"/>
          <w:szCs w:val="32"/>
          <w:shd w:val="clear" w:color="auto" w:fill="FFFFFF"/>
        </w:rPr>
        <w:t>万元，与2023年度相比，增加145.34万元，增长100.0%。主要原因是</w:t>
      </w:r>
      <w:r>
        <w:rPr>
          <w:rFonts w:hint="eastAsia" w:ascii="方正仿宋_GBK" w:hAnsi="方正仿宋_GBK" w:eastAsia="方正仿宋_GBK" w:cs="方正仿宋_GBK"/>
          <w:color w:val="auto"/>
          <w:sz w:val="32"/>
          <w:szCs w:val="32"/>
          <w:shd w:val="clear" w:color="auto" w:fill="FFFFFF"/>
          <w:lang w:eastAsia="zh-CN"/>
        </w:rPr>
        <w:t>调查队</w:t>
      </w:r>
      <w:r>
        <w:rPr>
          <w:rFonts w:hint="eastAsia" w:ascii="方正仿宋_GBK" w:hAnsi="方正仿宋_GBK" w:eastAsia="方正仿宋_GBK" w:cs="方正仿宋_GBK"/>
          <w:color w:val="auto"/>
          <w:sz w:val="32"/>
          <w:szCs w:val="32"/>
          <w:shd w:val="clear" w:color="auto" w:fill="FFFFFF"/>
          <w:lang w:val="en-US" w:eastAsia="zh-CN"/>
        </w:rPr>
        <w:t>2024年3月开始独立核算，因此相比2023年度增长率为100%</w:t>
      </w:r>
      <w:r>
        <w:rPr>
          <w:rFonts w:ascii="方正仿宋_GBK" w:hAnsi="方正仿宋_GBK" w:eastAsia="方正仿宋_GBK" w:cs="方正仿宋_GBK"/>
          <w:color w:val="auto"/>
          <w:sz w:val="32"/>
          <w:szCs w:val="32"/>
          <w:shd w:val="clear" w:color="auto" w:fill="FFFFFF"/>
        </w:rPr>
        <w:t>。较年初预算数增加145.34万元，增长100.0%。主要原因是</w:t>
      </w:r>
      <w:r>
        <w:rPr>
          <w:rFonts w:hint="eastAsia" w:ascii="方正仿宋_GBK" w:hAnsi="方正仿宋_GBK" w:eastAsia="方正仿宋_GBK" w:cs="方正仿宋_GBK"/>
          <w:color w:val="auto"/>
          <w:sz w:val="32"/>
          <w:szCs w:val="32"/>
          <w:shd w:val="clear" w:color="auto" w:fill="FFFFFF"/>
          <w:lang w:eastAsia="zh-CN"/>
        </w:rPr>
        <w:t>调查队</w:t>
      </w:r>
      <w:r>
        <w:rPr>
          <w:rFonts w:hint="eastAsia" w:ascii="方正仿宋_GBK" w:hAnsi="方正仿宋_GBK" w:eastAsia="方正仿宋_GBK" w:cs="方正仿宋_GBK"/>
          <w:color w:val="auto"/>
          <w:sz w:val="32"/>
          <w:szCs w:val="32"/>
          <w:shd w:val="clear" w:color="auto" w:fill="FFFFFF"/>
          <w:lang w:val="en-US" w:eastAsia="zh-CN"/>
        </w:rPr>
        <w:t>2024年3月开始独立核算，因此相比年初增长率为100%</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2"/>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5"/>
          <w:rFonts w:ascii="方正仿宋_GBK" w:hAnsi="方正仿宋_GBK" w:eastAsia="方正仿宋_GBK" w:cs="方正仿宋_GBK"/>
          <w:color w:val="auto"/>
          <w:sz w:val="32"/>
          <w:szCs w:val="32"/>
          <w:shd w:val="clear" w:color="auto" w:fill="FFFFFF"/>
        </w:rPr>
        <w:t>2.支出情况。</w:t>
      </w:r>
      <w:r>
        <w:rPr>
          <w:rFonts w:ascii="方正仿宋_GBK" w:hAnsi="方正仿宋_GBK" w:eastAsia="方正仿宋_GBK" w:cs="方正仿宋_GBK"/>
          <w:color w:val="auto"/>
          <w:sz w:val="32"/>
          <w:szCs w:val="32"/>
          <w:shd w:val="clear" w:color="auto" w:fill="FFFFFF"/>
        </w:rPr>
        <w:t>2024年度一般公共预算财政拨款支出</w:t>
      </w:r>
      <w:r>
        <w:rPr>
          <w:rFonts w:ascii="方正仿宋_GBK" w:hAnsi="方正仿宋_GBK" w:eastAsia="方正仿宋_GBK" w:cs="方正仿宋_GBK"/>
          <w:color w:val="auto"/>
          <w:sz w:val="32"/>
          <w:szCs w:val="32"/>
        </w:rPr>
        <w:t>145.34</w:t>
      </w:r>
      <w:r>
        <w:rPr>
          <w:rFonts w:ascii="方正仿宋_GBK" w:hAnsi="方正仿宋_GBK" w:eastAsia="方正仿宋_GBK" w:cs="方正仿宋_GBK"/>
          <w:color w:val="auto"/>
          <w:sz w:val="32"/>
          <w:szCs w:val="32"/>
          <w:shd w:val="clear" w:color="auto" w:fill="FFFFFF"/>
        </w:rPr>
        <w:t>万元，与2023年度相比，增加145.34万元，增长100.0%。主要原因是</w:t>
      </w:r>
      <w:r>
        <w:rPr>
          <w:rFonts w:hint="eastAsia" w:ascii="方正仿宋_GBK" w:hAnsi="方正仿宋_GBK" w:eastAsia="方正仿宋_GBK" w:cs="方正仿宋_GBK"/>
          <w:color w:val="auto"/>
          <w:sz w:val="32"/>
          <w:szCs w:val="32"/>
          <w:shd w:val="clear" w:color="auto" w:fill="FFFFFF"/>
          <w:lang w:eastAsia="zh-CN"/>
        </w:rPr>
        <w:t>调查队</w:t>
      </w:r>
      <w:r>
        <w:rPr>
          <w:rFonts w:hint="eastAsia" w:ascii="方正仿宋_GBK" w:hAnsi="方正仿宋_GBK" w:eastAsia="方正仿宋_GBK" w:cs="方正仿宋_GBK"/>
          <w:color w:val="auto"/>
          <w:sz w:val="32"/>
          <w:szCs w:val="32"/>
          <w:shd w:val="clear" w:color="auto" w:fill="FFFFFF"/>
          <w:lang w:val="en-US" w:eastAsia="zh-CN"/>
        </w:rPr>
        <w:t>2024年3月开始独立核算，因此相比2023年度增长率为100%</w:t>
      </w:r>
      <w:r>
        <w:rPr>
          <w:rFonts w:ascii="方正仿宋_GBK" w:hAnsi="方正仿宋_GBK" w:eastAsia="方正仿宋_GBK" w:cs="方正仿宋_GBK"/>
          <w:color w:val="auto"/>
          <w:sz w:val="32"/>
          <w:szCs w:val="32"/>
          <w:shd w:val="clear" w:color="auto" w:fill="FFFFFF"/>
        </w:rPr>
        <w:t>。较年初预算数增加145.34万元，增长100.0%。主要原因是</w:t>
      </w:r>
      <w:r>
        <w:rPr>
          <w:rFonts w:hint="eastAsia" w:ascii="方正仿宋_GBK" w:hAnsi="方正仿宋_GBK" w:eastAsia="方正仿宋_GBK" w:cs="方正仿宋_GBK"/>
          <w:color w:val="auto"/>
          <w:sz w:val="32"/>
          <w:szCs w:val="32"/>
          <w:shd w:val="clear" w:color="auto" w:fill="FFFFFF"/>
          <w:lang w:eastAsia="zh-CN"/>
        </w:rPr>
        <w:t>调查队</w:t>
      </w:r>
      <w:r>
        <w:rPr>
          <w:rFonts w:hint="eastAsia" w:ascii="方正仿宋_GBK" w:hAnsi="方正仿宋_GBK" w:eastAsia="方正仿宋_GBK" w:cs="方正仿宋_GBK"/>
          <w:color w:val="auto"/>
          <w:sz w:val="32"/>
          <w:szCs w:val="32"/>
          <w:shd w:val="clear" w:color="auto" w:fill="FFFFFF"/>
          <w:lang w:val="en-US" w:eastAsia="zh-CN"/>
        </w:rPr>
        <w:t>2024年3月开始独立核算，因此相比年初增长率为100%</w:t>
      </w:r>
      <w:r>
        <w:rPr>
          <w:rFonts w:ascii="方正仿宋_GBK" w:hAnsi="方正仿宋_GBK" w:eastAsia="方正仿宋_GBK" w:cs="方正仿宋_GBK"/>
          <w:color w:val="auto"/>
          <w:sz w:val="32"/>
          <w:szCs w:val="32"/>
          <w:shd w:val="clear" w:color="auto" w:fill="FFFFFF"/>
        </w:rPr>
        <w:t>。</w:t>
      </w:r>
    </w:p>
    <w:p>
      <w:pPr>
        <w:pStyle w:val="2"/>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5"/>
          <w:rFonts w:ascii="方正仿宋_GBK" w:hAnsi="方正仿宋_GBK" w:eastAsia="方正仿宋_GBK" w:cs="方正仿宋_GBK"/>
          <w:color w:val="auto"/>
          <w:sz w:val="32"/>
          <w:szCs w:val="32"/>
          <w:shd w:val="clear" w:color="auto" w:fill="FFFFFF"/>
        </w:rPr>
        <w:t>3.结转结余情况。</w:t>
      </w:r>
      <w:r>
        <w:rPr>
          <w:rFonts w:ascii="方正仿宋_GBK" w:hAnsi="方正仿宋_GBK" w:eastAsia="方正仿宋_GBK" w:cs="方正仿宋_GBK"/>
          <w:color w:val="auto"/>
          <w:sz w:val="32"/>
          <w:szCs w:val="32"/>
          <w:shd w:val="clear" w:color="auto" w:fill="FFFFFF"/>
        </w:rPr>
        <w:t>2024年度年末一般公共预算财政拨款结转和结余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w:t>
      </w:r>
    </w:p>
    <w:p>
      <w:pPr>
        <w:pStyle w:val="2"/>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cyan"/>
          <w:shd w:val="clear" w:color="auto" w:fill="FFFFFF"/>
        </w:rPr>
      </w:pPr>
      <w:r>
        <w:rPr>
          <w:rStyle w:val="5"/>
          <w:rFonts w:ascii="方正仿宋_GBK" w:hAnsi="方正仿宋_GBK" w:eastAsia="方正仿宋_GBK" w:cs="方正仿宋_GBK"/>
          <w:color w:val="auto"/>
          <w:sz w:val="32"/>
          <w:szCs w:val="32"/>
          <w:shd w:val="clear" w:color="auto" w:fill="FFFFFF"/>
        </w:rPr>
        <w:t xml:space="preserve"> 4.比较情况。</w:t>
      </w:r>
      <w:r>
        <w:rPr>
          <w:rFonts w:ascii="方正仿宋_GBK" w:hAnsi="方正仿宋_GBK" w:eastAsia="方正仿宋_GBK" w:cs="方正仿宋_GBK"/>
          <w:color w:val="auto"/>
          <w:sz w:val="32"/>
          <w:szCs w:val="32"/>
          <w:shd w:val="clear" w:color="auto" w:fill="FFFFFF"/>
        </w:rPr>
        <w:t>本单位2024年度一般公共预算财政拨款支出主要用于以下几个方面：</w:t>
      </w:r>
    </w:p>
    <w:p>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（1）一般公共服务支出</w:t>
      </w:r>
      <w:r>
        <w:rPr>
          <w:rFonts w:ascii="方正仿宋_GBK" w:hAnsi="方正仿宋_GBK" w:eastAsia="方正仿宋_GBK" w:cs="方正仿宋_GBK"/>
          <w:color w:val="auto"/>
          <w:sz w:val="32"/>
          <w:szCs w:val="32"/>
        </w:rPr>
        <w:t>98.75</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67.94</w:t>
      </w:r>
      <w:r>
        <w:rPr>
          <w:rFonts w:ascii="方正仿宋_GBK" w:hAnsi="方正仿宋_GBK" w:eastAsia="方正仿宋_GBK" w:cs="方正仿宋_GBK"/>
          <w:color w:val="auto"/>
          <w:sz w:val="32"/>
          <w:szCs w:val="32"/>
          <w:shd w:val="clear" w:color="auto" w:fill="FFFFFF"/>
        </w:rPr>
        <w:t>%，较年初预算数增加98.75万元，增长100.0%，主要原因是</w:t>
      </w:r>
      <w:r>
        <w:rPr>
          <w:rFonts w:hint="eastAsia" w:ascii="方正仿宋_GBK" w:hAnsi="方正仿宋_GBK" w:eastAsia="方正仿宋_GBK" w:cs="方正仿宋_GBK"/>
          <w:color w:val="auto"/>
          <w:sz w:val="32"/>
          <w:szCs w:val="32"/>
          <w:shd w:val="clear" w:color="auto" w:fill="FFFFFF"/>
          <w:lang w:eastAsia="zh-CN"/>
        </w:rPr>
        <w:t>调查队</w:t>
      </w:r>
      <w:r>
        <w:rPr>
          <w:rFonts w:hint="eastAsia" w:ascii="方正仿宋_GBK" w:hAnsi="方正仿宋_GBK" w:eastAsia="方正仿宋_GBK" w:cs="方正仿宋_GBK"/>
          <w:color w:val="auto"/>
          <w:sz w:val="32"/>
          <w:szCs w:val="32"/>
          <w:shd w:val="clear" w:color="auto" w:fill="FFFFFF"/>
          <w:lang w:val="en-US" w:eastAsia="zh-CN"/>
        </w:rPr>
        <w:t>2024年3月开始独立核算，因此人员工资等支出相比年初数增长100%</w:t>
      </w:r>
      <w:r>
        <w:rPr>
          <w:rFonts w:ascii="方正仿宋_GBK" w:hAnsi="方正仿宋_GBK" w:eastAsia="方正仿宋_GBK" w:cs="方正仿宋_GBK"/>
          <w:color w:val="auto"/>
          <w:sz w:val="32"/>
          <w:szCs w:val="32"/>
          <w:shd w:val="clear" w:color="auto" w:fill="FFFFFF"/>
        </w:rPr>
        <w:t>。</w:t>
      </w:r>
    </w:p>
    <w:p>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21.57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14.84</w:t>
      </w:r>
      <w:r>
        <w:rPr>
          <w:rFonts w:ascii="方正仿宋_GBK" w:hAnsi="方正仿宋_GBK" w:eastAsia="方正仿宋_GBK" w:cs="方正仿宋_GBK"/>
          <w:color w:val="auto"/>
          <w:sz w:val="32"/>
          <w:szCs w:val="32"/>
          <w:shd w:val="clear" w:color="auto" w:fill="FFFFFF"/>
        </w:rPr>
        <w:t>%，较年初预算数增加21.57万元，增长100.0%，主要原因是</w:t>
      </w:r>
      <w:r>
        <w:rPr>
          <w:rFonts w:hint="eastAsia" w:ascii="方正仿宋_GBK" w:hAnsi="方正仿宋_GBK" w:eastAsia="方正仿宋_GBK" w:cs="方正仿宋_GBK"/>
          <w:color w:val="auto"/>
          <w:sz w:val="32"/>
          <w:szCs w:val="32"/>
          <w:shd w:val="clear" w:color="auto" w:fill="FFFFFF"/>
          <w:lang w:eastAsia="zh-CN"/>
        </w:rPr>
        <w:t>调查队</w:t>
      </w:r>
      <w:r>
        <w:rPr>
          <w:rFonts w:hint="eastAsia" w:ascii="方正仿宋_GBK" w:hAnsi="方正仿宋_GBK" w:eastAsia="方正仿宋_GBK" w:cs="方正仿宋_GBK"/>
          <w:color w:val="auto"/>
          <w:sz w:val="32"/>
          <w:szCs w:val="32"/>
          <w:shd w:val="clear" w:color="auto" w:fill="FFFFFF"/>
          <w:lang w:val="en-US" w:eastAsia="zh-CN"/>
        </w:rPr>
        <w:t>2024年3月开始独立核算，因此养老保险等支出相比年初数增长100%</w:t>
      </w:r>
      <w:r>
        <w:rPr>
          <w:rFonts w:ascii="方正仿宋_GBK" w:hAnsi="方正仿宋_GBK" w:eastAsia="方正仿宋_GBK" w:cs="方正仿宋_GBK"/>
          <w:color w:val="auto"/>
          <w:sz w:val="32"/>
          <w:szCs w:val="32"/>
          <w:shd w:val="clear" w:color="auto" w:fill="FFFFFF"/>
        </w:rPr>
        <w:t>。</w:t>
      </w:r>
    </w:p>
    <w:p>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8.92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6.14</w:t>
      </w:r>
      <w:r>
        <w:rPr>
          <w:rFonts w:ascii="方正仿宋_GBK" w:hAnsi="方正仿宋_GBK" w:eastAsia="方正仿宋_GBK" w:cs="方正仿宋_GBK"/>
          <w:color w:val="auto"/>
          <w:sz w:val="32"/>
          <w:szCs w:val="32"/>
          <w:shd w:val="clear" w:color="auto" w:fill="FFFFFF"/>
        </w:rPr>
        <w:t>%，较年初预算数增加8.92万元，增长100.0%，主要原因是</w:t>
      </w:r>
      <w:r>
        <w:rPr>
          <w:rFonts w:hint="eastAsia" w:ascii="方正仿宋_GBK" w:hAnsi="方正仿宋_GBK" w:eastAsia="方正仿宋_GBK" w:cs="方正仿宋_GBK"/>
          <w:color w:val="auto"/>
          <w:sz w:val="32"/>
          <w:szCs w:val="32"/>
          <w:shd w:val="clear" w:color="auto" w:fill="FFFFFF"/>
          <w:lang w:eastAsia="zh-CN"/>
        </w:rPr>
        <w:t>调查队</w:t>
      </w:r>
      <w:r>
        <w:rPr>
          <w:rFonts w:hint="eastAsia" w:ascii="方正仿宋_GBK" w:hAnsi="方正仿宋_GBK" w:eastAsia="方正仿宋_GBK" w:cs="方正仿宋_GBK"/>
          <w:color w:val="auto"/>
          <w:sz w:val="32"/>
          <w:szCs w:val="32"/>
          <w:shd w:val="clear" w:color="auto" w:fill="FFFFFF"/>
          <w:lang w:val="en-US" w:eastAsia="zh-CN"/>
        </w:rPr>
        <w:t>2024年3月开始独立核算，因此医疗保险等支出相比年初数增长100%</w:t>
      </w:r>
      <w:r>
        <w:rPr>
          <w:rFonts w:ascii="方正仿宋_GBK" w:hAnsi="方正仿宋_GBK" w:eastAsia="方正仿宋_GBK" w:cs="方正仿宋_GBK"/>
          <w:color w:val="auto"/>
          <w:sz w:val="32"/>
          <w:szCs w:val="32"/>
          <w:shd w:val="clear" w:color="auto" w:fill="FFFFFF"/>
        </w:rPr>
        <w:t>。</w:t>
      </w:r>
    </w:p>
    <w:p>
      <w:pPr>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住房保障支出16.10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11.08</w:t>
      </w:r>
      <w:r>
        <w:rPr>
          <w:rFonts w:ascii="方正仿宋_GBK" w:hAnsi="方正仿宋_GBK" w:eastAsia="方正仿宋_GBK" w:cs="方正仿宋_GBK"/>
          <w:color w:val="auto"/>
          <w:sz w:val="32"/>
          <w:szCs w:val="32"/>
          <w:shd w:val="clear" w:color="auto" w:fill="FFFFFF"/>
        </w:rPr>
        <w:t>%，较年初预算数增加16.10万元，增长100.0%，主要原因是</w:t>
      </w:r>
      <w:r>
        <w:rPr>
          <w:rFonts w:hint="eastAsia" w:ascii="方正仿宋_GBK" w:hAnsi="方正仿宋_GBK" w:eastAsia="方正仿宋_GBK" w:cs="方正仿宋_GBK"/>
          <w:color w:val="auto"/>
          <w:sz w:val="32"/>
          <w:szCs w:val="32"/>
          <w:shd w:val="clear" w:color="auto" w:fill="FFFFFF"/>
          <w:lang w:eastAsia="zh-CN"/>
        </w:rPr>
        <w:t>调查队</w:t>
      </w:r>
      <w:r>
        <w:rPr>
          <w:rFonts w:hint="eastAsia" w:ascii="方正仿宋_GBK" w:hAnsi="方正仿宋_GBK" w:eastAsia="方正仿宋_GBK" w:cs="方正仿宋_GBK"/>
          <w:color w:val="auto"/>
          <w:sz w:val="32"/>
          <w:szCs w:val="32"/>
          <w:shd w:val="clear" w:color="auto" w:fill="FFFFFF"/>
          <w:lang w:val="en-US" w:eastAsia="zh-CN"/>
        </w:rPr>
        <w:t>2024年3月开始独立核算，因此住房公积金、购房补贴等支出相比年初数增长100%</w:t>
      </w:r>
      <w:r>
        <w:rPr>
          <w:rFonts w:ascii="方正仿宋_GBK" w:hAnsi="方正仿宋_GBK" w:eastAsia="方正仿宋_GBK" w:cs="方正仿宋_GBK"/>
          <w:color w:val="auto"/>
          <w:sz w:val="32"/>
          <w:szCs w:val="32"/>
          <w:shd w:val="clear" w:color="auto" w:fill="FFFFFF"/>
        </w:rPr>
        <w:t>。</w:t>
      </w:r>
    </w:p>
    <w:p>
      <w:pPr>
        <w:pStyle w:val="6"/>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pStyle w:val="2"/>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shd w:val="clear" w:color="auto" w:fill="FFFFFF"/>
        </w:rPr>
        <w:t> 2024年度一般公共财政拨款基本支出</w:t>
      </w:r>
      <w:r>
        <w:rPr>
          <w:rFonts w:ascii="方正仿宋_GBK" w:hAnsi="方正仿宋_GBK" w:eastAsia="方正仿宋_GBK" w:cs="方正仿宋_GBK"/>
          <w:color w:val="auto"/>
          <w:sz w:val="32"/>
          <w:szCs w:val="32"/>
        </w:rPr>
        <w:t>145.34</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139.29</w:t>
      </w:r>
      <w:r>
        <w:rPr>
          <w:rFonts w:ascii="方正仿宋_GBK" w:hAnsi="方正仿宋_GBK" w:eastAsia="方正仿宋_GBK" w:cs="方正仿宋_GBK"/>
          <w:color w:val="auto"/>
          <w:sz w:val="32"/>
          <w:szCs w:val="32"/>
          <w:shd w:val="clear" w:color="auto" w:fill="FFFFFF"/>
        </w:rPr>
        <w:t>万元，与2023年度相比，增加139.29万元，增长100.0%，主要原因是</w:t>
      </w:r>
      <w:r>
        <w:rPr>
          <w:rFonts w:hint="eastAsia" w:ascii="方正仿宋_GBK" w:hAnsi="方正仿宋_GBK" w:eastAsia="方正仿宋_GBK" w:cs="方正仿宋_GBK"/>
          <w:color w:val="auto"/>
          <w:sz w:val="32"/>
          <w:szCs w:val="32"/>
          <w:shd w:val="clear" w:color="auto" w:fill="FFFFFF"/>
          <w:lang w:eastAsia="zh-CN"/>
        </w:rPr>
        <w:t>调查队</w:t>
      </w:r>
      <w:r>
        <w:rPr>
          <w:rFonts w:hint="eastAsia" w:ascii="方正仿宋_GBK" w:hAnsi="方正仿宋_GBK" w:eastAsia="方正仿宋_GBK" w:cs="方正仿宋_GBK"/>
          <w:color w:val="auto"/>
          <w:sz w:val="32"/>
          <w:szCs w:val="32"/>
          <w:shd w:val="clear" w:color="auto" w:fill="FFFFFF"/>
          <w:lang w:val="en-US" w:eastAsia="zh-CN"/>
        </w:rPr>
        <w:t>2024年3月开始独立核算，因此人员经费相比2023年增长100%</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kern w:val="0"/>
          <w:sz w:val="32"/>
          <w:szCs w:val="32"/>
        </w:rPr>
        <w:t>在职人员基本工资、津贴补贴、奖金、社会保障缴费、住房公积金、医疗卫生开支等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6.05</w:t>
      </w:r>
      <w:r>
        <w:rPr>
          <w:rFonts w:ascii="方正仿宋_GBK" w:hAnsi="方正仿宋_GBK" w:eastAsia="方正仿宋_GBK" w:cs="方正仿宋_GBK"/>
          <w:color w:val="auto"/>
          <w:sz w:val="32"/>
          <w:szCs w:val="32"/>
          <w:shd w:val="clear" w:color="auto" w:fill="FFFFFF"/>
        </w:rPr>
        <w:t>万元，与2023年度相比，增加6.05万元，增长100.0%，主要原因是</w:t>
      </w:r>
      <w:r>
        <w:rPr>
          <w:rFonts w:hint="eastAsia" w:ascii="方正仿宋_GBK" w:hAnsi="方正仿宋_GBK" w:eastAsia="方正仿宋_GBK" w:cs="方正仿宋_GBK"/>
          <w:color w:val="auto"/>
          <w:sz w:val="32"/>
          <w:szCs w:val="32"/>
          <w:shd w:val="clear" w:color="auto" w:fill="FFFFFF"/>
          <w:lang w:eastAsia="zh-CN"/>
        </w:rPr>
        <w:t>调查队</w:t>
      </w:r>
      <w:r>
        <w:rPr>
          <w:rFonts w:hint="eastAsia" w:ascii="方正仿宋_GBK" w:hAnsi="方正仿宋_GBK" w:eastAsia="方正仿宋_GBK" w:cs="方正仿宋_GBK"/>
          <w:color w:val="auto"/>
          <w:sz w:val="32"/>
          <w:szCs w:val="32"/>
          <w:shd w:val="clear" w:color="auto" w:fill="FFFFFF"/>
          <w:lang w:val="en-US" w:eastAsia="zh-CN"/>
        </w:rPr>
        <w:t>2024年3月开始独立核算，因此公用经费相比2023年增长100%</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highlight w:val="none"/>
          <w:shd w:val="clear" w:color="auto" w:fill="FFFFFF"/>
        </w:rPr>
        <w:t>公用经费用途主要包括</w:t>
      </w:r>
      <w:r>
        <w:rPr>
          <w:rFonts w:hint="eastAsia" w:ascii="方正仿宋_GBK" w:hAnsi="方正仿宋_GBK" w:eastAsia="方正仿宋_GBK" w:cs="方正仿宋_GBK"/>
          <w:color w:val="auto"/>
          <w:sz w:val="32"/>
          <w:szCs w:val="32"/>
          <w:highlight w:val="none"/>
          <w:shd w:val="clear" w:color="auto" w:fill="FFFFFF"/>
          <w:lang w:eastAsia="zh-CN"/>
        </w:rPr>
        <w:t>交通补贴等</w:t>
      </w:r>
      <w:r>
        <w:rPr>
          <w:rFonts w:ascii="方正仿宋_GBK" w:hAnsi="方正仿宋_GBK" w:eastAsia="方正仿宋_GBK" w:cs="方正仿宋_GBK"/>
          <w:color w:val="auto"/>
          <w:sz w:val="32"/>
          <w:szCs w:val="32"/>
          <w:highlight w:val="none"/>
          <w:shd w:val="clear" w:color="auto" w:fill="FFFFFF"/>
        </w:rPr>
        <w:t>。</w:t>
      </w:r>
    </w:p>
    <w:p>
      <w:pPr>
        <w:pStyle w:val="6"/>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highlight w:val="none"/>
          <w:shd w:val="clear" w:color="auto" w:fill="FFFFFF"/>
          <w:lang w:eastAsia="zh-CN"/>
        </w:rPr>
        <w:t>本单位</w:t>
      </w:r>
      <w:r>
        <w:rPr>
          <w:rFonts w:hint="eastAsia" w:ascii="方正仿宋_GBK" w:hAnsi="方正仿宋_GBK" w:eastAsia="方正仿宋_GBK" w:cs="方正仿宋_GBK"/>
          <w:color w:val="auto"/>
          <w:sz w:val="32"/>
          <w:szCs w:val="32"/>
          <w:highlight w:val="none"/>
          <w:shd w:val="clear" w:color="auto" w:fill="FFFFFF"/>
          <w:lang w:val="en-US" w:eastAsia="zh-CN"/>
        </w:rPr>
        <w:t>2024年度无政府性基金预算财政拨款收支。</w:t>
      </w:r>
    </w:p>
    <w:p>
      <w:pPr>
        <w:pStyle w:val="6"/>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highlight w:val="none"/>
          <w:shd w:val="clear" w:color="auto" w:fill="FFFFFF"/>
          <w:lang w:eastAsia="zh-CN"/>
        </w:rPr>
        <w:t>本单位</w:t>
      </w:r>
      <w:r>
        <w:rPr>
          <w:rFonts w:hint="eastAsia" w:ascii="方正仿宋_GBK" w:hAnsi="方正仿宋_GBK" w:eastAsia="方正仿宋_GBK" w:cs="方正仿宋_GBK"/>
          <w:color w:val="auto"/>
          <w:sz w:val="32"/>
          <w:szCs w:val="32"/>
          <w:highlight w:val="none"/>
          <w:shd w:val="clear" w:color="auto" w:fill="FFFFFF"/>
          <w:lang w:val="en-US" w:eastAsia="zh-CN"/>
        </w:rPr>
        <w:t>2024年度无国有资本经营预算财政拨款支出。</w:t>
      </w:r>
    </w:p>
    <w:p>
      <w:pPr>
        <w:pStyle w:val="2"/>
        <w:shd w:val="clear" w:color="auto" w:fill="FFFFFF"/>
        <w:spacing w:before="0" w:beforeAutospacing="0" w:after="0" w:afterAutospacing="0" w:line="596" w:lineRule="exact"/>
        <w:ind w:firstLine="643" w:firstLineChars="200"/>
        <w:rPr>
          <w:rStyle w:val="5"/>
          <w:rFonts w:hint="default" w:ascii="黑体" w:hAnsi="黑体" w:eastAsia="黑体" w:cs="黑体"/>
          <w:color w:val="auto"/>
          <w:sz w:val="32"/>
          <w:szCs w:val="32"/>
          <w:shd w:val="clear" w:color="auto" w:fill="FFFFFF"/>
        </w:rPr>
      </w:pPr>
      <w:r>
        <w:rPr>
          <w:rStyle w:val="5"/>
          <w:rFonts w:ascii="黑体" w:hAnsi="黑体" w:eastAsia="黑体" w:cs="黑体"/>
          <w:color w:val="auto"/>
          <w:sz w:val="32"/>
          <w:szCs w:val="32"/>
          <w:shd w:val="clear" w:color="auto" w:fill="FFFFFF"/>
        </w:rPr>
        <w:t>三、财政拨款“三公”经费情况说明</w:t>
      </w:r>
    </w:p>
    <w:p>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highlight w:val="none"/>
          <w:shd w:val="clear" w:color="auto" w:fill="FFFFFF"/>
          <w:lang w:eastAsia="zh-CN"/>
        </w:rPr>
        <w:t>我单位</w:t>
      </w:r>
      <w:r>
        <w:rPr>
          <w:rFonts w:hint="eastAsia" w:ascii="方正仿宋_GBK" w:hAnsi="方正仿宋_GBK" w:eastAsia="方正仿宋_GBK" w:cs="方正仿宋_GBK"/>
          <w:color w:val="auto"/>
          <w:sz w:val="32"/>
          <w:szCs w:val="32"/>
          <w:highlight w:val="none"/>
          <w:shd w:val="clear" w:color="auto" w:fill="FFFFFF"/>
          <w:lang w:val="en-US" w:eastAsia="zh-CN"/>
        </w:rPr>
        <w:t>2024年度无“三公”经费支出。</w:t>
      </w:r>
    </w:p>
    <w:p>
      <w:pPr>
        <w:pStyle w:val="6"/>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（一）“三公”经费支出总体情况说明</w:t>
      </w:r>
    </w:p>
    <w:p>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2024年度“三公”经费支出共计</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6"/>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2024年度本单位因公出国（境）费用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公务车运行维护费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公务接待费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6"/>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2024年度本单位因公出国（境）共计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人。2024年本单位人均接待费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w:t>
      </w:r>
    </w:p>
    <w:p>
      <w:pPr>
        <w:pStyle w:val="2"/>
        <w:shd w:val="clear" w:color="auto" w:fill="FFFFFF"/>
        <w:spacing w:before="0" w:beforeAutospacing="0" w:after="0" w:afterAutospacing="0" w:line="596" w:lineRule="exact"/>
        <w:ind w:firstLine="643" w:firstLineChars="200"/>
        <w:rPr>
          <w:rStyle w:val="5"/>
          <w:rFonts w:hint="default" w:ascii="黑体" w:hAnsi="黑体" w:eastAsia="黑体" w:cs="黑体"/>
          <w:color w:val="auto"/>
          <w:sz w:val="32"/>
          <w:szCs w:val="32"/>
          <w:shd w:val="clear" w:color="auto" w:fill="FFFFFF"/>
        </w:rPr>
      </w:pPr>
      <w:r>
        <w:rPr>
          <w:rStyle w:val="5"/>
          <w:rFonts w:ascii="黑体" w:hAnsi="黑体" w:eastAsia="黑体" w:cs="黑体"/>
          <w:color w:val="auto"/>
          <w:sz w:val="32"/>
          <w:szCs w:val="32"/>
          <w:shd w:val="clear" w:color="auto" w:fill="FFFFFF"/>
        </w:rPr>
        <w:t>四、其他需要说明的事项</w:t>
      </w:r>
    </w:p>
    <w:p>
      <w:pPr>
        <w:pStyle w:val="6"/>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（一）财政拨款会议费和培训费情况说明</w:t>
      </w:r>
    </w:p>
    <w:p>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本年度会议费支出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调查队</w:t>
      </w:r>
      <w:r>
        <w:rPr>
          <w:rFonts w:hint="eastAsia" w:ascii="方正仿宋_GBK" w:hAnsi="方正仿宋_GBK" w:eastAsia="方正仿宋_GBK" w:cs="方正仿宋_GBK"/>
          <w:color w:val="auto"/>
          <w:sz w:val="32"/>
          <w:szCs w:val="32"/>
          <w:shd w:val="clear" w:color="auto" w:fill="FFFFFF"/>
          <w:lang w:val="en-US" w:eastAsia="zh-CN"/>
        </w:rPr>
        <w:t>2024年未单独召开会议、培训</w:t>
      </w:r>
      <w:r>
        <w:rPr>
          <w:rFonts w:ascii="方正仿宋_GBK" w:hAnsi="方正仿宋_GBK" w:eastAsia="方正仿宋_GBK" w:cs="方正仿宋_GBK"/>
          <w:color w:val="auto"/>
          <w:sz w:val="32"/>
          <w:szCs w:val="32"/>
          <w:shd w:val="clear" w:color="auto" w:fill="FFFFFF"/>
        </w:rPr>
        <w:t>。</w:t>
      </w:r>
    </w:p>
    <w:p>
      <w:pPr>
        <w:pStyle w:val="6"/>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2024年度本单位机关运行经费支出</w:t>
      </w:r>
      <w:r>
        <w:rPr>
          <w:rFonts w:ascii="方正仿宋_GBK" w:hAnsi="方正仿宋_GBK" w:eastAsia="方正仿宋_GBK" w:cs="方正仿宋_GBK"/>
          <w:color w:val="auto"/>
          <w:sz w:val="32"/>
          <w:szCs w:val="32"/>
        </w:rPr>
        <w:t>6.05</w:t>
      </w:r>
      <w:r>
        <w:rPr>
          <w:rFonts w:ascii="方正仿宋_GBK" w:hAnsi="方正仿宋_GBK" w:eastAsia="方正仿宋_GBK" w:cs="方正仿宋_GBK"/>
          <w:color w:val="auto"/>
          <w:sz w:val="32"/>
          <w:szCs w:val="32"/>
          <w:shd w:val="clear" w:color="auto" w:fill="FFFFFF"/>
        </w:rPr>
        <w:t>万元，机关运行经费主要用于开支</w:t>
      </w:r>
      <w:r>
        <w:rPr>
          <w:rFonts w:hint="eastAsia" w:ascii="方正仿宋_GBK" w:hAnsi="方正仿宋_GBK" w:eastAsia="方正仿宋_GBK" w:cs="方正仿宋_GBK"/>
          <w:color w:val="auto"/>
          <w:sz w:val="32"/>
          <w:szCs w:val="32"/>
          <w:shd w:val="clear" w:color="auto" w:fill="FFFFFF"/>
          <w:lang w:eastAsia="zh-CN"/>
        </w:rPr>
        <w:t>交通补贴等支出</w:t>
      </w:r>
      <w:r>
        <w:rPr>
          <w:rFonts w:ascii="方正仿宋_GBK" w:hAnsi="方正仿宋_GBK" w:eastAsia="方正仿宋_GBK" w:cs="方正仿宋_GBK"/>
          <w:color w:val="auto"/>
          <w:sz w:val="32"/>
          <w:szCs w:val="32"/>
          <w:shd w:val="clear" w:color="auto" w:fill="FFFFFF"/>
        </w:rPr>
        <w:t>。机关运行经费较上年支出数增加6.05万元，增长100.0%，主要原因是</w:t>
      </w:r>
      <w:r>
        <w:rPr>
          <w:rFonts w:hint="eastAsia" w:ascii="方正仿宋_GBK" w:hAnsi="方正仿宋_GBK" w:eastAsia="方正仿宋_GBK" w:cs="方正仿宋_GBK"/>
          <w:color w:val="auto"/>
          <w:sz w:val="32"/>
          <w:szCs w:val="32"/>
          <w:shd w:val="clear" w:color="auto" w:fill="FFFFFF"/>
          <w:lang w:eastAsia="zh-CN"/>
        </w:rPr>
        <w:t>调查队</w:t>
      </w:r>
      <w:r>
        <w:rPr>
          <w:rFonts w:hint="eastAsia" w:ascii="方正仿宋_GBK" w:hAnsi="方正仿宋_GBK" w:eastAsia="方正仿宋_GBK" w:cs="方正仿宋_GBK"/>
          <w:color w:val="auto"/>
          <w:sz w:val="32"/>
          <w:szCs w:val="32"/>
          <w:shd w:val="clear" w:color="auto" w:fill="FFFFFF"/>
          <w:lang w:val="en-US" w:eastAsia="zh-CN"/>
        </w:rPr>
        <w:t>2024年3月开始独立核算，因此相比2023年度增长率为100%</w:t>
      </w:r>
      <w:r>
        <w:rPr>
          <w:rFonts w:ascii="方正仿宋_GBK" w:hAnsi="方正仿宋_GBK" w:eastAsia="方正仿宋_GBK" w:cs="方正仿宋_GBK"/>
          <w:color w:val="auto"/>
          <w:sz w:val="32"/>
          <w:szCs w:val="32"/>
          <w:shd w:val="clear" w:color="auto" w:fill="FFFFFF"/>
        </w:rPr>
        <w:t>。</w:t>
      </w:r>
    </w:p>
    <w:p>
      <w:pPr>
        <w:pStyle w:val="6"/>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截至2024年12月31日，本单位共有车辆</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pPr>
        <w:pStyle w:val="6"/>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pPr>
        <w:pStyle w:val="2"/>
        <w:snapToGrid w:val="0"/>
        <w:spacing w:before="0" w:beforeAutospacing="0" w:after="0" w:afterAutospacing="0" w:line="600" w:lineRule="exact"/>
        <w:ind w:firstLine="1280" w:firstLineChars="4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2024年度本单位政府采购支出总额</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万元，其中：政府采购货物支出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万元、政府采购工程支出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万元、政府采购服务支出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万元。授予中小企业合同金额</w:t>
      </w:r>
      <w:r>
        <w:rPr>
          <w:rFonts w:ascii="方正仿宋_GBK" w:hAnsi="方正仿宋_GBK" w:eastAsia="方正仿宋_GBK" w:cs="方正仿宋_GBK"/>
          <w:color w:val="auto"/>
          <w:sz w:val="32"/>
          <w:szCs w:val="32"/>
        </w:rPr>
        <w:t>0.00万</w:t>
      </w:r>
      <w:r>
        <w:rPr>
          <w:rFonts w:ascii="方正仿宋_GBK" w:hAnsi="方正仿宋_GBK" w:eastAsia="方正仿宋_GBK" w:cs="方正仿宋_GBK"/>
          <w:color w:val="auto"/>
          <w:sz w:val="32"/>
          <w:szCs w:val="32"/>
          <w:shd w:val="clear" w:color="auto" w:fill="FFFFFF"/>
        </w:rPr>
        <w:t>元，占政府采购支出总额的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%，其中：授予小微企业合同金额</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万元，占政府采购支出总额的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 xml:space="preserve"> %。</w:t>
      </w:r>
    </w:p>
    <w:p>
      <w:pPr>
        <w:pStyle w:val="7"/>
        <w:spacing w:before="0" w:beforeAutospacing="0" w:after="0" w:afterAutospacing="0" w:line="596" w:lineRule="exact"/>
        <w:ind w:firstLine="643" w:firstLineChars="200"/>
        <w:rPr>
          <w:rStyle w:val="5"/>
          <w:rFonts w:ascii="黑体" w:hAnsi="黑体" w:eastAsia="黑体" w:cs="黑体"/>
          <w:color w:val="auto"/>
          <w:sz w:val="32"/>
          <w:szCs w:val="32"/>
          <w:shd w:val="clear" w:color="auto" w:fill="FFFFFF"/>
        </w:rPr>
      </w:pPr>
      <w:r>
        <w:rPr>
          <w:rStyle w:val="5"/>
          <w:rFonts w:hint="eastAsia" w:ascii="黑体" w:hAnsi="黑体" w:eastAsia="黑体" w:cs="黑体"/>
          <w:color w:val="auto"/>
          <w:sz w:val="32"/>
          <w:szCs w:val="32"/>
          <w:shd w:val="clear" w:color="auto" w:fill="FFFFFF"/>
        </w:rPr>
        <w:t>五、2024年度预算绩效管理情况说明</w:t>
      </w:r>
    </w:p>
    <w:p>
      <w:pPr>
        <w:pStyle w:val="7"/>
        <w:autoSpaceDE w:val="0"/>
        <w:spacing w:before="0" w:beforeAutospacing="0" w:after="0" w:afterAutospacing="0" w:line="596" w:lineRule="exact"/>
        <w:ind w:firstLine="643" w:firstLineChars="200"/>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（一）单位自评情况</w:t>
      </w:r>
    </w:p>
    <w:p>
      <w:pPr>
        <w:pStyle w:val="8"/>
        <w:tabs>
          <w:tab w:val="center" w:pos="4153"/>
          <w:tab w:val="left" w:pos="7275"/>
        </w:tabs>
        <w:spacing w:line="600" w:lineRule="exact"/>
        <w:ind w:firstLine="640"/>
        <w:rPr>
          <w:rFonts w:hint="default" w:ascii="Times New Roman" w:hAnsi="Times New Roman" w:eastAsia="方正仿宋_GBK"/>
          <w:color w:val="auto"/>
          <w:sz w:val="32"/>
          <w:szCs w:val="32"/>
        </w:rPr>
      </w:pPr>
      <w:r>
        <w:rPr>
          <w:rFonts w:hint="default" w:ascii="Times New Roman" w:hAnsi="Times New Roman" w:eastAsia="方正仿宋_GBK"/>
          <w:color w:val="auto"/>
          <w:sz w:val="32"/>
          <w:szCs w:val="32"/>
        </w:rPr>
        <w:t>根据预算绩效管理要求，我</w:t>
      </w:r>
      <w:r>
        <w:rPr>
          <w:rFonts w:ascii="Times New Roman" w:hAnsi="Times New Roman" w:eastAsia="方正仿宋_GBK"/>
          <w:color w:val="auto"/>
          <w:sz w:val="32"/>
          <w:szCs w:val="32"/>
        </w:rPr>
        <w:t>单位</w:t>
      </w:r>
      <w:r>
        <w:rPr>
          <w:rFonts w:hint="eastAsia" w:ascii="Times New Roman" w:hAnsi="Times New Roman" w:eastAsia="方正仿宋_GBK"/>
          <w:color w:val="auto"/>
          <w:sz w:val="32"/>
          <w:szCs w:val="32"/>
          <w:lang w:eastAsia="zh-CN"/>
        </w:rPr>
        <w:t>无需要开展绩效自评的项目。</w:t>
      </w:r>
      <w:bookmarkStart w:id="0" w:name="_GoBack"/>
      <w:bookmarkEnd w:id="0"/>
    </w:p>
    <w:p>
      <w:pPr>
        <w:pStyle w:val="7"/>
        <w:autoSpaceDE w:val="0"/>
        <w:spacing w:before="0" w:beforeAutospacing="0" w:after="0" w:afterAutospacing="0" w:line="596" w:lineRule="exact"/>
        <w:rPr>
          <w:rFonts w:ascii="方正仿宋_GBK" w:hAnsi="方正仿宋_GBK" w:eastAsia="方正仿宋_GBK" w:cs="方正仿宋_GBK"/>
          <w:color w:val="auto"/>
          <w:sz w:val="32"/>
          <w:szCs w:val="32"/>
        </w:rPr>
      </w:pPr>
      <w:r>
        <w:rPr>
          <w:rStyle w:val="9"/>
          <w:rFonts w:hint="eastAsia" w:ascii="方正仿宋_GBK" w:hAnsi="方正仿宋_GBK" w:eastAsia="方正仿宋_GBK" w:cs="方正仿宋_GBK"/>
          <w:color w:val="auto"/>
          <w:sz w:val="32"/>
          <w:szCs w:val="32"/>
          <w:shd w:val="clear" w:color="auto" w:fill="FFFFFF"/>
        </w:rPr>
        <w:t xml:space="preserve">   </w:t>
      </w:r>
      <w:r>
        <w:rPr>
          <w:rStyle w:val="5"/>
          <w:rFonts w:hint="eastAsia" w:ascii="黑体" w:hAnsi="黑体" w:eastAsia="黑体" w:cs="黑体"/>
          <w:color w:val="auto"/>
          <w:sz w:val="32"/>
          <w:szCs w:val="32"/>
          <w:shd w:val="clear" w:color="auto" w:fill="FFFFFF"/>
        </w:rPr>
        <w:t xml:space="preserve"> 六、专业名词解释</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楷体" w:hAnsi="楷体" w:eastAsia="楷体" w:cs="楷体"/>
          <w:color w:val="auto"/>
          <w:sz w:val="32"/>
          <w:szCs w:val="32"/>
          <w:shd w:val="clear" w:color="auto" w:fill="FFFFFF"/>
        </w:rPr>
        <w:t>（一）财政拨款收入：</w:t>
      </w:r>
      <w:r>
        <w:rPr>
          <w:rFonts w:hint="eastAsia"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楷体" w:hAnsi="楷体" w:eastAsia="楷体" w:cs="楷体"/>
          <w:color w:val="auto"/>
          <w:sz w:val="32"/>
          <w:szCs w:val="32"/>
          <w:shd w:val="clear" w:color="auto" w:fill="FFFFFF"/>
        </w:rPr>
        <w:t>（二）事业收入：</w:t>
      </w:r>
      <w:r>
        <w:rPr>
          <w:rFonts w:hint="eastAsia"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楷体" w:hAnsi="楷体" w:eastAsia="楷体" w:cs="楷体"/>
          <w:color w:val="auto"/>
          <w:sz w:val="32"/>
          <w:szCs w:val="32"/>
          <w:shd w:val="clear" w:color="auto" w:fill="FFFFFF"/>
        </w:rPr>
        <w:t>（三）经营收入：</w:t>
      </w:r>
      <w:r>
        <w:rPr>
          <w:rFonts w:hint="eastAsia"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楷体" w:hAnsi="楷体" w:eastAsia="楷体" w:cs="楷体"/>
          <w:color w:val="auto"/>
          <w:sz w:val="32"/>
          <w:szCs w:val="32"/>
          <w:shd w:val="clear" w:color="auto" w:fill="FFFFFF"/>
        </w:rPr>
        <w:t>（四）其他收入：</w:t>
      </w:r>
      <w:r>
        <w:rPr>
          <w:rFonts w:hint="eastAsia"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楷体" w:hAnsi="楷体" w:eastAsia="楷体" w:cs="楷体"/>
          <w:color w:val="auto"/>
          <w:sz w:val="32"/>
          <w:szCs w:val="32"/>
          <w:shd w:val="clear" w:color="auto" w:fill="FFFFFF"/>
        </w:rPr>
        <w:t>（五）使用非财政拨款结余：</w:t>
      </w:r>
      <w:r>
        <w:rPr>
          <w:rFonts w:hint="eastAsia"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楷体" w:hAnsi="楷体" w:eastAsia="楷体" w:cs="楷体"/>
          <w:color w:val="auto"/>
          <w:sz w:val="32"/>
          <w:szCs w:val="32"/>
          <w:shd w:val="clear" w:color="auto" w:fill="FFFFFF"/>
        </w:rPr>
        <w:t>（六）年初结转和结余：</w:t>
      </w:r>
      <w:r>
        <w:rPr>
          <w:rFonts w:hint="eastAsia"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楷体" w:hAnsi="楷体" w:eastAsia="楷体" w:cs="楷体"/>
          <w:color w:val="auto"/>
          <w:sz w:val="32"/>
          <w:szCs w:val="32"/>
          <w:shd w:val="clear" w:color="auto" w:fill="FFFFFF"/>
        </w:rPr>
        <w:t>（七）结余分配：</w:t>
      </w:r>
      <w:r>
        <w:rPr>
          <w:rFonts w:hint="eastAsia"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楷体" w:hAnsi="楷体" w:eastAsia="楷体" w:cs="楷体"/>
          <w:color w:val="auto"/>
          <w:sz w:val="32"/>
          <w:szCs w:val="32"/>
          <w:shd w:val="clear" w:color="auto" w:fill="FFFFFF"/>
        </w:rPr>
        <w:t>（八）年末结转和结余：</w:t>
      </w:r>
      <w:r>
        <w:rPr>
          <w:rFonts w:hint="eastAsia" w:ascii="方正仿宋_GBK" w:hAnsi="方正仿宋_GBK" w:eastAsia="方正仿宋_GBK" w:cs="方正仿宋_GBK"/>
          <w:color w:val="auto"/>
          <w:sz w:val="32"/>
          <w:szCs w:val="32"/>
          <w:shd w:val="clear" w:color="auto" w:fill="FFFFFF"/>
        </w:rPr>
        <w:t>指单位结转下年的基本支出结转、项目支出结转和结余、经营结余。</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楷体" w:hAnsi="楷体" w:eastAsia="楷体" w:cs="楷体"/>
          <w:color w:val="auto"/>
          <w:sz w:val="32"/>
          <w:szCs w:val="32"/>
          <w:shd w:val="clear" w:color="auto" w:fill="FFFFFF"/>
        </w:rPr>
        <w:t>（九）基本支出：</w:t>
      </w:r>
      <w:r>
        <w:rPr>
          <w:rFonts w:hint="eastAsia"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楷体" w:hAnsi="楷体" w:eastAsia="楷体" w:cs="楷体"/>
          <w:color w:val="auto"/>
          <w:sz w:val="32"/>
          <w:szCs w:val="32"/>
          <w:shd w:val="clear" w:color="auto" w:fill="FFFFFF"/>
        </w:rPr>
        <w:t>（十）项目支出：</w:t>
      </w:r>
      <w:r>
        <w:rPr>
          <w:rFonts w:hint="eastAsia"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楷体" w:hAnsi="楷体" w:eastAsia="楷体" w:cs="楷体"/>
          <w:color w:val="auto"/>
          <w:sz w:val="32"/>
          <w:szCs w:val="32"/>
          <w:shd w:val="clear" w:color="auto" w:fill="FFFFFF"/>
        </w:rPr>
        <w:t>（十一）经营支出：</w:t>
      </w:r>
      <w:r>
        <w:rPr>
          <w:rFonts w:hint="eastAsia"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楷体" w:hAnsi="楷体" w:eastAsia="楷体" w:cs="楷体"/>
          <w:color w:val="auto"/>
          <w:sz w:val="32"/>
          <w:szCs w:val="32"/>
          <w:shd w:val="clear" w:color="auto" w:fill="FFFFFF"/>
        </w:rPr>
        <w:t>（十二）“三公”经费：</w:t>
      </w:r>
      <w:r>
        <w:rPr>
          <w:rFonts w:hint="eastAsia"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楷体" w:hAnsi="楷体" w:eastAsia="楷体" w:cs="楷体"/>
          <w:color w:val="auto"/>
          <w:sz w:val="32"/>
          <w:szCs w:val="32"/>
          <w:shd w:val="clear" w:color="auto" w:fill="FFFFFF"/>
        </w:rPr>
        <w:t>（十三）机关运行经费：</w:t>
      </w:r>
      <w:r>
        <w:rPr>
          <w:rFonts w:hint="eastAsia"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楷体" w:hAnsi="楷体" w:eastAsia="楷体" w:cs="楷体"/>
          <w:color w:val="auto"/>
          <w:sz w:val="32"/>
          <w:szCs w:val="32"/>
          <w:shd w:val="clear" w:color="auto" w:fill="FFFFFF"/>
        </w:rPr>
        <w:t>（十四）工资福利支出（支出经济分类科目类级）：</w:t>
      </w:r>
      <w:r>
        <w:rPr>
          <w:rFonts w:hint="eastAsia"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楷体" w:hAnsi="楷体" w:eastAsia="楷体" w:cs="楷体"/>
          <w:color w:val="auto"/>
          <w:sz w:val="32"/>
          <w:szCs w:val="32"/>
          <w:shd w:val="clear" w:color="auto" w:fill="FFFFFF"/>
        </w:rPr>
        <w:t>（十五）商品和服务支出（支出经济分类科目类级）：</w:t>
      </w:r>
      <w:r>
        <w:rPr>
          <w:rFonts w:hint="eastAsia"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楷体" w:hAnsi="楷体" w:eastAsia="楷体" w:cs="楷体"/>
          <w:color w:val="auto"/>
          <w:sz w:val="32"/>
          <w:szCs w:val="32"/>
          <w:shd w:val="clear" w:color="auto" w:fill="FFFFFF"/>
        </w:rPr>
        <w:t>（十六）对个人和家庭的补助（支出经济分类科目类级）：</w:t>
      </w:r>
      <w:r>
        <w:rPr>
          <w:rFonts w:hint="eastAsia" w:ascii="方正仿宋_GBK" w:hAnsi="方正仿宋_GBK" w:eastAsia="方正仿宋_GBK" w:cs="方正仿宋_GBK"/>
          <w:color w:val="auto"/>
          <w:sz w:val="32"/>
          <w:szCs w:val="32"/>
          <w:shd w:val="clear" w:color="auto" w:fill="FFFFFF"/>
        </w:rPr>
        <w:t>反映用于对个人和家庭的补助支出。</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楷体" w:hAnsi="楷体" w:eastAsia="楷体" w:cs="楷体"/>
          <w:color w:val="auto"/>
          <w:sz w:val="32"/>
          <w:szCs w:val="32"/>
          <w:shd w:val="clear" w:color="auto" w:fill="FFFFFF"/>
        </w:rPr>
        <w:t>（十七）其他资本性支出（支出经济分类科目类级）：</w:t>
      </w:r>
      <w:r>
        <w:rPr>
          <w:rFonts w:hint="eastAsia"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黑体" w:hAnsi="黑体" w:eastAsia="黑体" w:cs="黑体"/>
          <w:color w:val="auto"/>
          <w:sz w:val="32"/>
          <w:szCs w:val="32"/>
          <w:shd w:val="clear" w:color="auto" w:fill="FFFFFF"/>
        </w:rPr>
        <w:t>七、决算公开联系方式及信息反馈渠道</w:t>
      </w:r>
    </w:p>
    <w:p>
      <w:pPr>
        <w:pStyle w:val="7"/>
        <w:spacing w:before="0" w:beforeAutospacing="0" w:after="0" w:afterAutospacing="0" w:line="596" w:lineRule="exac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本单位决算公开信息反馈和联系方式：</w:t>
      </w:r>
    </w:p>
    <w:p>
      <w:pPr>
        <w:rPr>
          <w:rFonts w:hint="default"/>
          <w:lang w:val="en-US"/>
        </w:rPr>
      </w:pPr>
      <w:r>
        <w:rPr>
          <w:rFonts w:hint="eastAsia" w:ascii="方正仿宋_GBK" w:hAnsi="方正仿宋_GBK" w:eastAsia="方正仿宋_GBK" w:cs="方正仿宋_GBK"/>
          <w:color w:val="auto"/>
          <w:sz w:val="32"/>
          <w:szCs w:val="32"/>
          <w:shd w:val="clear" w:color="auto" w:fill="FFFFFF"/>
          <w:lang w:eastAsia="zh-CN"/>
        </w:rPr>
        <w:t>龙凌逸</w:t>
      </w:r>
      <w:r>
        <w:rPr>
          <w:rFonts w:hint="eastAsia" w:ascii="方正仿宋_GBK" w:hAnsi="方正仿宋_GBK" w:eastAsia="方正仿宋_GBK" w:cs="方正仿宋_GBK"/>
          <w:color w:val="auto"/>
          <w:sz w:val="32"/>
          <w:szCs w:val="32"/>
          <w:shd w:val="clear" w:color="auto" w:fill="FFFFFF"/>
        </w:rPr>
        <w:t xml:space="preserve">   023-</w:t>
      </w:r>
      <w:r>
        <w:rPr>
          <w:rFonts w:hint="eastAsia" w:ascii="方正仿宋_GBK" w:hAnsi="方正仿宋_GBK" w:eastAsia="方正仿宋_GBK" w:cs="方正仿宋_GBK"/>
          <w:color w:val="auto"/>
          <w:sz w:val="32"/>
          <w:szCs w:val="32"/>
          <w:shd w:val="clear" w:color="auto" w:fill="FFFFFF"/>
          <w:lang w:val="en-US" w:eastAsia="zh-CN"/>
        </w:rPr>
        <w:t>63765093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C3596D"/>
    <w:rsid w:val="4610266E"/>
    <w:rsid w:val="496B7702"/>
    <w:rsid w:val="61F51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0"/>
    <w:pPr>
      <w:spacing w:before="100" w:beforeAutospacing="1" w:after="100" w:afterAutospacing="1"/>
    </w:pPr>
  </w:style>
  <w:style w:type="character" w:styleId="5">
    <w:name w:val="Strong"/>
    <w:qFormat/>
    <w:uiPriority w:val="0"/>
    <w:rPr>
      <w:b/>
    </w:rPr>
  </w:style>
  <w:style w:type="paragraph" w:customStyle="1" w:styleId="6">
    <w:name w:val="列出段落1"/>
    <w:basedOn w:val="1"/>
    <w:qFormat/>
    <w:uiPriority w:val="99"/>
    <w:pPr>
      <w:ind w:firstLine="420" w:firstLineChars="200"/>
    </w:pPr>
    <w:rPr>
      <w:rFonts w:hint="default"/>
    </w:rPr>
  </w:style>
  <w:style w:type="paragraph" w:customStyle="1" w:styleId="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8">
    <w:name w:val="列出段落3"/>
    <w:basedOn w:val="1"/>
    <w:qFormat/>
    <w:uiPriority w:val="99"/>
    <w:pPr>
      <w:ind w:firstLine="420" w:firstLineChars="200"/>
    </w:pPr>
  </w:style>
  <w:style w:type="character" w:customStyle="1" w:styleId="9">
    <w:name w:val="21"/>
    <w:basedOn w:val="4"/>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2025-10-11T07:31:00Z</dcterms:created>
  <dc:creator>asus</dc:creator>
  <cp:lastModifiedBy>研究者</cp:lastModifiedBy>
  <dcterms:modified xsi:type="dcterms:W3CDTF">2025-10-14T07:09:35Z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08EB79BD0DF34F03BB26FAE6D85686DB</vt:lpwstr>
  </property>
</Properties>
</file>