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cs="Times New Roman"/>
          <w:sz w:val="44"/>
          <w:szCs w:val="44"/>
        </w:rPr>
      </w:pPr>
      <w:r>
        <w:rPr>
          <w:rFonts w:eastAsia="方正小标宋_GBK" w:cs="Times New Roman"/>
          <w:sz w:val="44"/>
          <w:szCs w:val="44"/>
        </w:rPr>
        <w:t>重庆市渝中区军队离休退休干部服务管理中心</w:t>
      </w:r>
    </w:p>
    <w:p>
      <w:pPr>
        <w:spacing w:line="596" w:lineRule="exact"/>
        <w:jc w:val="center"/>
        <w:rPr>
          <w:rFonts w:eastAsia="方正小标宋_GBK" w:cs="Times New Roman"/>
          <w:sz w:val="44"/>
          <w:szCs w:val="44"/>
        </w:rPr>
      </w:pPr>
      <w:r>
        <w:rPr>
          <w:rFonts w:eastAsia="方正小标宋_GBK" w:cs="Times New Roman"/>
          <w:sz w:val="44"/>
          <w:szCs w:val="44"/>
        </w:rPr>
        <w:t>2022年度部门决算情况说明</w:t>
      </w:r>
    </w:p>
    <w:p>
      <w:pPr>
        <w:spacing w:before="624" w:beforeLines="200" w:line="596" w:lineRule="exact"/>
        <w:ind w:firstLine="684" w:firstLineChars="214"/>
        <w:rPr>
          <w:rFonts w:eastAsia="方正黑体_GBK" w:cs="Times New Roman"/>
          <w:sz w:val="32"/>
          <w:szCs w:val="32"/>
        </w:rPr>
      </w:pPr>
      <w:r>
        <w:rPr>
          <w:rFonts w:eastAsia="方正黑体_GBK" w:cs="Times New Roman"/>
          <w:sz w:val="32"/>
          <w:szCs w:val="32"/>
        </w:rPr>
        <w:t>一、部门基本情况</w:t>
      </w:r>
    </w:p>
    <w:p>
      <w:pPr>
        <w:spacing w:line="596" w:lineRule="exact"/>
        <w:ind w:firstLine="684" w:firstLineChars="214"/>
        <w:rPr>
          <w:rFonts w:eastAsia="方正楷体简体" w:cs="Times New Roman"/>
          <w:sz w:val="32"/>
          <w:szCs w:val="32"/>
        </w:rPr>
      </w:pPr>
      <w:r>
        <w:rPr>
          <w:rFonts w:eastAsia="方正楷体简体" w:cs="Times New Roman"/>
          <w:sz w:val="32"/>
          <w:szCs w:val="32"/>
        </w:rPr>
        <w:t>（一）职能职责</w:t>
      </w:r>
    </w:p>
    <w:p>
      <w:pPr>
        <w:spacing w:line="596" w:lineRule="exact"/>
        <w:ind w:firstLine="684" w:firstLineChars="214"/>
        <w:rPr>
          <w:rFonts w:eastAsia="方正仿宋_GBK" w:cs="Times New Roman"/>
          <w:sz w:val="32"/>
          <w:szCs w:val="32"/>
        </w:rPr>
      </w:pPr>
      <w:r>
        <w:rPr>
          <w:rFonts w:eastAsia="方正仿宋_GBK" w:cs="Times New Roman"/>
          <w:sz w:val="32"/>
          <w:szCs w:val="32"/>
        </w:rPr>
        <w:t>负责移交渝中区安置的军队离休退休干部接收、管理和服务；负责按照国家和军队有关政策规定落实军队离休退休干部的政治待遇和生活待遇；负责军队离休退休干部思想政治工作和党的建设工作；负责组织开展适合军队离休退休干部特点的文化体育活动和社会公益活动；负责军队离休退休干部各项经费预算编制；负责军队离休退休干部人事档案整理；负责军队离休退休干部离休退休费的发放、调整；负责军队离休退休干部医疗费的报销、发放；负责军队离休退休干部去世后的丧葬、一次性抚恤、特别抚恤的申报、发放；负责军队离休退休干部的日常性管理；负责指导军队离休退休干部服务管理站及其工作人员的培训；负责军队离休退休干部服务管理机构的土地、用房、车辆设施设有备等国资产的管理和维护等工作，负责完成上级交办的其他工作。</w:t>
      </w:r>
    </w:p>
    <w:p>
      <w:pPr>
        <w:spacing w:line="596" w:lineRule="exact"/>
        <w:ind w:firstLine="684" w:firstLineChars="214"/>
        <w:rPr>
          <w:rFonts w:eastAsia="方正仿宋_GBK" w:cs="Times New Roman"/>
          <w:sz w:val="32"/>
          <w:szCs w:val="32"/>
        </w:rPr>
      </w:pPr>
      <w:r>
        <w:rPr>
          <w:rFonts w:eastAsia="方正楷体简体" w:cs="Times New Roman"/>
          <w:sz w:val="32"/>
          <w:szCs w:val="32"/>
        </w:rPr>
        <w:t>（二）机构设置</w:t>
      </w:r>
    </w:p>
    <w:p>
      <w:pPr>
        <w:spacing w:line="596" w:lineRule="exact"/>
        <w:ind w:firstLine="684" w:firstLineChars="214"/>
        <w:rPr>
          <w:rFonts w:eastAsia="方正仿宋_GBK" w:cs="Times New Roman"/>
          <w:sz w:val="32"/>
          <w:szCs w:val="32"/>
        </w:rPr>
      </w:pPr>
      <w:r>
        <w:rPr>
          <w:rFonts w:eastAsia="方正仿宋_GBK" w:cs="Times New Roman"/>
          <w:sz w:val="32"/>
          <w:szCs w:val="32"/>
        </w:rPr>
        <w:t>军休中心现设有党政办公室、接收安置科、服务管理科、财务科，下设蔡家石堡、上大田湾、袁家岗、彭家花园、大坪5个军休所。</w:t>
      </w:r>
    </w:p>
    <w:p>
      <w:pPr>
        <w:spacing w:line="596" w:lineRule="exact"/>
        <w:ind w:firstLine="684" w:firstLineChars="214"/>
        <w:rPr>
          <w:rFonts w:eastAsia="方正楷体简体" w:cs="Times New Roman"/>
          <w:sz w:val="32"/>
          <w:szCs w:val="32"/>
        </w:rPr>
      </w:pPr>
      <w:r>
        <w:rPr>
          <w:rFonts w:eastAsia="方正楷体简体" w:cs="Times New Roman"/>
          <w:sz w:val="32"/>
          <w:szCs w:val="32"/>
        </w:rPr>
        <w:t>（三）单位构成</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2022年度决算编制无独立核算二级预算单位。</w:t>
      </w:r>
    </w:p>
    <w:p>
      <w:pPr>
        <w:spacing w:line="596" w:lineRule="exact"/>
        <w:ind w:firstLine="684" w:firstLineChars="214"/>
        <w:rPr>
          <w:rFonts w:eastAsia="方正黑体_GBK" w:cs="Times New Roman"/>
          <w:sz w:val="32"/>
          <w:szCs w:val="32"/>
        </w:rPr>
      </w:pPr>
      <w:r>
        <w:rPr>
          <w:rFonts w:eastAsia="方正黑体_GBK" w:cs="Times New Roman"/>
          <w:sz w:val="32"/>
          <w:szCs w:val="32"/>
        </w:rPr>
        <w:t>二、部门决算情况</w:t>
      </w:r>
    </w:p>
    <w:p>
      <w:pPr>
        <w:spacing w:line="596" w:lineRule="exact"/>
        <w:ind w:firstLine="684" w:firstLineChars="214"/>
        <w:rPr>
          <w:rFonts w:eastAsia="方正楷体简体" w:cs="Times New Roman"/>
          <w:sz w:val="32"/>
          <w:szCs w:val="32"/>
        </w:rPr>
      </w:pPr>
      <w:r>
        <w:rPr>
          <w:rFonts w:eastAsia="方正楷体简体" w:cs="Times New Roman"/>
          <w:sz w:val="32"/>
          <w:szCs w:val="32"/>
        </w:rPr>
        <w:t>（一）收入支出决算总体情况说明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1.总体情况。2022年度收入总计23,057.67万元，支出总计23</w:t>
      </w:r>
      <w:r>
        <w:rPr>
          <w:rFonts w:hint="eastAsia" w:eastAsia="方正仿宋_GBK" w:cs="Times New Roman"/>
          <w:sz w:val="32"/>
          <w:szCs w:val="32"/>
        </w:rPr>
        <w:t>，</w:t>
      </w:r>
      <w:r>
        <w:rPr>
          <w:rFonts w:eastAsia="方正仿宋_GBK" w:cs="Times New Roman"/>
          <w:sz w:val="32"/>
          <w:szCs w:val="32"/>
        </w:rPr>
        <w:t>057.67万元。收支较上年决算数增加434.98万元</w:t>
      </w:r>
      <w:r>
        <w:rPr>
          <w:rFonts w:hint="eastAsia" w:eastAsia="方正仿宋_GBK" w:cs="Times New Roman"/>
          <w:sz w:val="32"/>
          <w:szCs w:val="32"/>
          <w:lang w:eastAsia="zh-CN"/>
        </w:rPr>
        <w:t>，</w:t>
      </w:r>
      <w:r>
        <w:rPr>
          <w:rFonts w:eastAsia="方正仿宋_GBK" w:cs="Times New Roman"/>
          <w:sz w:val="32"/>
          <w:szCs w:val="32"/>
        </w:rPr>
        <w:t>增长1.9%，主要原因是新增军队移交地方政府安置的退休干部。</w:t>
      </w:r>
    </w:p>
    <w:p>
      <w:pPr>
        <w:spacing w:line="596" w:lineRule="exact"/>
        <w:ind w:firstLine="684" w:firstLineChars="214"/>
        <w:rPr>
          <w:rFonts w:eastAsia="方正仿宋_GBK" w:cs="Times New Roman"/>
          <w:sz w:val="32"/>
          <w:szCs w:val="32"/>
        </w:rPr>
      </w:pPr>
      <w:r>
        <w:rPr>
          <w:rFonts w:eastAsia="方正仿宋_GBK" w:cs="Times New Roman"/>
          <w:sz w:val="32"/>
          <w:szCs w:val="32"/>
        </w:rPr>
        <w:t>2.收入情况。2022年度收入合计23,057.67万元，较上年决算数增加434.98万元，增长1.9%，主要原因是新增军队移交地方政府安置的退休干部。其中：财政拨款收入23</w:t>
      </w:r>
      <w:r>
        <w:rPr>
          <w:rFonts w:hint="eastAsia" w:eastAsia="方正仿宋_GBK" w:cs="Times New Roman"/>
          <w:sz w:val="32"/>
          <w:szCs w:val="32"/>
        </w:rPr>
        <w:t>，</w:t>
      </w:r>
      <w:r>
        <w:rPr>
          <w:rFonts w:eastAsia="方正仿宋_GBK" w:cs="Times New Roman"/>
          <w:sz w:val="32"/>
          <w:szCs w:val="32"/>
        </w:rPr>
        <w:t>057.67万元，占100%。</w:t>
      </w:r>
    </w:p>
    <w:p>
      <w:pPr>
        <w:spacing w:line="596" w:lineRule="exact"/>
        <w:ind w:firstLine="684" w:firstLineChars="214"/>
        <w:rPr>
          <w:rFonts w:eastAsia="方正仿宋_GBK" w:cs="Times New Roman"/>
          <w:sz w:val="32"/>
          <w:szCs w:val="32"/>
        </w:rPr>
      </w:pPr>
      <w:r>
        <w:rPr>
          <w:rFonts w:eastAsia="方正仿宋_GBK" w:cs="Times New Roman"/>
          <w:sz w:val="32"/>
          <w:szCs w:val="32"/>
        </w:rPr>
        <w:t>3.支出情况。2022年度支出合计23,057.67万元，较上年决算数增加434.98万元，增长1.9%，主要原因是新增军队移交地方政府安置的退休干部。其中：基本支出996.76万元，占4.3%；项目支出22,060.91万元，占95.7%。</w:t>
      </w:r>
    </w:p>
    <w:p>
      <w:pPr>
        <w:spacing w:line="596" w:lineRule="exact"/>
        <w:ind w:firstLine="684" w:firstLineChars="214"/>
        <w:rPr>
          <w:rFonts w:eastAsia="方正楷体简体" w:cs="Times New Roman"/>
          <w:sz w:val="32"/>
          <w:szCs w:val="32"/>
        </w:rPr>
      </w:pPr>
      <w:r>
        <w:rPr>
          <w:rFonts w:eastAsia="方正楷体简体" w:cs="Times New Roman"/>
          <w:sz w:val="32"/>
          <w:szCs w:val="32"/>
        </w:rPr>
        <w:t>（二）财政拨款收入支出决算总体情况说明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2022年度财政拨款收、支总计23,057.67万元。与2021年相比，财政拨款收、支总计各增加434.98万元，增长1.9%。主要原因是新增军队移交地方政府安置的退休干部。</w:t>
      </w:r>
    </w:p>
    <w:p>
      <w:pPr>
        <w:spacing w:line="596" w:lineRule="exact"/>
        <w:ind w:firstLine="684" w:firstLineChars="214"/>
        <w:rPr>
          <w:rFonts w:eastAsia="方正楷体简体" w:cs="Times New Roman"/>
          <w:sz w:val="32"/>
          <w:szCs w:val="32"/>
        </w:rPr>
      </w:pPr>
      <w:r>
        <w:rPr>
          <w:rFonts w:eastAsia="方正楷体简体" w:cs="Times New Roman"/>
          <w:sz w:val="32"/>
          <w:szCs w:val="32"/>
        </w:rPr>
        <w:t>（三）一般公共预算财政拨款收入支出决算情况说明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1.收入情况。2022年度一般公共预算财政拨款收入23,057.67万元，较上年决算数增加434.98万元，增长1.9%。主要原因是新增军队移交地方政府安置的退休干部。较年初预算数增加1898.22万元，增长8.9%。主要原因是军休干部人数增加及待遇提高等。</w:t>
      </w:r>
    </w:p>
    <w:p>
      <w:pPr>
        <w:spacing w:line="596" w:lineRule="exact"/>
        <w:ind w:firstLine="684" w:firstLineChars="214"/>
        <w:rPr>
          <w:rFonts w:eastAsia="方正仿宋_GBK" w:cs="Times New Roman"/>
          <w:sz w:val="32"/>
          <w:szCs w:val="32"/>
        </w:rPr>
      </w:pPr>
      <w:r>
        <w:rPr>
          <w:rFonts w:eastAsia="方正仿宋_GBK" w:cs="Times New Roman"/>
          <w:sz w:val="32"/>
          <w:szCs w:val="32"/>
        </w:rPr>
        <w:t>2.支出情况。2022年度一般公共预算财政拨款支出23,057.67万元，较上年决算数增加434.98万元，增长1.9%。主要原因是新增军队移交地方政府安置的退休干部。较年初预算数增加1898.22万元，增长8.9%。主要原因是军休干部人数增加及待遇提高等。</w:t>
      </w:r>
    </w:p>
    <w:p>
      <w:pPr>
        <w:spacing w:line="596" w:lineRule="exact"/>
        <w:ind w:firstLine="684" w:firstLineChars="214"/>
        <w:rPr>
          <w:rFonts w:eastAsia="方正仿宋_GBK" w:cs="Times New Roman"/>
          <w:sz w:val="32"/>
          <w:szCs w:val="32"/>
        </w:rPr>
      </w:pPr>
      <w:r>
        <w:rPr>
          <w:rFonts w:eastAsia="方正仿宋_GBK" w:cs="Times New Roman"/>
          <w:sz w:val="32"/>
          <w:szCs w:val="32"/>
        </w:rPr>
        <w:t>3.结转结余情况。2022年度年末</w:t>
      </w:r>
      <w:r>
        <w:rPr>
          <w:rFonts w:hint="eastAsia" w:eastAsia="方正仿宋_GBK" w:cs="Times New Roman"/>
          <w:sz w:val="32"/>
          <w:szCs w:val="32"/>
        </w:rPr>
        <w:t>无</w:t>
      </w:r>
      <w:r>
        <w:rPr>
          <w:rFonts w:eastAsia="方正仿宋_GBK" w:cs="Times New Roman"/>
          <w:sz w:val="32"/>
          <w:szCs w:val="32"/>
        </w:rPr>
        <w:t>一般公共预算财政拨款结转和结余</w:t>
      </w:r>
      <w:r>
        <w:rPr>
          <w:rFonts w:hint="eastAsia" w:eastAsia="方正仿宋_GBK" w:cs="Times New Roman"/>
          <w:sz w:val="32"/>
          <w:szCs w:val="32"/>
        </w:rPr>
        <w:t>。</w:t>
      </w:r>
    </w:p>
    <w:p>
      <w:pPr>
        <w:spacing w:line="596" w:lineRule="exact"/>
        <w:ind w:firstLine="684" w:firstLineChars="214"/>
        <w:rPr>
          <w:rFonts w:eastAsia="方正仿宋_GBK" w:cs="Times New Roman"/>
          <w:sz w:val="32"/>
          <w:szCs w:val="32"/>
        </w:rPr>
      </w:pPr>
      <w:r>
        <w:rPr>
          <w:rFonts w:eastAsia="方正仿宋_GBK" w:cs="Times New Roman"/>
          <w:sz w:val="32"/>
          <w:szCs w:val="32"/>
        </w:rPr>
        <w:t>4.比较情况。本部门2022年度一般公共预算财政拨款支出主要用于以下几个方面：</w:t>
      </w:r>
    </w:p>
    <w:p>
      <w:pPr>
        <w:spacing w:line="596" w:lineRule="exact"/>
        <w:ind w:firstLine="684" w:firstLineChars="214"/>
        <w:rPr>
          <w:rFonts w:eastAsia="方正仿宋_GBK" w:cs="Times New Roman"/>
          <w:sz w:val="32"/>
          <w:szCs w:val="32"/>
        </w:rPr>
      </w:pPr>
      <w:r>
        <w:rPr>
          <w:rFonts w:eastAsia="方正仿宋_GBK" w:cs="Times New Roman"/>
          <w:sz w:val="32"/>
          <w:szCs w:val="32"/>
        </w:rPr>
        <w:t>（1）社会保障与就业支出22948.06万元，占99.5%，较年初预算数减少2254.93万元，减少8.9%，主要原因是实际下达的</w:t>
      </w:r>
      <w:r>
        <w:rPr>
          <w:rFonts w:hint="eastAsia" w:eastAsia="方正仿宋_GBK" w:cs="Times New Roman"/>
          <w:sz w:val="32"/>
          <w:szCs w:val="32"/>
        </w:rPr>
        <w:t>市级</w:t>
      </w:r>
      <w:r>
        <w:rPr>
          <w:rFonts w:eastAsia="方正仿宋_GBK" w:cs="Times New Roman"/>
          <w:sz w:val="32"/>
          <w:szCs w:val="32"/>
        </w:rPr>
        <w:t>预算资金减少。</w:t>
      </w:r>
    </w:p>
    <w:p>
      <w:pPr>
        <w:spacing w:line="596" w:lineRule="exact"/>
        <w:ind w:firstLine="684" w:firstLineChars="214"/>
        <w:rPr>
          <w:rFonts w:eastAsia="方正仿宋_GBK" w:cs="Times New Roman"/>
          <w:sz w:val="32"/>
          <w:szCs w:val="32"/>
        </w:rPr>
      </w:pPr>
      <w:r>
        <w:rPr>
          <w:rFonts w:eastAsia="方正仿宋_GBK" w:cs="Times New Roman"/>
          <w:sz w:val="32"/>
          <w:szCs w:val="32"/>
        </w:rPr>
        <w:t>（2）卫生健康支出51.50万元，占0.2%，</w:t>
      </w:r>
      <w:r>
        <w:rPr>
          <w:rFonts w:hint="eastAsia" w:eastAsia="方正仿宋_GBK" w:cs="Times New Roman"/>
          <w:sz w:val="32"/>
          <w:szCs w:val="32"/>
        </w:rPr>
        <w:t>与</w:t>
      </w:r>
      <w:r>
        <w:rPr>
          <w:rFonts w:eastAsia="方正仿宋_GBK" w:cs="Times New Roman"/>
          <w:sz w:val="32"/>
          <w:szCs w:val="32"/>
        </w:rPr>
        <w:t>年初预算数</w:t>
      </w:r>
      <w:r>
        <w:rPr>
          <w:rFonts w:hint="eastAsia" w:eastAsia="方正仿宋_GBK" w:cs="Times New Roman"/>
          <w:sz w:val="32"/>
          <w:szCs w:val="32"/>
        </w:rPr>
        <w:t>持平。</w:t>
      </w:r>
    </w:p>
    <w:p>
      <w:pPr>
        <w:spacing w:line="596" w:lineRule="exact"/>
        <w:ind w:firstLine="684" w:firstLineChars="214"/>
        <w:rPr>
          <w:rFonts w:eastAsia="方正仿宋_GBK" w:cs="Times New Roman"/>
          <w:sz w:val="32"/>
          <w:szCs w:val="32"/>
        </w:rPr>
      </w:pPr>
      <w:r>
        <w:rPr>
          <w:rFonts w:eastAsia="方正仿宋_GBK" w:cs="Times New Roman"/>
          <w:sz w:val="32"/>
          <w:szCs w:val="32"/>
        </w:rPr>
        <w:t>（3）住房保障支出57.73万元，占0.2%，较年初预算数增加0.93万元，增长1.6%，主要原因是人员增加。</w:t>
      </w:r>
    </w:p>
    <w:p>
      <w:pPr>
        <w:spacing w:line="596" w:lineRule="exact"/>
        <w:ind w:firstLine="684" w:firstLineChars="214"/>
        <w:rPr>
          <w:rFonts w:eastAsia="方正楷体简体" w:cs="Times New Roman"/>
          <w:sz w:val="32"/>
          <w:szCs w:val="32"/>
        </w:rPr>
      </w:pPr>
      <w:r>
        <w:rPr>
          <w:rFonts w:eastAsia="方正楷体简体" w:cs="Times New Roman"/>
          <w:sz w:val="32"/>
          <w:szCs w:val="32"/>
        </w:rPr>
        <w:t>（四）一般公共预算财政拨款基本支出决算情况说明</w:t>
      </w:r>
    </w:p>
    <w:p>
      <w:pPr>
        <w:spacing w:line="596" w:lineRule="exact"/>
        <w:ind w:firstLine="684" w:firstLineChars="214"/>
        <w:rPr>
          <w:rFonts w:eastAsia="方正仿宋_GBK" w:cs="Times New Roman"/>
          <w:color w:val="FF0000"/>
          <w:sz w:val="32"/>
          <w:szCs w:val="32"/>
          <w:highlight w:val="none"/>
        </w:rPr>
      </w:pPr>
      <w:r>
        <w:rPr>
          <w:rFonts w:eastAsia="方正仿宋_GBK" w:cs="Times New Roman"/>
          <w:sz w:val="32"/>
          <w:szCs w:val="32"/>
        </w:rPr>
        <w:t>2022年度一般公共财政拨款基本支出996.77万元。其中：人员经费943.78万元，较上年决算数减少188.71万元，减少16.6%。</w:t>
      </w:r>
      <w:r>
        <w:rPr>
          <w:rFonts w:hint="eastAsia" w:eastAsia="方正仿宋_GBK" w:cs="Times New Roman"/>
          <w:sz w:val="32"/>
          <w:szCs w:val="32"/>
        </w:rPr>
        <w:t>主要原因是人员工资结构调整。</w:t>
      </w:r>
      <w:r>
        <w:rPr>
          <w:rFonts w:eastAsia="方正仿宋_GBK" w:cs="Times New Roman"/>
          <w:sz w:val="32"/>
          <w:szCs w:val="32"/>
        </w:rPr>
        <w:t>人员经费用途主要包括发放基本工资，缴纳社保、公积金、职业年金等</w:t>
      </w:r>
      <w:r>
        <w:rPr>
          <w:rFonts w:eastAsia="方正仿宋_GBK" w:cs="Times New Roman"/>
          <w:sz w:val="32"/>
          <w:szCs w:val="32"/>
          <w:highlight w:val="none"/>
        </w:rPr>
        <w:t>。公用经费52.99万元，较上年决算数减少156.01万元，下降74.6%，主要原因是</w:t>
      </w:r>
      <w:r>
        <w:rPr>
          <w:rFonts w:hint="eastAsia" w:eastAsia="方正仿宋_GBK" w:cs="Times New Roman"/>
          <w:sz w:val="32"/>
          <w:szCs w:val="32"/>
          <w:highlight w:val="none"/>
          <w:lang w:val="en-US" w:eastAsia="zh-CN"/>
        </w:rPr>
        <w:t>厉行节约。</w:t>
      </w:r>
      <w:r>
        <w:rPr>
          <w:rFonts w:eastAsia="方正仿宋_GBK" w:cs="Times New Roman"/>
          <w:sz w:val="32"/>
          <w:szCs w:val="32"/>
          <w:highlight w:val="none"/>
        </w:rPr>
        <w:t>公用经费用途主要包括工会经费</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其他交通费</w:t>
      </w:r>
      <w:r>
        <w:rPr>
          <w:rFonts w:eastAsia="方正仿宋_GBK" w:cs="Times New Roman"/>
          <w:sz w:val="32"/>
          <w:szCs w:val="32"/>
          <w:highlight w:val="none"/>
        </w:rPr>
        <w:t>等。</w:t>
      </w:r>
    </w:p>
    <w:p>
      <w:pPr>
        <w:spacing w:line="596" w:lineRule="exact"/>
        <w:ind w:firstLine="684" w:firstLineChars="214"/>
        <w:rPr>
          <w:rFonts w:eastAsia="方正楷体简体" w:cs="Times New Roman"/>
          <w:sz w:val="32"/>
          <w:szCs w:val="32"/>
        </w:rPr>
      </w:pPr>
      <w:r>
        <w:rPr>
          <w:rFonts w:eastAsia="方正楷体简体" w:cs="Times New Roman"/>
          <w:sz w:val="32"/>
          <w:szCs w:val="32"/>
        </w:rPr>
        <w:t>（五）政府性基金预算收支决算情况说明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w:t>
      </w:r>
      <w:r>
        <w:rPr>
          <w:rFonts w:hint="eastAsia" w:eastAsia="方正仿宋_GBK" w:cs="Times New Roman"/>
          <w:sz w:val="32"/>
          <w:szCs w:val="32"/>
        </w:rPr>
        <w:t>无</w:t>
      </w:r>
      <w:r>
        <w:rPr>
          <w:rFonts w:eastAsia="方正仿宋_GBK" w:cs="Times New Roman"/>
          <w:sz w:val="32"/>
          <w:szCs w:val="32"/>
        </w:rPr>
        <w:t>政府性基金预算财政拨款</w:t>
      </w:r>
      <w:r>
        <w:rPr>
          <w:rFonts w:hint="eastAsia" w:eastAsia="方正仿宋_GBK" w:cs="Times New Roman"/>
          <w:sz w:val="32"/>
          <w:szCs w:val="32"/>
        </w:rPr>
        <w:t>收支。</w:t>
      </w:r>
    </w:p>
    <w:p>
      <w:pPr>
        <w:spacing w:line="596" w:lineRule="exact"/>
        <w:ind w:firstLine="684" w:firstLineChars="214"/>
        <w:rPr>
          <w:rFonts w:eastAsia="方正仿宋_GBK" w:cs="Times New Roman"/>
          <w:sz w:val="32"/>
          <w:szCs w:val="32"/>
        </w:rPr>
      </w:pPr>
      <w:r>
        <w:rPr>
          <w:rFonts w:eastAsia="方正楷体简体" w:cs="Times New Roman"/>
          <w:sz w:val="32"/>
          <w:szCs w:val="32"/>
        </w:rPr>
        <w:t>（六）国有资本经营预算财政拨款支出决算情况说明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2022年度无国有资本经营预算财政拨款支出。</w:t>
      </w:r>
    </w:p>
    <w:p>
      <w:pPr>
        <w:spacing w:line="596" w:lineRule="exact"/>
        <w:ind w:firstLine="684" w:firstLineChars="214"/>
        <w:rPr>
          <w:rFonts w:eastAsia="方正黑体_GBK" w:cs="Times New Roman"/>
          <w:sz w:val="32"/>
          <w:szCs w:val="32"/>
        </w:rPr>
      </w:pPr>
      <w:r>
        <w:rPr>
          <w:rFonts w:eastAsia="方正黑体_GBK" w:cs="Times New Roman"/>
          <w:sz w:val="32"/>
          <w:szCs w:val="32"/>
        </w:rPr>
        <w:t>三、“三公”经费情况</w:t>
      </w:r>
    </w:p>
    <w:p>
      <w:pPr>
        <w:spacing w:line="596" w:lineRule="exact"/>
        <w:ind w:firstLine="684" w:firstLineChars="214"/>
        <w:rPr>
          <w:rFonts w:eastAsia="方正楷体简体" w:cs="Times New Roman"/>
          <w:sz w:val="32"/>
          <w:szCs w:val="32"/>
        </w:rPr>
      </w:pPr>
      <w:r>
        <w:rPr>
          <w:rFonts w:eastAsia="方正楷体简体" w:cs="Times New Roman"/>
          <w:sz w:val="32"/>
          <w:szCs w:val="32"/>
        </w:rPr>
        <w:t>（一）“三公”经费支出总体情况说明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2022年度“三公”经费支出共计9.03万元，</w:t>
      </w:r>
      <w:r>
        <w:rPr>
          <w:rFonts w:hint="eastAsia" w:eastAsia="方正仿宋_GBK" w:cs="Times New Roman"/>
          <w:sz w:val="32"/>
          <w:szCs w:val="32"/>
        </w:rPr>
        <w:t>主要用于</w:t>
      </w:r>
      <w:r>
        <w:rPr>
          <w:rFonts w:eastAsia="方正仿宋_GBK" w:cs="Times New Roman"/>
          <w:sz w:val="32"/>
          <w:szCs w:val="32"/>
        </w:rPr>
        <w:t>公务用车运行维护费用</w:t>
      </w:r>
      <w:r>
        <w:rPr>
          <w:rFonts w:hint="eastAsia" w:eastAsia="方正仿宋_GBK" w:cs="Times New Roman"/>
          <w:sz w:val="32"/>
          <w:szCs w:val="32"/>
        </w:rPr>
        <w:t>，</w:t>
      </w:r>
      <w:r>
        <w:rPr>
          <w:rFonts w:eastAsia="方正仿宋_GBK" w:cs="Times New Roman"/>
          <w:sz w:val="32"/>
          <w:szCs w:val="32"/>
        </w:rPr>
        <w:t>较年初预算数增加9.03万元，增长100%，主要原因是年初未安排预算资金。较上年支出数减少2.28万元，下降20%，主要原因是</w:t>
      </w:r>
      <w:r>
        <w:rPr>
          <w:rFonts w:hint="eastAsia" w:eastAsia="方正仿宋_GBK" w:cs="Times New Roman"/>
          <w:sz w:val="32"/>
          <w:szCs w:val="32"/>
        </w:rPr>
        <w:t>单位厉行节约，严格控制公车各项开支。</w:t>
      </w:r>
    </w:p>
    <w:p>
      <w:pPr>
        <w:spacing w:line="596" w:lineRule="exact"/>
        <w:ind w:firstLine="684" w:firstLineChars="214"/>
        <w:rPr>
          <w:rFonts w:eastAsia="方正楷体简体" w:cs="Times New Roman"/>
          <w:sz w:val="32"/>
          <w:szCs w:val="32"/>
        </w:rPr>
      </w:pPr>
      <w:r>
        <w:rPr>
          <w:rFonts w:eastAsia="方正楷体简体" w:cs="Times New Roman"/>
          <w:sz w:val="32"/>
          <w:szCs w:val="32"/>
        </w:rPr>
        <w:t>（二）“三公”经费分项支出情况</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2022年度公务车运行维护费9.03万元，主要用于</w:t>
      </w:r>
      <w:r>
        <w:rPr>
          <w:rFonts w:hint="eastAsia" w:eastAsia="方正仿宋_GBK" w:cs="Times New Roman"/>
          <w:sz w:val="32"/>
          <w:szCs w:val="32"/>
        </w:rPr>
        <w:t>公务用车加油费、过路费、维修费等</w:t>
      </w:r>
      <w:r>
        <w:rPr>
          <w:rFonts w:eastAsia="方正仿宋_GBK" w:cs="Times New Roman"/>
          <w:sz w:val="32"/>
          <w:szCs w:val="32"/>
        </w:rPr>
        <w:t>。费用支出较年初预算数增加9.03万元，增长100%，主要原因是年初未安排预算资金。</w:t>
      </w:r>
      <w:r>
        <w:rPr>
          <w:rFonts w:hint="eastAsia" w:eastAsia="方正仿宋_GBK" w:cs="Times New Roman"/>
          <w:sz w:val="32"/>
          <w:szCs w:val="32"/>
        </w:rPr>
        <w:t>2</w:t>
      </w:r>
      <w:r>
        <w:rPr>
          <w:rFonts w:eastAsia="方正仿宋_GBK" w:cs="Times New Roman"/>
          <w:sz w:val="32"/>
          <w:szCs w:val="32"/>
        </w:rPr>
        <w:t>022</w:t>
      </w:r>
      <w:r>
        <w:rPr>
          <w:rFonts w:hint="eastAsia" w:eastAsia="方正仿宋_GBK" w:cs="Times New Roman"/>
          <w:sz w:val="32"/>
          <w:szCs w:val="32"/>
        </w:rPr>
        <w:t>年度，</w:t>
      </w:r>
      <w:r>
        <w:rPr>
          <w:rFonts w:eastAsia="方正仿宋_GBK" w:cs="Times New Roman"/>
          <w:sz w:val="32"/>
          <w:szCs w:val="32"/>
        </w:rPr>
        <w:t>本部门</w:t>
      </w:r>
      <w:r>
        <w:rPr>
          <w:rFonts w:hint="eastAsia" w:eastAsia="方正仿宋_GBK" w:cs="Times New Roman"/>
          <w:sz w:val="32"/>
          <w:szCs w:val="32"/>
        </w:rPr>
        <w:t>无</w:t>
      </w:r>
      <w:r>
        <w:rPr>
          <w:rFonts w:eastAsia="方正仿宋_GBK" w:cs="Times New Roman"/>
          <w:sz w:val="32"/>
          <w:szCs w:val="32"/>
        </w:rPr>
        <w:t>因公出国（境）费用</w:t>
      </w:r>
      <w:r>
        <w:rPr>
          <w:rFonts w:hint="eastAsia" w:eastAsia="方正仿宋_GBK" w:cs="Times New Roman"/>
          <w:sz w:val="32"/>
          <w:szCs w:val="32"/>
        </w:rPr>
        <w:t>、</w:t>
      </w:r>
      <w:r>
        <w:rPr>
          <w:rFonts w:eastAsia="方正仿宋_GBK" w:cs="Times New Roman"/>
          <w:sz w:val="32"/>
          <w:szCs w:val="32"/>
        </w:rPr>
        <w:t>公务车购置费</w:t>
      </w:r>
      <w:r>
        <w:rPr>
          <w:rFonts w:hint="eastAsia" w:eastAsia="方正仿宋_GBK" w:cs="Times New Roman"/>
          <w:sz w:val="32"/>
          <w:szCs w:val="32"/>
        </w:rPr>
        <w:t>、</w:t>
      </w:r>
      <w:r>
        <w:rPr>
          <w:rFonts w:eastAsia="方正仿宋_GBK" w:cs="Times New Roman"/>
          <w:sz w:val="32"/>
          <w:szCs w:val="32"/>
        </w:rPr>
        <w:t>公务接待费</w:t>
      </w:r>
      <w:r>
        <w:rPr>
          <w:rFonts w:hint="eastAsia" w:eastAsia="方正仿宋_GBK" w:cs="Times New Roman"/>
          <w:sz w:val="32"/>
          <w:szCs w:val="32"/>
        </w:rPr>
        <w:t>。</w:t>
      </w:r>
    </w:p>
    <w:p>
      <w:pPr>
        <w:spacing w:line="596" w:lineRule="exact"/>
        <w:ind w:firstLine="684" w:firstLineChars="214"/>
        <w:rPr>
          <w:rFonts w:eastAsia="方正楷体简体" w:cs="Times New Roman"/>
          <w:sz w:val="32"/>
          <w:szCs w:val="32"/>
        </w:rPr>
      </w:pPr>
      <w:r>
        <w:rPr>
          <w:rFonts w:eastAsia="方正楷体简体" w:cs="Times New Roman"/>
          <w:sz w:val="32"/>
          <w:szCs w:val="32"/>
        </w:rPr>
        <w:t>（三）“三公”经费实物量情况</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本部门因公出国（境）共计0个团组，0人；公务用车购置0辆，公务车保有量为12辆；国内公务接待0批次0人，其中：国内外事接待0批次，0人；国（境）外公务接待0批次，0人。2022年本部门人均接待费0.00元，车均购置费0.00万元，车均维护费0.75万元。</w:t>
      </w:r>
    </w:p>
    <w:p>
      <w:pPr>
        <w:spacing w:line="596" w:lineRule="exact"/>
        <w:ind w:firstLine="684" w:firstLineChars="214"/>
        <w:rPr>
          <w:rFonts w:eastAsia="方正黑体_GBK" w:cs="Times New Roman"/>
          <w:sz w:val="32"/>
          <w:szCs w:val="32"/>
        </w:rPr>
      </w:pPr>
      <w:r>
        <w:rPr>
          <w:rFonts w:eastAsia="方正黑体_GBK" w:cs="Times New Roman"/>
          <w:sz w:val="32"/>
          <w:szCs w:val="32"/>
        </w:rPr>
        <w:t>四、其他重要事项</w:t>
      </w:r>
    </w:p>
    <w:p>
      <w:pPr>
        <w:spacing w:line="596" w:lineRule="exact"/>
        <w:ind w:firstLine="684" w:firstLineChars="214"/>
        <w:rPr>
          <w:rFonts w:eastAsia="方正楷体简体" w:cs="Times New Roman"/>
          <w:sz w:val="32"/>
          <w:szCs w:val="32"/>
        </w:rPr>
      </w:pPr>
      <w:r>
        <w:rPr>
          <w:rFonts w:eastAsia="方正楷体简体" w:cs="Times New Roman"/>
          <w:sz w:val="32"/>
          <w:szCs w:val="32"/>
        </w:rPr>
        <w:t>（一）机关运行经费情况说明</w:t>
      </w:r>
    </w:p>
    <w:p>
      <w:pPr>
        <w:spacing w:line="596" w:lineRule="exact"/>
        <w:ind w:firstLine="684" w:firstLineChars="214"/>
        <w:rPr>
          <w:rFonts w:hint="eastAsia" w:eastAsia="方正仿宋_GBK" w:cs="Times New Roman"/>
          <w:sz w:val="32"/>
          <w:szCs w:val="32"/>
          <w:lang w:val="en-US" w:eastAsia="zh-CN"/>
        </w:rPr>
      </w:pPr>
      <w:r>
        <w:rPr>
          <w:rFonts w:eastAsia="方正仿宋_GBK" w:cs="Times New Roman"/>
          <w:sz w:val="32"/>
          <w:szCs w:val="32"/>
        </w:rPr>
        <w:t>2022年度本部门机关运行经费支出52.99万元，机关运行经费主要用于培训费、工会经费、其他交通费用等。机关运行经费较上年决算数减少156.01万元，下降74.6%，主要原因是</w:t>
      </w:r>
      <w:r>
        <w:rPr>
          <w:rFonts w:hint="eastAsia" w:eastAsia="方正仿宋_GBK" w:cs="Times New Roman"/>
          <w:sz w:val="32"/>
          <w:szCs w:val="32"/>
          <w:lang w:val="en-US" w:eastAsia="zh-CN"/>
        </w:rPr>
        <w:t>厉行节约。</w:t>
      </w:r>
    </w:p>
    <w:p>
      <w:pPr>
        <w:spacing w:line="596" w:lineRule="exact"/>
        <w:ind w:firstLine="684" w:firstLineChars="214"/>
        <w:rPr>
          <w:rFonts w:eastAsia="方正楷体简体" w:cs="Times New Roman"/>
          <w:sz w:val="32"/>
          <w:szCs w:val="32"/>
        </w:rPr>
      </w:pPr>
      <w:r>
        <w:rPr>
          <w:rFonts w:eastAsia="方正楷体简体" w:cs="Times New Roman"/>
          <w:sz w:val="32"/>
          <w:szCs w:val="32"/>
        </w:rPr>
        <w:t>（二）国有资产占用情况说明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截至2022年12月31日，本部门共有车辆12辆，其中，副部（省）级及以上领导用车0辆、主要领导干部用车0辆、机要通信用车0辆、应急保障用车12辆、执法执勤用车0辆，特种专业技术用车0辆，离退休干部用车0辆，其他用车0辆。</w:t>
      </w:r>
    </w:p>
    <w:p>
      <w:pPr>
        <w:spacing w:line="596" w:lineRule="exact"/>
        <w:ind w:firstLine="684" w:firstLineChars="214"/>
        <w:rPr>
          <w:rFonts w:eastAsia="方正楷体简体" w:cs="Times New Roman"/>
          <w:sz w:val="32"/>
          <w:szCs w:val="32"/>
        </w:rPr>
      </w:pPr>
      <w:r>
        <w:rPr>
          <w:rFonts w:eastAsia="方正楷体简体" w:cs="Times New Roman"/>
          <w:sz w:val="32"/>
          <w:szCs w:val="32"/>
        </w:rPr>
        <w:t>（三）政府采购支出情况说明</w:t>
      </w:r>
    </w:p>
    <w:p>
      <w:pPr>
        <w:spacing w:line="596" w:lineRule="exact"/>
        <w:ind w:firstLine="684" w:firstLineChars="214"/>
        <w:rPr>
          <w:rFonts w:eastAsia="方正仿宋_GBK" w:cs="Times New Roman"/>
          <w:sz w:val="32"/>
          <w:szCs w:val="32"/>
        </w:rPr>
      </w:pPr>
      <w:r>
        <w:rPr>
          <w:rFonts w:eastAsia="方正仿宋_GBK" w:cs="Times New Roman"/>
          <w:sz w:val="32"/>
          <w:szCs w:val="32"/>
        </w:rPr>
        <w:t>2022年度本部门政府采购支出总额201.98万元，其中：政府采购货物支出2.60万元、政府采购工程支出0.00万元、政府采购服务支出199.38万元。授予中小企业合同金额11.98万元，占政府采购支出总额的5.9%，其中：授予小微企业合同金额6.38万元，占政府采购支出总额的3.1%。主要用于采</w:t>
      </w:r>
      <w:bookmarkStart w:id="0" w:name="_GoBack"/>
      <w:bookmarkEnd w:id="0"/>
      <w:r>
        <w:rPr>
          <w:rFonts w:eastAsia="方正仿宋_GBK" w:cs="Times New Roman"/>
          <w:sz w:val="32"/>
          <w:szCs w:val="32"/>
        </w:rPr>
        <w:t>购办公设施设备。</w:t>
      </w:r>
    </w:p>
    <w:p>
      <w:pPr>
        <w:numPr>
          <w:ilvl w:val="0"/>
          <w:numId w:val="1"/>
        </w:numPr>
        <w:spacing w:line="596" w:lineRule="exact"/>
        <w:ind w:firstLine="684" w:firstLineChars="214"/>
        <w:rPr>
          <w:rFonts w:hint="eastAsia" w:eastAsia="方正黑体_GBK" w:cs="Times New Roman"/>
          <w:sz w:val="32"/>
          <w:szCs w:val="32"/>
          <w:lang w:val="en-US" w:eastAsia="zh-CN"/>
        </w:rPr>
      </w:pPr>
      <w:r>
        <w:rPr>
          <w:rFonts w:eastAsia="方正黑体_GBK" w:cs="Times New Roman"/>
          <w:sz w:val="32"/>
          <w:szCs w:val="32"/>
        </w:rPr>
        <w:t>预算绩效管理</w:t>
      </w:r>
      <w:r>
        <w:rPr>
          <w:rFonts w:hint="eastAsia" w:eastAsia="方正黑体_GBK" w:cs="Times New Roman"/>
          <w:sz w:val="32"/>
          <w:szCs w:val="32"/>
          <w:lang w:val="en-US" w:eastAsia="zh-CN"/>
        </w:rPr>
        <w:t>情况</w:t>
      </w:r>
    </w:p>
    <w:p>
      <w:pPr>
        <w:numPr>
          <w:numId w:val="0"/>
        </w:numPr>
        <w:spacing w:line="596" w:lineRule="exact"/>
        <w:ind w:firstLine="640" w:firstLineChars="200"/>
        <w:rPr>
          <w:rFonts w:hint="eastAsia" w:eastAsia="方正仿宋_GBK" w:cs="Times New Roman"/>
          <w:sz w:val="32"/>
          <w:szCs w:val="32"/>
          <w:highlight w:val="none"/>
          <w:lang w:eastAsia="zh-CN"/>
        </w:rPr>
      </w:pPr>
      <w:r>
        <w:rPr>
          <w:rFonts w:eastAsia="方正仿宋_GBK" w:cs="Times New Roman"/>
          <w:sz w:val="32"/>
          <w:szCs w:val="32"/>
          <w:highlight w:val="none"/>
        </w:rPr>
        <w:t>根据预算绩效管理要求，我中心对</w:t>
      </w:r>
      <w:r>
        <w:rPr>
          <w:rFonts w:hint="eastAsia" w:eastAsia="方正仿宋_GBK" w:cs="Times New Roman"/>
          <w:sz w:val="32"/>
          <w:szCs w:val="32"/>
          <w:highlight w:val="none"/>
          <w:lang w:val="en-US" w:eastAsia="zh-CN"/>
        </w:rPr>
        <w:t>2个项目</w:t>
      </w:r>
      <w:r>
        <w:rPr>
          <w:rFonts w:eastAsia="方正仿宋_GBK" w:cs="Times New Roman"/>
          <w:sz w:val="32"/>
          <w:szCs w:val="32"/>
          <w:highlight w:val="none"/>
        </w:rPr>
        <w:t>开展了绩效自评，其中，以填报自评表形式开展自评</w:t>
      </w:r>
      <w:r>
        <w:rPr>
          <w:rFonts w:hint="eastAsia" w:eastAsia="方正仿宋_GBK" w:cs="Times New Roman"/>
          <w:sz w:val="32"/>
          <w:szCs w:val="32"/>
          <w:highlight w:val="none"/>
          <w:lang w:val="en-US" w:eastAsia="zh-CN"/>
        </w:rPr>
        <w:t>2项</w:t>
      </w:r>
      <w:r>
        <w:rPr>
          <w:rFonts w:eastAsia="方正仿宋_GBK" w:cs="Times New Roman"/>
          <w:sz w:val="32"/>
          <w:szCs w:val="32"/>
          <w:highlight w:val="none"/>
        </w:rPr>
        <w:t>，涉及资金2</w:t>
      </w:r>
      <w:r>
        <w:rPr>
          <w:rFonts w:hint="eastAsia" w:eastAsia="方正仿宋_GBK" w:cs="Times New Roman"/>
          <w:sz w:val="32"/>
          <w:szCs w:val="32"/>
          <w:highlight w:val="none"/>
          <w:lang w:val="en-US" w:eastAsia="zh-CN"/>
        </w:rPr>
        <w:t>1236</w:t>
      </w:r>
      <w:r>
        <w:rPr>
          <w:rFonts w:eastAsia="方正仿宋_GBK" w:cs="Times New Roman"/>
          <w:sz w:val="32"/>
          <w:szCs w:val="32"/>
          <w:highlight w:val="none"/>
        </w:rPr>
        <w:t>万元</w:t>
      </w:r>
      <w:r>
        <w:rPr>
          <w:rFonts w:hint="eastAsia" w:eastAsia="方正仿宋_GBK" w:cs="Times New Roman"/>
          <w:sz w:val="32"/>
          <w:szCs w:val="32"/>
          <w:highlight w:val="none"/>
          <w:lang w:eastAsia="zh-CN"/>
        </w:rPr>
        <w:t>，从评价情况来看,项目执行情况较好，有力保障了军休干部政治待遇和生活待遇。</w:t>
      </w:r>
    </w:p>
    <w:p>
      <w:pPr>
        <w:spacing w:line="596" w:lineRule="exact"/>
        <w:ind w:firstLine="684" w:firstLineChars="214"/>
        <w:rPr>
          <w:rFonts w:hint="eastAsia" w:eastAsia="方正黑体_GBK" w:cs="Times New Roman"/>
          <w:sz w:val="32"/>
          <w:szCs w:val="32"/>
        </w:rPr>
      </w:pPr>
      <w:r>
        <w:rPr>
          <w:rFonts w:eastAsia="方正黑体_GBK" w:cs="Times New Roman"/>
          <w:sz w:val="32"/>
          <w:szCs w:val="32"/>
        </w:rPr>
        <w:t>六、专业名词解释</w:t>
      </w:r>
    </w:p>
    <w:p>
      <w:pPr>
        <w:spacing w:line="596" w:lineRule="exact"/>
        <w:ind w:firstLine="684" w:firstLineChars="214"/>
        <w:rPr>
          <w:rFonts w:eastAsia="方正仿宋_GBK" w:cs="Times New Roman"/>
          <w:sz w:val="32"/>
          <w:szCs w:val="32"/>
        </w:rPr>
      </w:pPr>
      <w:r>
        <w:rPr>
          <w:rFonts w:eastAsia="方正楷体简体" w:cs="Times New Roman"/>
          <w:sz w:val="32"/>
          <w:szCs w:val="32"/>
        </w:rPr>
        <w:t>（一）财政拨款收入：</w:t>
      </w:r>
      <w:r>
        <w:rPr>
          <w:rFonts w:eastAsia="方正仿宋_GBK" w:cs="Times New Roman"/>
          <w:sz w:val="32"/>
          <w:szCs w:val="32"/>
        </w:rPr>
        <w:t>指本年度从本级财政部门取得的财政拨款，包括一般公共预算财政拨款和政府性基金预算财政拨款。</w:t>
      </w:r>
    </w:p>
    <w:p>
      <w:pPr>
        <w:spacing w:line="596" w:lineRule="exact"/>
        <w:ind w:firstLine="684" w:firstLineChars="214"/>
        <w:rPr>
          <w:rFonts w:eastAsia="方正仿宋_GBK" w:cs="Times New Roman"/>
          <w:sz w:val="32"/>
          <w:szCs w:val="32"/>
        </w:rPr>
      </w:pPr>
      <w:r>
        <w:rPr>
          <w:rFonts w:eastAsia="方正楷体简体" w:cs="Times New Roman"/>
          <w:sz w:val="32"/>
          <w:szCs w:val="32"/>
        </w:rPr>
        <w:t>（二）事业收入：</w:t>
      </w:r>
      <w:r>
        <w:rPr>
          <w:rFonts w:eastAsia="方正仿宋_GBK" w:cs="Times New Roman"/>
          <w:sz w:val="32"/>
          <w:szCs w:val="32"/>
        </w:rPr>
        <w:t>指事业单位开展专业业务活动及其辅助活动取得的现金流入；事业单位收到的财政专户实际核拨的教育收费等资金在此反映。</w:t>
      </w:r>
    </w:p>
    <w:p>
      <w:pPr>
        <w:spacing w:line="596" w:lineRule="exact"/>
        <w:ind w:firstLine="684" w:firstLineChars="214"/>
        <w:rPr>
          <w:rFonts w:eastAsia="方正仿宋_GBK" w:cs="Times New Roman"/>
          <w:sz w:val="32"/>
          <w:szCs w:val="32"/>
        </w:rPr>
      </w:pPr>
      <w:r>
        <w:rPr>
          <w:rFonts w:eastAsia="方正楷体简体" w:cs="Times New Roman"/>
          <w:sz w:val="32"/>
          <w:szCs w:val="32"/>
        </w:rPr>
        <w:t>（三）经营收入：</w:t>
      </w:r>
      <w:r>
        <w:rPr>
          <w:rFonts w:eastAsia="方正仿宋_GBK" w:cs="Times New Roman"/>
          <w:sz w:val="32"/>
          <w:szCs w:val="32"/>
        </w:rPr>
        <w:t>指事业单位在专业业务活动及其辅助活动之外开展非独立核算经营活动取得的现金流入。</w:t>
      </w:r>
    </w:p>
    <w:p>
      <w:pPr>
        <w:spacing w:line="596" w:lineRule="exact"/>
        <w:ind w:firstLine="684" w:firstLineChars="214"/>
        <w:rPr>
          <w:rFonts w:eastAsia="方正仿宋_GBK" w:cs="Times New Roman"/>
          <w:sz w:val="32"/>
          <w:szCs w:val="32"/>
        </w:rPr>
      </w:pPr>
      <w:r>
        <w:rPr>
          <w:rFonts w:eastAsia="方正楷体简体" w:cs="Times New Roman"/>
          <w:sz w:val="32"/>
          <w:szCs w:val="32"/>
        </w:rPr>
        <w:t>（四）其他收入：</w:t>
      </w:r>
      <w:r>
        <w:rPr>
          <w:rFonts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6" w:lineRule="exact"/>
        <w:ind w:firstLine="684" w:firstLineChars="214"/>
        <w:rPr>
          <w:rFonts w:eastAsia="方正仿宋_GBK" w:cs="Times New Roman"/>
          <w:sz w:val="32"/>
          <w:szCs w:val="32"/>
        </w:rPr>
      </w:pPr>
      <w:r>
        <w:rPr>
          <w:rFonts w:eastAsia="方正楷体简体" w:cs="Times New Roman"/>
          <w:sz w:val="32"/>
          <w:szCs w:val="32"/>
        </w:rPr>
        <w:t>（五）使用非财政拨款结余：</w:t>
      </w:r>
      <w:r>
        <w:rPr>
          <w:rFonts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spacing w:line="596" w:lineRule="exact"/>
        <w:ind w:firstLine="684" w:firstLineChars="214"/>
        <w:rPr>
          <w:rFonts w:eastAsia="方正仿宋_GBK" w:cs="Times New Roman"/>
          <w:sz w:val="32"/>
          <w:szCs w:val="32"/>
        </w:rPr>
      </w:pPr>
      <w:r>
        <w:rPr>
          <w:rFonts w:eastAsia="方正楷体简体" w:cs="Times New Roman"/>
          <w:sz w:val="32"/>
          <w:szCs w:val="32"/>
        </w:rPr>
        <w:t>（六）年初结转和结余：</w:t>
      </w:r>
      <w:r>
        <w:rPr>
          <w:rFonts w:eastAsia="方正仿宋_GBK" w:cs="Times New Roman"/>
          <w:sz w:val="32"/>
          <w:szCs w:val="32"/>
        </w:rPr>
        <w:t>指单位上年结转本年使用的基本支出结转、项目支出结转和结余、经营结余。</w:t>
      </w:r>
    </w:p>
    <w:p>
      <w:pPr>
        <w:spacing w:line="596" w:lineRule="exact"/>
        <w:ind w:firstLine="684" w:firstLineChars="214"/>
        <w:rPr>
          <w:rFonts w:eastAsia="方正仿宋_GBK" w:cs="Times New Roman"/>
          <w:sz w:val="32"/>
          <w:szCs w:val="32"/>
        </w:rPr>
      </w:pPr>
      <w:r>
        <w:rPr>
          <w:rFonts w:eastAsia="方正楷体简体" w:cs="Times New Roman"/>
          <w:sz w:val="32"/>
          <w:szCs w:val="32"/>
        </w:rPr>
        <w:t>（七）结余分配：</w:t>
      </w:r>
      <w:r>
        <w:rPr>
          <w:rFonts w:eastAsia="方正仿宋_GBK" w:cs="Times New Roman"/>
          <w:sz w:val="32"/>
          <w:szCs w:val="32"/>
        </w:rPr>
        <w:t>指单位按照国家有关规定，缴纳所得税、提取专用基金、转入非财政拨款结余等当年结余的分配情况。</w:t>
      </w:r>
    </w:p>
    <w:p>
      <w:pPr>
        <w:spacing w:line="596" w:lineRule="exact"/>
        <w:ind w:firstLine="684" w:firstLineChars="214"/>
        <w:rPr>
          <w:rFonts w:eastAsia="方正仿宋_GBK" w:cs="Times New Roman"/>
          <w:sz w:val="32"/>
          <w:szCs w:val="32"/>
        </w:rPr>
      </w:pPr>
      <w:r>
        <w:rPr>
          <w:rFonts w:eastAsia="方正楷体简体" w:cs="Times New Roman"/>
          <w:sz w:val="32"/>
          <w:szCs w:val="32"/>
        </w:rPr>
        <w:t>（八）年末结转和结余：</w:t>
      </w:r>
      <w:r>
        <w:rPr>
          <w:rFonts w:eastAsia="方正仿宋_GBK" w:cs="Times New Roman"/>
          <w:sz w:val="32"/>
          <w:szCs w:val="32"/>
        </w:rPr>
        <w:t>指单位结转下年的基本支出结转、项目支出结转和结余、经营结余。</w:t>
      </w:r>
    </w:p>
    <w:p>
      <w:pPr>
        <w:spacing w:line="596" w:lineRule="exact"/>
        <w:ind w:firstLine="684" w:firstLineChars="214"/>
        <w:rPr>
          <w:rFonts w:eastAsia="方正仿宋_GBK" w:cs="Times New Roman"/>
          <w:sz w:val="32"/>
          <w:szCs w:val="32"/>
        </w:rPr>
      </w:pPr>
      <w:r>
        <w:rPr>
          <w:rFonts w:eastAsia="方正楷体简体" w:cs="Times New Roman"/>
          <w:sz w:val="32"/>
          <w:szCs w:val="32"/>
        </w:rPr>
        <w:t>（九）基本支出：</w:t>
      </w:r>
      <w:r>
        <w:rPr>
          <w:rFonts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6" w:lineRule="exact"/>
        <w:ind w:firstLine="684" w:firstLineChars="214"/>
        <w:rPr>
          <w:rFonts w:eastAsia="方正仿宋_GBK" w:cs="Times New Roman"/>
          <w:sz w:val="32"/>
          <w:szCs w:val="32"/>
        </w:rPr>
      </w:pPr>
      <w:r>
        <w:rPr>
          <w:rFonts w:eastAsia="方正楷体简体" w:cs="Times New Roman"/>
          <w:sz w:val="32"/>
          <w:szCs w:val="32"/>
        </w:rPr>
        <w:t>（十）项目支出：</w:t>
      </w:r>
      <w:r>
        <w:rPr>
          <w:rFonts w:eastAsia="方正仿宋_GBK" w:cs="Times New Roman"/>
          <w:sz w:val="32"/>
          <w:szCs w:val="32"/>
        </w:rPr>
        <w:t>指在基本支出之外为完成特定行政任务和事业发展目标所发生的支出。</w:t>
      </w:r>
    </w:p>
    <w:p>
      <w:pPr>
        <w:spacing w:line="596" w:lineRule="exact"/>
        <w:ind w:firstLine="684" w:firstLineChars="214"/>
        <w:rPr>
          <w:rFonts w:eastAsia="方正仿宋_GBK" w:cs="Times New Roman"/>
          <w:sz w:val="32"/>
          <w:szCs w:val="32"/>
        </w:rPr>
      </w:pPr>
      <w:r>
        <w:rPr>
          <w:rFonts w:eastAsia="方正楷体简体" w:cs="Times New Roman"/>
          <w:sz w:val="32"/>
          <w:szCs w:val="32"/>
        </w:rPr>
        <w:t>（十一）经营支出：</w:t>
      </w:r>
      <w:r>
        <w:rPr>
          <w:rFonts w:eastAsia="方正仿宋_GBK" w:cs="Times New Roman"/>
          <w:sz w:val="32"/>
          <w:szCs w:val="32"/>
        </w:rPr>
        <w:t>指事业单位在专业业务活动及其辅助活动之外开展非独立核算经营活动发生的支出。</w:t>
      </w:r>
    </w:p>
    <w:p>
      <w:pPr>
        <w:spacing w:line="596" w:lineRule="exact"/>
        <w:ind w:firstLine="684" w:firstLineChars="214"/>
        <w:rPr>
          <w:rFonts w:eastAsia="方正仿宋_GBK" w:cs="Times New Roman"/>
          <w:sz w:val="32"/>
          <w:szCs w:val="32"/>
        </w:rPr>
      </w:pPr>
      <w:r>
        <w:rPr>
          <w:rFonts w:eastAsia="方正楷体简体" w:cs="Times New Roman"/>
          <w:sz w:val="32"/>
          <w:szCs w:val="32"/>
        </w:rPr>
        <w:t>（十二）“三公”经费：</w:t>
      </w:r>
      <w:r>
        <w:rPr>
          <w:rFonts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6" w:lineRule="exact"/>
        <w:ind w:firstLine="684" w:firstLineChars="214"/>
        <w:rPr>
          <w:rFonts w:eastAsia="方正仿宋_GBK" w:cs="Times New Roman"/>
          <w:sz w:val="32"/>
          <w:szCs w:val="32"/>
        </w:rPr>
      </w:pPr>
      <w:r>
        <w:rPr>
          <w:rFonts w:eastAsia="方正楷体简体" w:cs="Times New Roman"/>
          <w:sz w:val="32"/>
          <w:szCs w:val="32"/>
        </w:rPr>
        <w:t>（十三）机关运行经费：</w:t>
      </w:r>
      <w:r>
        <w:rPr>
          <w:rFonts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96" w:lineRule="exact"/>
        <w:ind w:firstLine="684" w:firstLineChars="214"/>
        <w:rPr>
          <w:rFonts w:eastAsia="方正仿宋_GBK" w:cs="Times New Roman"/>
          <w:sz w:val="32"/>
          <w:szCs w:val="32"/>
        </w:rPr>
      </w:pPr>
      <w:r>
        <w:rPr>
          <w:rFonts w:eastAsia="方正楷体简体" w:cs="Times New Roman"/>
          <w:sz w:val="32"/>
          <w:szCs w:val="32"/>
        </w:rPr>
        <w:t>（十四）工资福利支出（支出经济分类科目类级）：</w:t>
      </w:r>
      <w:r>
        <w:rPr>
          <w:rFonts w:eastAsia="方正仿宋_GBK" w:cs="Times New Roman"/>
          <w:sz w:val="32"/>
          <w:szCs w:val="32"/>
        </w:rPr>
        <w:t>反映单位开支的在职职工和编制外长期聘用人员的各类劳动报酬，以及为上述人员缴纳的各项社会保险费等。</w:t>
      </w:r>
    </w:p>
    <w:p>
      <w:pPr>
        <w:spacing w:line="596" w:lineRule="exact"/>
        <w:ind w:firstLine="684" w:firstLineChars="214"/>
        <w:rPr>
          <w:rFonts w:eastAsia="方正仿宋_GBK" w:cs="Times New Roman"/>
          <w:sz w:val="32"/>
          <w:szCs w:val="32"/>
        </w:rPr>
      </w:pPr>
      <w:r>
        <w:rPr>
          <w:rFonts w:eastAsia="方正楷体简体" w:cs="Times New Roman"/>
          <w:sz w:val="32"/>
          <w:szCs w:val="32"/>
        </w:rPr>
        <w:t>（十五）商品和服务支出（支出经济分类科目类级）：</w:t>
      </w:r>
      <w:r>
        <w:rPr>
          <w:rFonts w:eastAsia="方正仿宋_GBK" w:cs="Times New Roman"/>
          <w:sz w:val="32"/>
          <w:szCs w:val="32"/>
        </w:rPr>
        <w:t>反映单位购买商品和服务的支出（不包括用于购置固定资产的支出、战略性和应急储备支出）。</w:t>
      </w:r>
    </w:p>
    <w:p>
      <w:pPr>
        <w:spacing w:line="596" w:lineRule="exact"/>
        <w:ind w:firstLine="684" w:firstLineChars="214"/>
        <w:rPr>
          <w:rFonts w:eastAsia="方正仿宋_GBK" w:cs="Times New Roman"/>
          <w:sz w:val="32"/>
          <w:szCs w:val="32"/>
        </w:rPr>
      </w:pPr>
      <w:r>
        <w:rPr>
          <w:rFonts w:eastAsia="方正楷体简体" w:cs="Times New Roman"/>
          <w:sz w:val="32"/>
          <w:szCs w:val="32"/>
        </w:rPr>
        <w:t>（十六）对个人和家庭的补助（支出经济分类科目类级）：</w:t>
      </w:r>
      <w:r>
        <w:rPr>
          <w:rFonts w:eastAsia="方正仿宋_GBK" w:cs="Times New Roman"/>
          <w:sz w:val="32"/>
          <w:szCs w:val="32"/>
        </w:rPr>
        <w:t>反映用于对个人和家庭的补助支出。</w:t>
      </w:r>
    </w:p>
    <w:p>
      <w:pPr>
        <w:spacing w:line="596" w:lineRule="exact"/>
        <w:ind w:firstLine="684" w:firstLineChars="214"/>
        <w:rPr>
          <w:rFonts w:eastAsia="方正仿宋_GBK" w:cs="Times New Roman"/>
          <w:sz w:val="32"/>
          <w:szCs w:val="32"/>
        </w:rPr>
      </w:pPr>
      <w:r>
        <w:rPr>
          <w:rFonts w:eastAsia="方正楷体简体" w:cs="Times New Roman"/>
          <w:sz w:val="32"/>
          <w:szCs w:val="32"/>
        </w:rPr>
        <w:t>（十七）其他资本性支出（支出经济分类科目类级）：</w:t>
      </w:r>
      <w:r>
        <w:rPr>
          <w:rFonts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spacing w:line="596" w:lineRule="exact"/>
        <w:ind w:firstLine="684" w:firstLineChars="214"/>
        <w:rPr>
          <w:rFonts w:eastAsia="方正黑体_GBK" w:cs="Times New Roman"/>
          <w:sz w:val="32"/>
          <w:szCs w:val="32"/>
        </w:rPr>
      </w:pPr>
      <w:r>
        <w:rPr>
          <w:rFonts w:eastAsia="方正黑体_GBK" w:cs="Times New Roman"/>
          <w:sz w:val="32"/>
          <w:szCs w:val="32"/>
        </w:rPr>
        <w:t>七、决算公开联系方式及信息反馈渠道</w:t>
      </w:r>
    </w:p>
    <w:p>
      <w:pPr>
        <w:spacing w:line="596" w:lineRule="exact"/>
        <w:ind w:firstLine="684" w:firstLineChars="214"/>
        <w:rPr>
          <w:rFonts w:eastAsia="方正仿宋_GBK" w:cs="Times New Roman"/>
          <w:sz w:val="32"/>
          <w:szCs w:val="32"/>
        </w:rPr>
      </w:pPr>
      <w:r>
        <w:rPr>
          <w:rFonts w:eastAsia="方正仿宋_GBK" w:cs="Times New Roman"/>
          <w:sz w:val="32"/>
          <w:szCs w:val="32"/>
        </w:rPr>
        <w:t>本单位决算公开信息反馈和联系方式：023-63303882</w:t>
      </w:r>
    </w:p>
    <w:sectPr>
      <w:pgSz w:w="11906" w:h="16838"/>
      <w:pgMar w:top="1701"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Microsoft YaHei UI"/>
    <w:panose1 w:val="03000509000000000000"/>
    <w:charset w:val="86"/>
    <w:family w:val="script"/>
    <w:pitch w:val="default"/>
    <w:sig w:usb0="00000000" w:usb1="00000000" w:usb2="00000010" w:usb3="00000000" w:csb0="00040000" w:csb1="00000000"/>
  </w:font>
  <w:font w:name="方正黑体_GBK">
    <w:altName w:val="Microsoft YaHei UI"/>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E38C5"/>
    <w:multiLevelType w:val="singleLevel"/>
    <w:tmpl w:val="059E38C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hYThmZmIxMDJlMWJiZDAwY2I5YzU3Y2NiZGRiNDIifQ=="/>
  </w:docVars>
  <w:rsids>
    <w:rsidRoot w:val="00C115C9"/>
    <w:rsid w:val="00176A2F"/>
    <w:rsid w:val="001B6379"/>
    <w:rsid w:val="001C1141"/>
    <w:rsid w:val="00257BDF"/>
    <w:rsid w:val="003310A5"/>
    <w:rsid w:val="004B3E3E"/>
    <w:rsid w:val="00501194"/>
    <w:rsid w:val="00514A93"/>
    <w:rsid w:val="006F555C"/>
    <w:rsid w:val="008628CF"/>
    <w:rsid w:val="008A19F0"/>
    <w:rsid w:val="009A6029"/>
    <w:rsid w:val="009B38C9"/>
    <w:rsid w:val="009E5D99"/>
    <w:rsid w:val="00A252BD"/>
    <w:rsid w:val="00A70062"/>
    <w:rsid w:val="00B0191E"/>
    <w:rsid w:val="00B27D08"/>
    <w:rsid w:val="00BB1CEF"/>
    <w:rsid w:val="00C115C9"/>
    <w:rsid w:val="00CA3213"/>
    <w:rsid w:val="00CC5CFB"/>
    <w:rsid w:val="00E27393"/>
    <w:rsid w:val="00EA52D8"/>
    <w:rsid w:val="00F35530"/>
    <w:rsid w:val="00F54A66"/>
    <w:rsid w:val="266727E3"/>
    <w:rsid w:val="2A5D7228"/>
    <w:rsid w:val="2BD85516"/>
    <w:rsid w:val="4C8322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3726</Words>
  <Characters>4118</Characters>
  <Lines>30</Lines>
  <Paragraphs>8</Paragraphs>
  <TotalTime>240</TotalTime>
  <ScaleCrop>false</ScaleCrop>
  <LinksUpToDate>false</LinksUpToDate>
  <CharactersWithSpaces>4118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2023-08-21T08:18:00Z</dcterms:created>
  <dc:creator>Administrator</dc:creator>
  <cp:lastModifiedBy>Administrator</cp:lastModifiedBy>
  <cp:lastPrinted>2023-08-22T09:40:00Z</cp:lastPrinted>
  <dcterms:modified xsi:type="dcterms:W3CDTF">2023-08-24T06:59:32Z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18B3611DB6644ED88853B73B504C8957_12</vt:lpwstr>
  </property>
</Properties>
</file>