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30" w:type="dxa"/>
        <w:tblInd w:w="0" w:type="dxa"/>
        <w:tblLayout w:type="fixed"/>
        <w:tblCellMar>
          <w:top w:w="0" w:type="dxa"/>
          <w:left w:w="0" w:type="dxa"/>
          <w:bottom w:w="0" w:type="dxa"/>
          <w:right w:w="0" w:type="dxa"/>
        </w:tblCellMar>
      </w:tblPr>
      <w:tblGrid>
        <w:gridCol w:w="304"/>
        <w:gridCol w:w="1194"/>
        <w:gridCol w:w="1225"/>
        <w:gridCol w:w="1763"/>
        <w:gridCol w:w="1043"/>
        <w:gridCol w:w="783"/>
        <w:gridCol w:w="1020"/>
        <w:gridCol w:w="998"/>
      </w:tblGrid>
      <w:tr>
        <w:tblPrEx>
          <w:tblCellMar>
            <w:top w:w="0" w:type="dxa"/>
            <w:left w:w="0" w:type="dxa"/>
            <w:bottom w:w="0" w:type="dxa"/>
            <w:right w:w="0" w:type="dxa"/>
          </w:tblCellMar>
        </w:tblPrEx>
        <w:trPr>
          <w:trHeight w:val="570" w:hRule="atLeast"/>
        </w:trPr>
        <w:tc>
          <w:tcPr>
            <w:tcW w:w="8330" w:type="dxa"/>
            <w:gridSpan w:val="8"/>
            <w:tcBorders>
              <w:top w:val="nil"/>
              <w:left w:val="nil"/>
              <w:bottom w:val="nil"/>
              <w:right w:val="nil"/>
            </w:tcBorders>
            <w:tcMar>
              <w:top w:w="12" w:type="dxa"/>
              <w:left w:w="12" w:type="dxa"/>
              <w:right w:w="12" w:type="dxa"/>
            </w:tcMar>
            <w:vAlign w:val="center"/>
          </w:tcPr>
          <w:p>
            <w:pPr>
              <w:widowControl/>
              <w:jc w:val="center"/>
              <w:textAlignment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36"/>
                <w:szCs w:val="36"/>
              </w:rPr>
              <w:t>2020年度抗疫特别国债项目绩效目标申报表</w:t>
            </w:r>
          </w:p>
        </w:tc>
      </w:tr>
      <w:tr>
        <w:tblPrEx>
          <w:tblCellMar>
            <w:top w:w="0" w:type="dxa"/>
            <w:left w:w="0" w:type="dxa"/>
            <w:bottom w:w="0" w:type="dxa"/>
            <w:right w:w="0" w:type="dxa"/>
          </w:tblCellMar>
        </w:tblPrEx>
        <w:trPr>
          <w:trHeight w:val="309" w:hRule="atLeast"/>
        </w:trPr>
        <w:tc>
          <w:tcPr>
            <w:tcW w:w="6312" w:type="dxa"/>
            <w:gridSpan w:val="6"/>
            <w:tcBorders>
              <w:top w:val="nil"/>
              <w:left w:val="nil"/>
              <w:bottom w:val="nil"/>
              <w:right w:val="nil"/>
            </w:tcBorders>
            <w:noWrap/>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p>
        </w:tc>
        <w:tc>
          <w:tcPr>
            <w:tcW w:w="2018" w:type="dxa"/>
            <w:gridSpan w:val="2"/>
            <w:tcBorders>
              <w:top w:val="nil"/>
              <w:left w:val="nil"/>
              <w:bottom w:val="nil"/>
              <w:right w:val="nil"/>
            </w:tcBorders>
            <w:tcMar>
              <w:top w:w="12" w:type="dxa"/>
              <w:left w:w="12" w:type="dxa"/>
              <w:right w:w="12" w:type="dxa"/>
            </w:tcMar>
            <w:vAlign w:val="center"/>
          </w:tcPr>
          <w:p>
            <w:pPr>
              <w:widowControl/>
              <w:spacing w:line="320" w:lineRule="exact"/>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单位：万元</w:t>
            </w:r>
          </w:p>
        </w:tc>
      </w:tr>
      <w:tr>
        <w:tblPrEx>
          <w:tblCellMar>
            <w:top w:w="0" w:type="dxa"/>
            <w:left w:w="0" w:type="dxa"/>
            <w:bottom w:w="0" w:type="dxa"/>
            <w:right w:w="0" w:type="dxa"/>
          </w:tblCellMar>
        </w:tblPrEx>
        <w:trPr>
          <w:trHeight w:val="645" w:hRule="atLeast"/>
        </w:trPr>
        <w:tc>
          <w:tcPr>
            <w:tcW w:w="30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一、项目基本情况</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项目名称</w:t>
            </w:r>
          </w:p>
        </w:tc>
        <w:tc>
          <w:tcPr>
            <w:tcW w:w="29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退役士兵就业与学历提升</w:t>
            </w:r>
          </w:p>
        </w:tc>
        <w:tc>
          <w:tcPr>
            <w:tcW w:w="182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项目实施起止时间</w:t>
            </w:r>
          </w:p>
        </w:tc>
        <w:tc>
          <w:tcPr>
            <w:tcW w:w="20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2020.1—2020.12</w:t>
            </w:r>
          </w:p>
        </w:tc>
      </w:tr>
      <w:tr>
        <w:tblPrEx>
          <w:tblCellMar>
            <w:top w:w="0" w:type="dxa"/>
            <w:left w:w="0" w:type="dxa"/>
            <w:bottom w:w="0" w:type="dxa"/>
            <w:right w:w="0" w:type="dxa"/>
          </w:tblCellMar>
        </w:tblPrEx>
        <w:trPr>
          <w:trHeight w:val="645"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项目实施单位</w:t>
            </w:r>
          </w:p>
        </w:tc>
        <w:tc>
          <w:tcPr>
            <w:tcW w:w="29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渝中区退役军人事务局</w:t>
            </w:r>
          </w:p>
        </w:tc>
        <w:tc>
          <w:tcPr>
            <w:tcW w:w="182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项目主管部门</w:t>
            </w:r>
          </w:p>
        </w:tc>
        <w:tc>
          <w:tcPr>
            <w:tcW w:w="20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渝中区退役军人事务局</w:t>
            </w:r>
          </w:p>
        </w:tc>
      </w:tr>
      <w:tr>
        <w:tblPrEx>
          <w:tblCellMar>
            <w:top w:w="0" w:type="dxa"/>
            <w:left w:w="0" w:type="dxa"/>
            <w:bottom w:w="0" w:type="dxa"/>
            <w:right w:w="0" w:type="dxa"/>
          </w:tblCellMar>
        </w:tblPrEx>
        <w:trPr>
          <w:trHeight w:val="379"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绩效管理联系人</w:t>
            </w:r>
          </w:p>
        </w:tc>
        <w:tc>
          <w:tcPr>
            <w:tcW w:w="298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何俊</w:t>
            </w:r>
          </w:p>
        </w:tc>
        <w:tc>
          <w:tcPr>
            <w:tcW w:w="182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联系电话</w:t>
            </w:r>
          </w:p>
        </w:tc>
        <w:tc>
          <w:tcPr>
            <w:tcW w:w="20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023-63006352</w:t>
            </w:r>
          </w:p>
        </w:tc>
      </w:tr>
      <w:tr>
        <w:tblPrEx>
          <w:tblCellMar>
            <w:top w:w="0" w:type="dxa"/>
            <w:left w:w="0" w:type="dxa"/>
            <w:bottom w:w="0" w:type="dxa"/>
            <w:right w:w="0" w:type="dxa"/>
          </w:tblCellMar>
        </w:tblPrEx>
        <w:trPr>
          <w:trHeight w:val="1500"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项目概况</w:t>
            </w:r>
          </w:p>
        </w:tc>
        <w:tc>
          <w:tcPr>
            <w:tcW w:w="683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 xml:space="preserve">1. 部分退役军人就业面窄，受疫情影响，社会就业形势不容乐观， </w:t>
            </w:r>
          </w:p>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部分退役军人就业难度加大。尤其是疫情持续反复，导致部分退役军人收入减少，下岗失业人员增多，群体求职需求增加。2.退役军人专场招聘会，能够为退役军人和企业搭建就业用工平台，有效衔接“供”“需”双方，提供专场招聘和“量身”岗位，解决疫情导致的部分退役军人“找工作难”的问题。3.根据《关于促进新时代退役军人就业创业工作的实施通知》（渝退役军人局〔2019〕13号），县级地人民政府每年至少组织2次退役军人专场招聘活动。</w:t>
            </w:r>
          </w:p>
        </w:tc>
      </w:tr>
      <w:tr>
        <w:tblPrEx>
          <w:tblCellMar>
            <w:top w:w="0" w:type="dxa"/>
            <w:left w:w="0" w:type="dxa"/>
            <w:bottom w:w="0" w:type="dxa"/>
            <w:right w:w="0" w:type="dxa"/>
          </w:tblCellMar>
        </w:tblPrEx>
        <w:trPr>
          <w:trHeight w:val="770"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立项依据</w:t>
            </w:r>
          </w:p>
        </w:tc>
        <w:tc>
          <w:tcPr>
            <w:tcW w:w="683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《关于促进新时代退役军人就业创业工作的实施通知》（渝退役军人局〔2019〕13号）；</w:t>
            </w:r>
          </w:p>
        </w:tc>
      </w:tr>
      <w:tr>
        <w:tblPrEx>
          <w:tblCellMar>
            <w:top w:w="0" w:type="dxa"/>
            <w:left w:w="0" w:type="dxa"/>
            <w:bottom w:w="0" w:type="dxa"/>
            <w:right w:w="0" w:type="dxa"/>
          </w:tblCellMar>
        </w:tblPrEx>
        <w:trPr>
          <w:trHeight w:val="439"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项目预算</w:t>
            </w: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合计</w:t>
            </w:r>
          </w:p>
        </w:tc>
        <w:tc>
          <w:tcPr>
            <w:tcW w:w="1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一般公共预算</w:t>
            </w:r>
          </w:p>
        </w:tc>
        <w:tc>
          <w:tcPr>
            <w:tcW w:w="182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政府性基金预算</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国有资本经营预算</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其他资金</w:t>
            </w:r>
          </w:p>
        </w:tc>
      </w:tr>
      <w:tr>
        <w:tblPrEx>
          <w:tblCellMar>
            <w:top w:w="0" w:type="dxa"/>
            <w:left w:w="0" w:type="dxa"/>
            <w:bottom w:w="0" w:type="dxa"/>
            <w:right w:w="0" w:type="dxa"/>
          </w:tblCellMar>
        </w:tblPrEx>
        <w:trPr>
          <w:trHeight w:val="480"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36</w:t>
            </w:r>
          </w:p>
        </w:tc>
        <w:tc>
          <w:tcPr>
            <w:tcW w:w="1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Cs/>
                <w:color w:val="000000"/>
                <w:sz w:val="24"/>
              </w:rPr>
            </w:pPr>
          </w:p>
        </w:tc>
        <w:tc>
          <w:tcPr>
            <w:tcW w:w="182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kern w:val="0"/>
                <w:sz w:val="24"/>
              </w:rPr>
              <w:t>36</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Cs/>
                <w:color w:val="000000"/>
                <w:sz w:val="24"/>
              </w:rPr>
            </w:pP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Cs/>
                <w:color w:val="000000"/>
                <w:sz w:val="24"/>
              </w:rPr>
            </w:pPr>
          </w:p>
        </w:tc>
      </w:tr>
      <w:tr>
        <w:tblPrEx>
          <w:tblCellMar>
            <w:top w:w="0" w:type="dxa"/>
            <w:left w:w="0" w:type="dxa"/>
            <w:bottom w:w="0" w:type="dxa"/>
            <w:right w:w="0" w:type="dxa"/>
          </w:tblCellMar>
        </w:tblPrEx>
        <w:trPr>
          <w:trHeight w:val="942" w:hRule="atLeast"/>
        </w:trPr>
        <w:tc>
          <w:tcPr>
            <w:tcW w:w="30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二、绩效目标编制</w:t>
            </w: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项目当年绩效目标</w:t>
            </w:r>
          </w:p>
        </w:tc>
        <w:tc>
          <w:tcPr>
            <w:tcW w:w="6832" w:type="dxa"/>
            <w:gridSpan w:val="6"/>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进一步为退役军人拓展就业平台，提供精准就业帮扶，实现退役军人求职与企业用工“点对点”有效对接、双向匹配，降低疫情对部分退役军人生活就业造成的不利影响，确保退役军人群体整体稳定。拟组织招聘会大于等于2场，提供大于等于500个岗位，完成至少2场招聘会，退役军人满意度大于等于90%。</w:t>
            </w:r>
          </w:p>
        </w:tc>
      </w:tr>
      <w:tr>
        <w:tblPrEx>
          <w:tblCellMar>
            <w:top w:w="0" w:type="dxa"/>
            <w:left w:w="0" w:type="dxa"/>
            <w:bottom w:w="0" w:type="dxa"/>
            <w:right w:w="0" w:type="dxa"/>
          </w:tblCellMar>
        </w:tblPrEx>
        <w:trPr>
          <w:trHeight w:val="379" w:hRule="atLeast"/>
        </w:trPr>
        <w:tc>
          <w:tcPr>
            <w:tcW w:w="3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241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指标类型</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指标名称</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指标性质</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指标值</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计量单位</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指标说明</w:t>
            </w:r>
          </w:p>
        </w:tc>
      </w:tr>
      <w:tr>
        <w:tblPrEx>
          <w:tblCellMar>
            <w:top w:w="0" w:type="dxa"/>
            <w:left w:w="0" w:type="dxa"/>
            <w:bottom w:w="0" w:type="dxa"/>
            <w:right w:w="0" w:type="dxa"/>
          </w:tblCellMar>
        </w:tblPrEx>
        <w:trPr>
          <w:trHeight w:val="320" w:hRule="atLeast"/>
        </w:trPr>
        <w:tc>
          <w:tcPr>
            <w:tcW w:w="3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24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421" w:hRule="atLeast"/>
        </w:trPr>
        <w:tc>
          <w:tcPr>
            <w:tcW w:w="30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产出类</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12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数量指标</w:t>
            </w:r>
          </w:p>
        </w:tc>
        <w:tc>
          <w:tcPr>
            <w:tcW w:w="1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eastAsia="zh-CN"/>
              </w:rPr>
              <w:t>开展</w:t>
            </w:r>
            <w:r>
              <w:rPr>
                <w:rFonts w:hint="eastAsia" w:ascii="方正仿宋_GBK" w:hAnsi="方正仿宋_GBK" w:eastAsia="方正仿宋_GBK" w:cs="方正仿宋_GBK"/>
                <w:color w:val="000000"/>
                <w:kern w:val="0"/>
                <w:sz w:val="24"/>
              </w:rPr>
              <w:t>招聘会</w:t>
            </w:r>
          </w:p>
        </w:tc>
        <w:tc>
          <w:tcPr>
            <w:tcW w:w="10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7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w:t>
            </w: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场</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30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2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数量指标</w:t>
            </w:r>
          </w:p>
        </w:tc>
        <w:tc>
          <w:tcPr>
            <w:tcW w:w="1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rPr>
              <w:t>总共提供岗位</w:t>
            </w:r>
            <w:r>
              <w:rPr>
                <w:rFonts w:hint="eastAsia" w:ascii="方正仿宋_GBK" w:hAnsi="方正仿宋_GBK" w:eastAsia="方正仿宋_GBK" w:cs="方正仿宋_GBK"/>
                <w:color w:val="000000"/>
                <w:kern w:val="0"/>
                <w:sz w:val="24"/>
                <w:lang w:eastAsia="zh-CN"/>
              </w:rPr>
              <w:t>数量</w:t>
            </w:r>
          </w:p>
        </w:tc>
        <w:tc>
          <w:tcPr>
            <w:tcW w:w="10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7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500</w:t>
            </w: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个</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30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效益类</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12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社会效益</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1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hint="eastAsia"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为区内退役军人创造就业机会</w:t>
            </w:r>
          </w:p>
          <w:p>
            <w:pPr>
              <w:widowControl/>
              <w:spacing w:line="320" w:lineRule="exact"/>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lang w:eastAsia="zh-CN"/>
              </w:rPr>
              <w:t>数量</w:t>
            </w:r>
          </w:p>
        </w:tc>
        <w:tc>
          <w:tcPr>
            <w:tcW w:w="10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7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500</w:t>
            </w: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个</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30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满意度类指标</w:t>
            </w:r>
          </w:p>
        </w:tc>
        <w:tc>
          <w:tcPr>
            <w:tcW w:w="12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服务对象满意度指标</w:t>
            </w:r>
          </w:p>
        </w:tc>
        <w:tc>
          <w:tcPr>
            <w:tcW w:w="1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退役军人满意度</w:t>
            </w:r>
          </w:p>
        </w:tc>
        <w:tc>
          <w:tcPr>
            <w:tcW w:w="10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7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90</w:t>
            </w: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570" w:hRule="atLeast"/>
        </w:trPr>
        <w:tc>
          <w:tcPr>
            <w:tcW w:w="8330" w:type="dxa"/>
            <w:gridSpan w:val="8"/>
            <w:tcBorders>
              <w:top w:val="nil"/>
              <w:left w:val="nil"/>
              <w:bottom w:val="nil"/>
              <w:right w:val="nil"/>
            </w:tcBorders>
            <w:tcMar>
              <w:top w:w="12" w:type="dxa"/>
              <w:left w:w="12" w:type="dxa"/>
              <w:right w:w="12" w:type="dxa"/>
            </w:tcMar>
            <w:vAlign w:val="center"/>
          </w:tcPr>
          <w:p>
            <w:pPr>
              <w:widowControl/>
              <w:jc w:val="center"/>
              <w:textAlignment w:val="center"/>
              <w:rPr>
                <w:rFonts w:hint="eastAsia" w:ascii="方正小标宋_GBK" w:hAnsi="方正小标宋_GBK" w:eastAsia="方正小标宋_GBK" w:cs="方正小标宋_GBK"/>
                <w:color w:val="000000"/>
                <w:kern w:val="0"/>
                <w:sz w:val="36"/>
                <w:szCs w:val="36"/>
              </w:rPr>
            </w:pPr>
          </w:p>
          <w:p>
            <w:pPr>
              <w:widowControl/>
              <w:jc w:val="center"/>
              <w:textAlignment w:val="center"/>
              <w:rPr>
                <w:rFonts w:ascii="方正小标宋_GBK" w:hAnsi="方正小标宋_GBK" w:eastAsia="方正小标宋_GBK" w:cs="方正小标宋_GBK"/>
                <w:color w:val="000000"/>
                <w:sz w:val="44"/>
                <w:szCs w:val="44"/>
              </w:rPr>
            </w:pPr>
            <w:bookmarkStart w:id="0" w:name="_GoBack"/>
            <w:bookmarkEnd w:id="0"/>
            <w:r>
              <w:rPr>
                <w:rFonts w:hint="eastAsia" w:ascii="方正小标宋_GBK" w:hAnsi="方正小标宋_GBK" w:eastAsia="方正小标宋_GBK" w:cs="方正小标宋_GBK"/>
                <w:color w:val="000000"/>
                <w:kern w:val="0"/>
                <w:sz w:val="36"/>
                <w:szCs w:val="36"/>
              </w:rPr>
              <w:t>2020年度抗疫特别国债项目绩效目标申报表</w:t>
            </w:r>
          </w:p>
        </w:tc>
      </w:tr>
      <w:tr>
        <w:tblPrEx>
          <w:tblCellMar>
            <w:top w:w="0" w:type="dxa"/>
            <w:left w:w="0" w:type="dxa"/>
            <w:bottom w:w="0" w:type="dxa"/>
            <w:right w:w="0" w:type="dxa"/>
          </w:tblCellMar>
        </w:tblPrEx>
        <w:trPr>
          <w:trHeight w:val="309" w:hRule="atLeast"/>
        </w:trPr>
        <w:tc>
          <w:tcPr>
            <w:tcW w:w="6312" w:type="dxa"/>
            <w:gridSpan w:val="6"/>
            <w:tcBorders>
              <w:top w:val="nil"/>
              <w:left w:val="nil"/>
              <w:bottom w:val="nil"/>
              <w:right w:val="nil"/>
            </w:tcBorders>
            <w:noWrap/>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p>
        </w:tc>
        <w:tc>
          <w:tcPr>
            <w:tcW w:w="2018" w:type="dxa"/>
            <w:gridSpan w:val="2"/>
            <w:tcBorders>
              <w:top w:val="nil"/>
              <w:left w:val="nil"/>
              <w:bottom w:val="nil"/>
              <w:right w:val="nil"/>
            </w:tcBorders>
            <w:tcMar>
              <w:top w:w="12" w:type="dxa"/>
              <w:left w:w="12" w:type="dxa"/>
              <w:right w:w="12" w:type="dxa"/>
            </w:tcMar>
            <w:vAlign w:val="center"/>
          </w:tcPr>
          <w:p>
            <w:pPr>
              <w:widowControl/>
              <w:spacing w:line="320" w:lineRule="exact"/>
              <w:jc w:val="righ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单位：万元</w:t>
            </w:r>
          </w:p>
        </w:tc>
      </w:tr>
      <w:tr>
        <w:tblPrEx>
          <w:tblCellMar>
            <w:top w:w="0" w:type="dxa"/>
            <w:left w:w="0" w:type="dxa"/>
            <w:bottom w:w="0" w:type="dxa"/>
            <w:right w:w="0" w:type="dxa"/>
          </w:tblCellMar>
        </w:tblPrEx>
        <w:trPr>
          <w:trHeight w:val="645" w:hRule="atLeast"/>
        </w:trPr>
        <w:tc>
          <w:tcPr>
            <w:tcW w:w="30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一、项目基本情况</w:t>
            </w: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项目名称</w:t>
            </w:r>
          </w:p>
        </w:tc>
        <w:tc>
          <w:tcPr>
            <w:tcW w:w="29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随军未就业基本生活保障</w:t>
            </w:r>
          </w:p>
        </w:tc>
        <w:tc>
          <w:tcPr>
            <w:tcW w:w="182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项目实施起止时间</w:t>
            </w:r>
          </w:p>
        </w:tc>
        <w:tc>
          <w:tcPr>
            <w:tcW w:w="20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2020.1—2020.12</w:t>
            </w:r>
          </w:p>
        </w:tc>
      </w:tr>
      <w:tr>
        <w:tblPrEx>
          <w:tblCellMar>
            <w:top w:w="0" w:type="dxa"/>
            <w:left w:w="0" w:type="dxa"/>
            <w:bottom w:w="0" w:type="dxa"/>
            <w:right w:w="0" w:type="dxa"/>
          </w:tblCellMar>
        </w:tblPrEx>
        <w:trPr>
          <w:trHeight w:val="645"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项目实施单位</w:t>
            </w:r>
          </w:p>
        </w:tc>
        <w:tc>
          <w:tcPr>
            <w:tcW w:w="298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渝中区退役军人事务局</w:t>
            </w:r>
          </w:p>
        </w:tc>
        <w:tc>
          <w:tcPr>
            <w:tcW w:w="182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项目主管部门</w:t>
            </w:r>
          </w:p>
        </w:tc>
        <w:tc>
          <w:tcPr>
            <w:tcW w:w="20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渝中区退役军人事务局</w:t>
            </w:r>
          </w:p>
        </w:tc>
      </w:tr>
      <w:tr>
        <w:tblPrEx>
          <w:tblCellMar>
            <w:top w:w="0" w:type="dxa"/>
            <w:left w:w="0" w:type="dxa"/>
            <w:bottom w:w="0" w:type="dxa"/>
            <w:right w:w="0" w:type="dxa"/>
          </w:tblCellMar>
        </w:tblPrEx>
        <w:trPr>
          <w:trHeight w:val="379"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绩效管理联系人</w:t>
            </w:r>
          </w:p>
        </w:tc>
        <w:tc>
          <w:tcPr>
            <w:tcW w:w="298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何俊</w:t>
            </w:r>
          </w:p>
        </w:tc>
        <w:tc>
          <w:tcPr>
            <w:tcW w:w="182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联系电话</w:t>
            </w:r>
          </w:p>
        </w:tc>
        <w:tc>
          <w:tcPr>
            <w:tcW w:w="20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023-63006352</w:t>
            </w:r>
          </w:p>
        </w:tc>
      </w:tr>
      <w:tr>
        <w:tblPrEx>
          <w:tblCellMar>
            <w:top w:w="0" w:type="dxa"/>
            <w:left w:w="0" w:type="dxa"/>
            <w:bottom w:w="0" w:type="dxa"/>
            <w:right w:w="0" w:type="dxa"/>
          </w:tblCellMar>
        </w:tblPrEx>
        <w:trPr>
          <w:trHeight w:val="1500"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项目概况</w:t>
            </w:r>
          </w:p>
        </w:tc>
        <w:tc>
          <w:tcPr>
            <w:tcW w:w="683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为驻渝部队中已随军且暂时未就业随军家属发放未就业基本生活保障金</w:t>
            </w:r>
          </w:p>
        </w:tc>
      </w:tr>
      <w:tr>
        <w:tblPrEx>
          <w:tblCellMar>
            <w:top w:w="0" w:type="dxa"/>
            <w:left w:w="0" w:type="dxa"/>
            <w:bottom w:w="0" w:type="dxa"/>
            <w:right w:w="0" w:type="dxa"/>
          </w:tblCellMar>
        </w:tblPrEx>
        <w:trPr>
          <w:trHeight w:val="770"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立项依据</w:t>
            </w:r>
          </w:p>
        </w:tc>
        <w:tc>
          <w:tcPr>
            <w:tcW w:w="6832"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渝中委[2014]31号</w:t>
            </w:r>
          </w:p>
        </w:tc>
      </w:tr>
      <w:tr>
        <w:tblPrEx>
          <w:tblCellMar>
            <w:top w:w="0" w:type="dxa"/>
            <w:left w:w="0" w:type="dxa"/>
            <w:bottom w:w="0" w:type="dxa"/>
            <w:right w:w="0" w:type="dxa"/>
          </w:tblCellMar>
        </w:tblPrEx>
        <w:trPr>
          <w:trHeight w:val="439"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项目预算</w:t>
            </w: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合计</w:t>
            </w:r>
          </w:p>
        </w:tc>
        <w:tc>
          <w:tcPr>
            <w:tcW w:w="1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一般公共预算</w:t>
            </w:r>
          </w:p>
        </w:tc>
        <w:tc>
          <w:tcPr>
            <w:tcW w:w="182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政府性基金预算</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国有资本经营预算</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其他资金</w:t>
            </w:r>
          </w:p>
        </w:tc>
      </w:tr>
      <w:tr>
        <w:tblPrEx>
          <w:tblCellMar>
            <w:top w:w="0" w:type="dxa"/>
            <w:left w:w="0" w:type="dxa"/>
            <w:bottom w:w="0" w:type="dxa"/>
            <w:right w:w="0" w:type="dxa"/>
          </w:tblCellMar>
        </w:tblPrEx>
        <w:trPr>
          <w:trHeight w:val="480" w:hRule="atLeast"/>
        </w:trPr>
        <w:tc>
          <w:tcPr>
            <w:tcW w:w="30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2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lang w:val="en-US" w:eastAsia="zh-CN"/>
              </w:rPr>
              <w:t>11</w:t>
            </w:r>
          </w:p>
        </w:tc>
        <w:tc>
          <w:tcPr>
            <w:tcW w:w="17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Cs/>
                <w:color w:val="000000"/>
                <w:sz w:val="24"/>
              </w:rPr>
            </w:pPr>
          </w:p>
        </w:tc>
        <w:tc>
          <w:tcPr>
            <w:tcW w:w="182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hint="default"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kern w:val="0"/>
                <w:sz w:val="24"/>
                <w:lang w:val="en-US" w:eastAsia="zh-CN"/>
              </w:rPr>
              <w:t>11</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Cs/>
                <w:color w:val="000000"/>
                <w:sz w:val="24"/>
              </w:rPr>
            </w:pP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bCs/>
                <w:color w:val="000000"/>
                <w:sz w:val="24"/>
              </w:rPr>
            </w:pPr>
          </w:p>
        </w:tc>
      </w:tr>
      <w:tr>
        <w:tblPrEx>
          <w:tblCellMar>
            <w:top w:w="0" w:type="dxa"/>
            <w:left w:w="0" w:type="dxa"/>
            <w:bottom w:w="0" w:type="dxa"/>
            <w:right w:w="0" w:type="dxa"/>
          </w:tblCellMar>
        </w:tblPrEx>
        <w:trPr>
          <w:trHeight w:val="942" w:hRule="atLeast"/>
        </w:trPr>
        <w:tc>
          <w:tcPr>
            <w:tcW w:w="30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rPr>
              <w:t>二、绩效目标编制</w:t>
            </w: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项目当年绩效目标</w:t>
            </w:r>
          </w:p>
        </w:tc>
        <w:tc>
          <w:tcPr>
            <w:tcW w:w="6832" w:type="dxa"/>
            <w:gridSpan w:val="6"/>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5月和10月按时足额发放随军就业基本生活保障金</w:t>
            </w:r>
          </w:p>
        </w:tc>
      </w:tr>
      <w:tr>
        <w:tblPrEx>
          <w:tblCellMar>
            <w:top w:w="0" w:type="dxa"/>
            <w:left w:w="0" w:type="dxa"/>
            <w:bottom w:w="0" w:type="dxa"/>
            <w:right w:w="0" w:type="dxa"/>
          </w:tblCellMar>
        </w:tblPrEx>
        <w:trPr>
          <w:trHeight w:val="379" w:hRule="atLeast"/>
        </w:trPr>
        <w:tc>
          <w:tcPr>
            <w:tcW w:w="3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241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指标类型</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指标名称</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指标性质</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指标值</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计量单位</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指标说明</w:t>
            </w:r>
          </w:p>
        </w:tc>
      </w:tr>
      <w:tr>
        <w:tblPrEx>
          <w:tblCellMar>
            <w:top w:w="0" w:type="dxa"/>
            <w:left w:w="0" w:type="dxa"/>
            <w:bottom w:w="0" w:type="dxa"/>
            <w:right w:w="0" w:type="dxa"/>
          </w:tblCellMar>
        </w:tblPrEx>
        <w:trPr>
          <w:trHeight w:val="320" w:hRule="atLeast"/>
        </w:trPr>
        <w:tc>
          <w:tcPr>
            <w:tcW w:w="3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241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421" w:hRule="atLeast"/>
        </w:trPr>
        <w:tc>
          <w:tcPr>
            <w:tcW w:w="30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产出类</w:t>
            </w:r>
          </w:p>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指标</w:t>
            </w:r>
          </w:p>
        </w:tc>
        <w:tc>
          <w:tcPr>
            <w:tcW w:w="12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数量指标</w:t>
            </w:r>
          </w:p>
        </w:tc>
        <w:tc>
          <w:tcPr>
            <w:tcW w:w="1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eastAsia="zh-CN"/>
              </w:rPr>
              <w:t>保障</w:t>
            </w:r>
            <w:r>
              <w:rPr>
                <w:rFonts w:hint="eastAsia" w:ascii="方正仿宋_GBK" w:hAnsi="方正仿宋_GBK" w:eastAsia="方正仿宋_GBK" w:cs="方正仿宋_GBK"/>
                <w:color w:val="000000"/>
                <w:kern w:val="0"/>
                <w:sz w:val="24"/>
              </w:rPr>
              <w:t>随军未就业家属人数</w:t>
            </w:r>
          </w:p>
        </w:tc>
        <w:tc>
          <w:tcPr>
            <w:tcW w:w="10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7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39</w:t>
            </w: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人</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30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c>
          <w:tcPr>
            <w:tcW w:w="12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eastAsia="zh-CN"/>
              </w:rPr>
              <w:t>质量</w:t>
            </w:r>
            <w:r>
              <w:rPr>
                <w:rFonts w:hint="eastAsia" w:ascii="方正仿宋_GBK" w:hAnsi="方正仿宋_GBK" w:eastAsia="方正仿宋_GBK" w:cs="方正仿宋_GBK"/>
                <w:color w:val="000000"/>
                <w:kern w:val="0"/>
                <w:sz w:val="24"/>
              </w:rPr>
              <w:t>指标</w:t>
            </w:r>
          </w:p>
        </w:tc>
        <w:tc>
          <w:tcPr>
            <w:tcW w:w="1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随军未就业家属基本生活保障率</w:t>
            </w:r>
          </w:p>
        </w:tc>
        <w:tc>
          <w:tcPr>
            <w:tcW w:w="10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w:t>
            </w:r>
          </w:p>
        </w:tc>
        <w:tc>
          <w:tcPr>
            <w:tcW w:w="7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100</w:t>
            </w: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90" w:hRule="atLeast"/>
        </w:trPr>
        <w:tc>
          <w:tcPr>
            <w:tcW w:w="30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widowControl/>
              <w:spacing w:line="320" w:lineRule="exact"/>
              <w:jc w:val="center"/>
              <w:rPr>
                <w:rFonts w:ascii="方正仿宋_GBK" w:hAnsi="方正仿宋_GBK" w:eastAsia="方正仿宋_GBK" w:cs="方正仿宋_GBK"/>
                <w:b/>
                <w:color w:val="000000"/>
                <w:sz w:val="24"/>
              </w:rPr>
            </w:pPr>
          </w:p>
        </w:tc>
        <w:tc>
          <w:tcPr>
            <w:tcW w:w="1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满意度类指标</w:t>
            </w:r>
          </w:p>
        </w:tc>
        <w:tc>
          <w:tcPr>
            <w:tcW w:w="12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服务对象满意度指标</w:t>
            </w:r>
          </w:p>
        </w:tc>
        <w:tc>
          <w:tcPr>
            <w:tcW w:w="1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随军未就业家属对基本生活保障金发放情况满意度</w:t>
            </w:r>
          </w:p>
        </w:tc>
        <w:tc>
          <w:tcPr>
            <w:tcW w:w="104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7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90</w:t>
            </w:r>
          </w:p>
        </w:tc>
        <w:tc>
          <w:tcPr>
            <w:tcW w:w="10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9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rPr>
                <w:rFonts w:ascii="方正仿宋_GBK" w:hAnsi="方正仿宋_GBK" w:eastAsia="方正仿宋_GBK" w:cs="方正仿宋_GBK"/>
                <w:color w:val="000000"/>
                <w:sz w:val="24"/>
              </w:rPr>
            </w:pPr>
          </w:p>
        </w:tc>
      </w:tr>
    </w:tbl>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27"/>
    <w:rsid w:val="000237EA"/>
    <w:rsid w:val="000424BF"/>
    <w:rsid w:val="000D5892"/>
    <w:rsid w:val="000E5407"/>
    <w:rsid w:val="003678C3"/>
    <w:rsid w:val="003740CA"/>
    <w:rsid w:val="003E4A34"/>
    <w:rsid w:val="003E62C4"/>
    <w:rsid w:val="00446EDB"/>
    <w:rsid w:val="004735AB"/>
    <w:rsid w:val="00523ED6"/>
    <w:rsid w:val="005245FE"/>
    <w:rsid w:val="00525C97"/>
    <w:rsid w:val="00552AB0"/>
    <w:rsid w:val="0055385E"/>
    <w:rsid w:val="005B69CB"/>
    <w:rsid w:val="00633D89"/>
    <w:rsid w:val="006D4259"/>
    <w:rsid w:val="007637F5"/>
    <w:rsid w:val="00766F62"/>
    <w:rsid w:val="007B5032"/>
    <w:rsid w:val="007F1AA9"/>
    <w:rsid w:val="007F4DF7"/>
    <w:rsid w:val="007F6504"/>
    <w:rsid w:val="0083737D"/>
    <w:rsid w:val="0084051D"/>
    <w:rsid w:val="009329E0"/>
    <w:rsid w:val="009A2AA2"/>
    <w:rsid w:val="009A3EDA"/>
    <w:rsid w:val="009C15D0"/>
    <w:rsid w:val="00A079DA"/>
    <w:rsid w:val="00A11EBD"/>
    <w:rsid w:val="00A45560"/>
    <w:rsid w:val="00A94F37"/>
    <w:rsid w:val="00A96F35"/>
    <w:rsid w:val="00AA4E66"/>
    <w:rsid w:val="00AE03FE"/>
    <w:rsid w:val="00B16E7B"/>
    <w:rsid w:val="00B25188"/>
    <w:rsid w:val="00B80484"/>
    <w:rsid w:val="00B9093F"/>
    <w:rsid w:val="00BE4037"/>
    <w:rsid w:val="00C81BC1"/>
    <w:rsid w:val="00CC1B38"/>
    <w:rsid w:val="00CD3527"/>
    <w:rsid w:val="00D426B8"/>
    <w:rsid w:val="00D456AF"/>
    <w:rsid w:val="00DA326C"/>
    <w:rsid w:val="00DA56BD"/>
    <w:rsid w:val="00E23DF6"/>
    <w:rsid w:val="00E565FD"/>
    <w:rsid w:val="00E671FB"/>
    <w:rsid w:val="00ED25F5"/>
    <w:rsid w:val="00FA06CB"/>
    <w:rsid w:val="00FA69D7"/>
    <w:rsid w:val="00FC0475"/>
    <w:rsid w:val="04B72BAB"/>
    <w:rsid w:val="43286C13"/>
    <w:rsid w:val="590148BB"/>
    <w:rsid w:val="7BA6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paragraph" w:styleId="8">
    <w:name w:val="List Paragraph"/>
    <w:basedOn w:val="1"/>
    <w:unhideWhenUsed/>
    <w:qFormat/>
    <w:uiPriority w:val="99"/>
    <w:pPr>
      <w:ind w:firstLine="420" w:firstLineChars="200"/>
    </w:pPr>
  </w:style>
  <w:style w:type="character" w:customStyle="1" w:styleId="9">
    <w:name w:val="页眉 Char"/>
    <w:basedOn w:val="6"/>
    <w:link w:val="4"/>
    <w:uiPriority w:val="0"/>
    <w:rPr>
      <w:rFonts w:ascii="等线" w:hAnsi="等线" w:eastAsia="等线"/>
      <w:kern w:val="2"/>
      <w:sz w:val="18"/>
      <w:szCs w:val="18"/>
    </w:rPr>
  </w:style>
  <w:style w:type="character" w:customStyle="1" w:styleId="10">
    <w:name w:val="页脚 Char"/>
    <w:basedOn w:val="6"/>
    <w:link w:val="3"/>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125</Words>
  <Characters>718</Characters>
  <Lines>5</Lines>
  <Paragraphs>1</Paragraphs>
  <TotalTime>5</TotalTime>
  <ScaleCrop>false</ScaleCrop>
  <LinksUpToDate>false</LinksUpToDate>
  <CharactersWithSpaces>842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2020-08-03T01:19:00Z</dcterms:created>
  <dc:creator>Administrator</dc:creator>
  <cp:lastModifiedBy>Administrator</cp:lastModifiedBy>
  <dcterms:modified xsi:type="dcterms:W3CDTF">2020-11-30T07:17:57Z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