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03"/>
        <w:gridCol w:w="1965"/>
        <w:gridCol w:w="4710"/>
        <w:gridCol w:w="990"/>
        <w:gridCol w:w="1005"/>
        <w:gridCol w:w="1860"/>
        <w:gridCol w:w="1860"/>
        <w:gridCol w:w="1545"/>
        <w:gridCol w:w="1350"/>
      </w:tblGrid>
      <w:tr>
        <w:trPr>
          <w:trHeight w:val="558"/>
        </w:trPr>
        <w:tc>
          <w:tcPr>
            <w:tcW w:w="603" w:type="dxa"/>
            <w:vAlign w:val="center"/>
          </w:tcPr>
          <w:p>
            <w:pPr>
              <w:widowControl/>
              <w:spacing w:line="400" w:lineRule="exact"/>
              <w:jc w:val="center"/>
              <w:textAlignment w:val="bottom"/>
              <w:rPr>
                <w:rFonts w:ascii="Times New Roman" w:eastAsia="宋体" w:cs="Times New Roman" w:hAnsi="Times New Roman"/>
                <w:color w:val="000000"/>
                <w:szCs w:val="21"/>
              </w:rPr>
            </w:pPr>
            <w:r>
              <w:rPr>
                <w:rFonts w:ascii="Times New Roman" w:eastAsia="宋体" w:cs="Times New Roman" w:hAnsi="Times New Roman"/>
                <w:color w:val="000000"/>
                <w:kern w:val="0"/>
                <w:szCs w:val="21"/>
              </w:rPr>
              <w:t>序号</w:t>
            </w:r>
          </w:p>
        </w:tc>
        <w:tc>
          <w:tcPr>
            <w:tcW w:w="1965" w:type="dxa"/>
            <w:vAlign w:val="center"/>
          </w:tcPr>
          <w:p>
            <w:pPr>
              <w:widowControl/>
              <w:spacing w:line="400" w:lineRule="exact"/>
              <w:jc w:val="center"/>
              <w:textAlignment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被检查单位</w:t>
            </w:r>
          </w:p>
        </w:tc>
        <w:tc>
          <w:tcPr>
            <w:tcW w:w="4710" w:type="dxa"/>
            <w:vAlign w:val="center"/>
          </w:tcPr>
          <w:p>
            <w:pPr>
              <w:widowControl/>
              <w:spacing w:line="400" w:lineRule="exact"/>
              <w:jc w:val="center"/>
              <w:textAlignment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地址</w:t>
            </w:r>
          </w:p>
        </w:tc>
        <w:tc>
          <w:tcPr>
            <w:tcW w:w="990" w:type="dxa"/>
            <w:vAlign w:val="center"/>
          </w:tcPr>
          <w:p>
            <w:pPr>
              <w:widowControl/>
              <w:spacing w:line="400" w:lineRule="exact"/>
              <w:jc w:val="center"/>
              <w:textAlignment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专业</w:t>
            </w:r>
          </w:p>
          <w:p>
            <w:pPr>
              <w:widowControl/>
              <w:spacing w:line="400" w:lineRule="exact"/>
              <w:jc w:val="center"/>
              <w:textAlignment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类别</w:t>
            </w:r>
          </w:p>
        </w:tc>
        <w:tc>
          <w:tcPr>
            <w:tcW w:w="1005" w:type="dxa"/>
            <w:vAlign w:val="center"/>
          </w:tcPr>
          <w:p>
            <w:pPr>
              <w:widowControl/>
              <w:spacing w:line="400" w:lineRule="exact"/>
              <w:jc w:val="center"/>
              <w:textAlignment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监督检查类别</w:t>
            </w:r>
          </w:p>
        </w:tc>
        <w:tc>
          <w:tcPr>
            <w:tcW w:w="1860" w:type="dxa"/>
            <w:vAlign w:val="center"/>
          </w:tcPr>
          <w:p>
            <w:pPr>
              <w:widowControl/>
              <w:spacing w:line="400" w:lineRule="exact"/>
              <w:jc w:val="center"/>
              <w:textAlignment w:val="center"/>
              <w:rPr>
                <w:rFonts w:ascii="Times New Roman" w:eastAsia="宋体" w:cs="Times New Roman" w:hAnsi="Times New Roman" w:hint="eastAsia"/>
                <w:color w:val="000000"/>
                <w:kern w:val="0"/>
                <w:szCs w:val="21"/>
                <w:lang w:eastAsia="zh-CN"/>
              </w:rPr>
            </w:pPr>
            <w:r>
              <w:rPr>
                <w:rFonts w:ascii="Times New Roman" w:eastAsia="宋体" w:cs="Times New Roman" w:hAnsi="Times New Roman" w:hint="eastAsia"/>
                <w:color w:val="000000"/>
                <w:kern w:val="0"/>
                <w:szCs w:val="21"/>
                <w:lang w:eastAsia="zh-CN"/>
              </w:rPr>
              <w:t>检查依据</w:t>
            </w:r>
          </w:p>
        </w:tc>
        <w:tc>
          <w:tcPr>
            <w:tcW w:w="1860" w:type="dxa"/>
            <w:vAlign w:val="center"/>
          </w:tcPr>
          <w:p>
            <w:pPr>
              <w:widowControl/>
              <w:spacing w:line="400" w:lineRule="exact"/>
              <w:jc w:val="center"/>
              <w:textAlignment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检查机构</w:t>
            </w:r>
          </w:p>
        </w:tc>
        <w:tc>
          <w:tcPr>
            <w:tcW w:w="1545" w:type="dxa"/>
            <w:vAlign w:val="center"/>
          </w:tcPr>
          <w:p>
            <w:pPr>
              <w:widowControl/>
              <w:spacing w:line="400" w:lineRule="exact"/>
              <w:jc w:val="center"/>
              <w:textAlignment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检查日期</w:t>
            </w:r>
          </w:p>
        </w:tc>
        <w:tc>
          <w:tcPr>
            <w:tcW w:w="1350" w:type="dxa"/>
            <w:vAlign w:val="center"/>
          </w:tcPr>
          <w:p>
            <w:pPr>
              <w:widowControl/>
              <w:spacing w:line="400" w:lineRule="exact"/>
              <w:jc w:val="center"/>
              <w:textAlignment w:val="center"/>
              <w:rPr>
                <w:rFonts w:ascii="Times New Roman" w:eastAsia="宋体" w:cs="Times New Roman" w:hAnsi="Times New Roman"/>
                <w:color w:val="000000"/>
                <w:kern w:val="0"/>
                <w:szCs w:val="21"/>
              </w:rPr>
            </w:pPr>
            <w:r>
              <w:rPr>
                <w:rFonts w:ascii="Times New Roman" w:eastAsia="宋体" w:cs="Times New Roman" w:hAnsi="Times New Roman"/>
                <w:color w:val="000000"/>
                <w:kern w:val="0"/>
                <w:szCs w:val="21"/>
              </w:rPr>
              <w:t>检查结果</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1</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重庆玉茗乐居酒店管理有限公司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重庆市渝中区沧白路73号第9层、第10层、第11层、第13层、第15层解放碑街道办事处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restart"/>
            <w:shd w:val="clear" w:color="auto" w:fill="auto"/>
            <w:vAlign w:val="center"/>
          </w:tcPr>
          <w:p>
            <w:pPr>
              <w:jc w:val="center"/>
              <w:rPr>
                <w:rFonts w:ascii="Times New Roman" w:eastAsia="等线" w:cs="Times New Roman" w:hAnsi="Times New Roman" w:hint="eastAsia"/>
                <w:kern w:val="2"/>
                <w:sz w:val="21"/>
                <w:szCs w:val="22"/>
                <w:lang w:val="en-US" w:eastAsia="zh-CN" w:bidi="ar-SA"/>
              </w:rPr>
            </w:pPr>
            <w:r>
              <w:rPr>
                <w:rFonts w:ascii="Times New Roman" w:cs="Times New Roman" w:hAnsi="Times New Roman" w:hint="eastAsia"/>
                <w:lang w:val="en-US" w:eastAsia="zh-CN"/>
              </w:rPr>
              <w:t>《</w:t>
            </w:r>
            <w:r>
              <w:rPr>
                <w:rFonts w:ascii="Times New Roman" w:cs="Times New Roman" w:hAnsi="Times New Roman"/>
                <w:lang w:val="en-US" w:eastAsia="zh-CN"/>
              </w:rPr>
              <w:t>医疗机构管理条例</w:t>
            </w:r>
            <w:r>
              <w:rPr>
                <w:rFonts w:ascii="Times New Roman" w:cs="Times New Roman" w:hAnsi="Times New Roman" w:hint="eastAsia"/>
                <w:lang w:val="en-US" w:eastAsia="zh-CN"/>
              </w:rPr>
              <w:t>》、《</w:t>
            </w:r>
            <w:r>
              <w:rPr>
                <w:rFonts w:ascii="Times New Roman" w:cs="Times New Roman" w:hAnsi="Times New Roman"/>
                <w:lang w:val="en-US" w:eastAsia="zh-CN"/>
              </w:rPr>
              <w:t>医疗质量管理办法</w:t>
            </w:r>
            <w:r>
              <w:rPr>
                <w:rFonts w:ascii="Times New Roman" w:cs="Times New Roman" w:hAnsi="Times New Roman" w:hint="eastAsia"/>
                <w:lang w:val="en-US" w:eastAsia="zh-CN"/>
              </w:rPr>
              <w:t>》、《</w:t>
            </w:r>
            <w:r>
              <w:rPr>
                <w:rFonts w:ascii="Times New Roman" w:cs="Times New Roman" w:hAnsi="Times New Roman"/>
                <w:lang w:val="en-US" w:eastAsia="zh-CN"/>
              </w:rPr>
              <w:t>处方管理办法</w:t>
            </w:r>
            <w:r>
              <w:rPr>
                <w:rFonts w:ascii="Times New Roman" w:cs="Times New Roman" w:hAnsi="Times New Roman" w:hint="eastAsia"/>
                <w:lang w:val="en-US" w:eastAsia="zh-CN"/>
              </w:rPr>
              <w:t>》、《</w:t>
            </w:r>
            <w:r>
              <w:rPr>
                <w:rFonts w:ascii="Times New Roman" w:cs="Times New Roman" w:hAnsi="Times New Roman"/>
                <w:lang w:val="en-US" w:eastAsia="zh-CN"/>
              </w:rPr>
              <w:t>中华人民共和国医师法</w:t>
            </w:r>
            <w:r>
              <w:rPr>
                <w:rFonts w:ascii="Times New Roman" w:cs="Times New Roman" w:hAnsi="Times New Roman" w:hint="eastAsia"/>
                <w:lang w:val="en-US" w:eastAsia="zh-CN"/>
              </w:rPr>
              <w:t>》、《</w:t>
            </w:r>
            <w:r>
              <w:rPr>
                <w:rFonts w:ascii="Times New Roman" w:cs="Times New Roman" w:hAnsi="Times New Roman"/>
                <w:lang w:val="en-US" w:eastAsia="zh-CN"/>
              </w:rPr>
              <w:t>护士条例</w:t>
            </w:r>
            <w:r>
              <w:rPr>
                <w:rFonts w:ascii="Times New Roman" w:cs="Times New Roman" w:hAnsi="Times New Roman" w:hint="eastAsia"/>
                <w:lang w:val="en-US" w:eastAsia="zh-CN"/>
              </w:rPr>
              <w:t>》、《</w:t>
            </w:r>
            <w:r>
              <w:rPr>
                <w:rFonts w:ascii="Times New Roman" w:cs="Times New Roman" w:hAnsi="Times New Roman"/>
                <w:lang w:val="en-US" w:eastAsia="zh-CN"/>
              </w:rPr>
              <w:t>中华人民共和国药品管理法</w:t>
            </w:r>
            <w:r>
              <w:rPr>
                <w:rFonts w:ascii="Times New Roman" w:cs="Times New Roman" w:hAnsi="Times New Roman" w:hint="eastAsia"/>
                <w:lang w:val="en-US" w:eastAsia="zh-CN"/>
              </w:rPr>
              <w:t>》</w:t>
            </w:r>
            <w:r>
              <w:rPr>
                <w:rFonts w:ascii="Times New Roman" w:cs="Times New Roman" w:hAnsi="Times New Roman"/>
                <w:lang w:val="en-US" w:eastAsia="zh-CN"/>
              </w:rPr>
              <w:t>、</w:t>
            </w:r>
            <w:r>
              <w:rPr>
                <w:rFonts w:ascii="Times New Roman" w:eastAsia="方正仿宋_GBK" w:cs="Times New Roman" w:hAnsi="Times New Roman"/>
                <w:lang w:eastAsia="zh-CN"/>
              </w:rPr>
              <w:t>《公共场所卫生管理条例》、《学校卫生工作条例》、《职业病防治法》、《放射诊疗管理规定》</w:t>
            </w:r>
            <w:bookmarkStart w:id="0" w:name="_GoBack"/>
            <w:bookmarkEnd w:id="0"/>
            <w:r>
              <w:rPr>
                <w:rFonts w:ascii="Times New Roman" w:cs="Times New Roman" w:hAnsi="Times New Roman" w:hint="eastAsia"/>
                <w:lang w:val="en-US" w:eastAsia="zh-CN"/>
              </w:rPr>
              <w:t>等法律法规</w:t>
            </w: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2024-08-08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重庆丽斯卡顿酒店管理有限公司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重庆市渝中区新华路201号56-1#解放碑街道办事处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2024-08-08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3</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重庆汉庭漫心酒店管理有限公司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重庆市重庆市渝中区八一路183号渝中区解放碑街道办事处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2024-08-08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4</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重庆云寰酒店管理有限公司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重庆市渝中区邹容路52号第22层4-2、3#解放碑街道办事处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2024-08-08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5</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重庆瑞希雅酒店管理有限公司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重庆市渝中区五一路99号2单元第7层/第8层8-1至8-6/第10层1001、1006-1015/第11层1102、1107解放碑街道办事处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2024-08-08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6</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重庆熏风艺舍酒店有限公司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重庆市渝中区八一路108号第16层解放碑街道办事处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2024-08-08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7</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渝中区锦悦之星酒店</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重庆市渝中区解放碑街道临江路89号第2层A2-314#</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2024-08-07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8</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重庆世纪众途酒店管理有限公司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重庆市渝中区八一路250号9楼-16楼解放碑街道办事处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2024-08-07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9</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禧呈悦（重庆）酒店管理有限公司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重庆市渝中区解放碑街道五一路88号7-、8-写字间</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2024-08-07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10</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渝中区莱卡酒店</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重庆市渝中区民生路299号第5层解放碑街道办事处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2024-08-07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11</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西安西旅逸柏酒店投资有限责任公司重庆市渝中区都市广场酒店分公司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重庆市渝中区解放碑街道五四路39号4层63#</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2024-08-07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12</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渝中区开心快乐酒店</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重庆市渝中区邹容路120号都市广场A座平街六层B区部分的部分解放碑街道办事处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2024-08-07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13</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渝中区相柠酒店</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重庆市渝中区解放碑街道邹容路116-118号名义层第九层3#</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2024-08-06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14</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渝中区凤鸣宾馆</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重庆市渝中区五一路8号11-1#至11-15#解放碑街道办事处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2024-08-06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15</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重庆家心怡金旅酒店有限公司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重庆市渝中区正阳街68号9层-13层解放碑街道办事处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2024-08-06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16</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渝中区云憩酒店</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重庆市渝中区新华路142号A幢第31层解放碑街道办事处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2024-08-06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17</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渝中区宾顿吉和酒店</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重庆市渝中区解放碑街道邹容路116-118号第十八层</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2024-08-06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18</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重庆洪崖洞酒店有限公司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重庆市渝中区沧白路56号解放碑街道办事处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2024-08-06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19</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渝中区云逸酒店</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重庆市渝中区五一路8号A塔10层解放碑街道办事处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2024-08-06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丽笙御庭酒店（重庆）有限公司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重庆市渝中区解放碑街道八一路218号第三层</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2024-08-06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21</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西南图书公司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重庆市渝中区西来寺4号解放碑街道办事处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供水机构</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2024-08-05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22</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重庆商社物业管理有限公司（商社大厦）</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重庆市渝中区青年路18号解放碑街道办事处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供水机构</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2024-08-05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23</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中航物业管理有限公司重庆分公司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重庆市渝中区和平路85-125号解放碑街道办事处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供水机构</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2024-08-05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24</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重庆东广饭店有限公司重庆解放碑凯悦酒店分公司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重庆市渝中区邹容路68号解放碑街道办事处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供水机构</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2024-08-05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25</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重庆商社物业管理有限公司（商社电器大厦）</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重庆市渝中区民族路173号解放碑街道办事处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供水机构</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2024-08-05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26</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成都市七天酒店管理有限公司重庆解放碑三店</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重庆市渝中区民族路92号解放碑街道办事处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供水机构</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2024-08-05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27</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重庆医科大学附属第二医院</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lang w:val="en-US" w:eastAsia="zh-CN"/>
              </w:rPr>
              <w:t>重庆市渝中区临江路76号解放碑街道办事处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lang w:val="en-US" w:eastAsia="zh-CN"/>
              </w:rPr>
              <w:t>供水机构</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 xml:space="preserve">2024-08-05 </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28</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重庆桐君阁大药房连锁有限责任公司渝中区中山三路诊所</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重庆市渝中区中山三路127-131号1-1</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医疗机构</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2024-08-08</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29</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诺亚儿科诊所</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渝中区长江一路1号平街第一层3号区两路口街道办事处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医疗机构</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2024-08-08</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30</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重庆艾青堂诊所管理有限公司渝中区上清寺中医综合诊所</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重庆市渝中区上清寺街道上清寺路53-1#</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医疗机构</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2024-08-08</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31</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李熔西医内科诊所</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渝中区交通巷2号附1-7-1上清寺街道办事处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医疗机构</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2024-08-08</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32</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重庆老卫生科技工作者协会一诊所</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重庆市渝中区枇杷山正街245号两路口街道办事处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医疗机构</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2024-08-07</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33</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重庆市和田保健服务有限公司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重庆市渝中区中山三路170号负一层上清寺街道办事处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2024-08-07</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34</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渝中区金柠斯洗浴中心</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重庆市渝中区上清寺街道学田湾正街69-7号上清寺街道办事处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2024-08-07</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35</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重庆华悦宾馆有限公司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重庆市渝中区上清寺路73号6-1（自主承诺）</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2024-08-07</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36</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重庆市渝中区庆荣招待所</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重庆市渝中区下罗家湾16号2、3层上清寺街道办事处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2024-08-06</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37</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渝中区东荣山宾馆</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重庆市渝中区上清寺街道交通巷3号3-4#</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2024-08-06</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38</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重庆嘉七酒店有限公司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重庆市渝中区交通巷1号上清寺街道办事处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2024-08-06</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39</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渝中区民极宾馆</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重庆市渝中区上清寺街道上清寺路50-2号101#上清寺街道办事处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2024-08-06</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40</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重庆致君酒店管理有限公司</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重庆市渝中区上清寺街道美专校街66号第8层上清寺街道办事处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2024-08-05</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41</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渝中区嘉路宾馆</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重庆市渝中区嘉陵江滨江路268号附7号9栋负1层上清寺街道办事处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2024-08-05</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r>
        <w:tc>
          <w:tcPr>
            <w:tcW w:w="603"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42</w:t>
            </w:r>
          </w:p>
        </w:tc>
        <w:tc>
          <w:tcPr>
            <w:tcW w:w="196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渝中区金阳宾馆</w:t>
            </w:r>
          </w:p>
        </w:tc>
        <w:tc>
          <w:tcPr>
            <w:tcW w:w="4710" w:type="dxa"/>
            <w:vAlign w:val="center"/>
          </w:tcPr>
          <w:p>
            <w:pPr>
              <w:jc w:val="left"/>
              <w:rPr>
                <w:rFonts w:ascii="Times New Roman" w:cs="Times New Roman" w:hAnsi="Times New Roman" w:hint="eastAsia"/>
                <w:lang w:val="en-US" w:eastAsia="zh-CN"/>
              </w:rPr>
            </w:pPr>
            <w:r>
              <w:rPr>
                <w:rFonts w:ascii="Times New Roman" w:cs="Times New Roman" w:hAnsi="Times New Roman" w:hint="eastAsia"/>
                <w:lang w:val="en-US" w:eastAsia="zh-CN"/>
              </w:rPr>
              <w:t>重庆市渝中区人民路238号上清寺街道办事处</w:t>
            </w:r>
          </w:p>
        </w:tc>
        <w:tc>
          <w:tcPr>
            <w:tcW w:w="99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公共场所</w:t>
            </w:r>
          </w:p>
        </w:tc>
        <w:tc>
          <w:tcPr>
            <w:tcW w:w="100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日常监督检查</w:t>
            </w:r>
          </w:p>
        </w:tc>
        <w:tc>
          <w:tcPr>
            <w:tcW w:w="1860" w:type="dxa"/>
            <w:vMerge/>
            <w:vAlign w:val="center"/>
          </w:tcPr>
          <w:p/>
        </w:tc>
        <w:tc>
          <w:tcPr>
            <w:tcW w:w="186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重庆市渝中区卫生健康委员会</w:t>
            </w:r>
          </w:p>
        </w:tc>
        <w:tc>
          <w:tcPr>
            <w:tcW w:w="1545"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2024-08-05</w:t>
            </w:r>
          </w:p>
        </w:tc>
        <w:tc>
          <w:tcPr>
            <w:tcW w:w="1350" w:type="dxa"/>
            <w:vAlign w:val="center"/>
          </w:tcPr>
          <w:p>
            <w:pPr>
              <w:jc w:val="center"/>
              <w:rPr>
                <w:rFonts w:ascii="Times New Roman" w:cs="Times New Roman" w:hAnsi="Times New Roman" w:hint="eastAsia"/>
                <w:lang w:val="en-US" w:eastAsia="zh-CN"/>
              </w:rPr>
            </w:pPr>
            <w:r>
              <w:rPr>
                <w:rFonts w:ascii="Times New Roman" w:cs="Times New Roman" w:hAnsi="Times New Roman" w:hint="eastAsia"/>
                <w:lang w:val="en-US" w:eastAsia="zh-CN"/>
              </w:rPr>
              <w:t>未发现问题</w:t>
            </w:r>
          </w:p>
        </w:tc>
      </w:tr>
    </w:tbl>
    <w:p>
      <w:pPr>
        <w:jc w:val="left"/>
        <w:rPr>
          <w:rFonts w:ascii="Times New Roman" w:cs="Times New Roman" w:hAnsi="Times New Roman"/>
        </w:rPr>
      </w:pPr>
    </w:p>
    <w:sectPr>
      <w:pgSz w:w="16838" w:h="11906" w:orient="landscape"/>
      <w:pgMar w:top="709" w:right="567" w:bottom="709" w:left="56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永中宋体"/>
    <w:panose1 w:val="02020603050405020304"/>
    <w:charset w:val="86"/>
    <w:family w:val="swiss"/>
    <w:pitch w:val="variable"/>
    <w:sig w:usb0="E0002AFF" w:usb1="C0007841" w:usb2="00000009" w:usb3="00000000" w:csb0="400001FF" w:csb1="FFFF0000"/>
  </w:font>
  <w:font w:name="宋体">
    <w:panose1 w:val="02010600030101010101"/>
    <w:charset w:val="86"/>
    <w:family w:val="auto"/>
    <w:pitch w:val="variable"/>
    <w:sig w:usb0="00000003" w:usb1="288F0000" w:usb2="00000006" w:usb3="00000000" w:csb0="00040001" w:csb1="00000000"/>
  </w:font>
  <w:font w:name="方正仿宋_GBK">
    <w:panose1 w:val="00000000000000000000"/>
    <w:charset w:val="00"/>
    <w:family w:val="auto"/>
    <w:pitch w:val="variable"/>
    <w:sig w:usb0="00000000" w:usb1="00000000" w:usb2="00000000" w:usb3="00000000" w:csb0="00000000" w:csb1="00000000"/>
  </w:font>
  <w:font w:name="等线">
    <w:altName w:val="永中宋体"/>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compatSetting w:name="compatibilityMode" w:uri="http://schemas.microsoft.com/office/word" w:val="14"/>
  </w:compat>
  <w:docVars>
    <w:docVar w:name="commondata" w:val="eyJoZGlkIjoiMmUzOWE4MWNiMTQ5NGY3ZDA4OWU3MDE3NTUzMzU2ZDk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pPr>
      <w:widowControl w:val="0"/>
      <w:jc w:val="both"/>
    </w:pPr>
    <w:rPr>
      <w:rFonts w:ascii="等线" w:eastAsia="等线" w:cs="Arial"/>
      <w:kern w:val="2"/>
      <w:sz w:val="21"/>
      <w:szCs w:val="22"/>
      <w:lang w:val="en-US" w:eastAsia="zh-CN" w:bidi="ar-SA"/>
    </w:rPr>
  </w:style>
  <w:style w:type="character" w:default="1" w:styleId="10">
    <w:name w:val="Default Paragraph Font"/>
    <w:autoRedefine/>
  </w:style>
  <w:style w:type="paragraph" w:styleId="15">
    <w:name w:val="footer"/>
    <w:basedOn w:val="0"/>
    <w:autoRedefine/>
    <w:pPr>
      <w:tabs>
        <w:tab w:val="center" w:pos="4153"/>
        <w:tab w:val="right" w:pos="8306"/>
      </w:tabs>
      <w:snapToGrid w:val="0"/>
      <w:jc w:val="left"/>
    </w:pPr>
    <w:rPr>
      <w:sz w:val="18"/>
      <w:szCs w:val="18"/>
    </w:rPr>
  </w:style>
  <w:style w:type="paragraph" w:styleId="16">
    <w:name w:val="header"/>
    <w:basedOn w:val="0"/>
    <w:autoRedefine/>
    <w:pPr>
      <w:pBdr>
        <w:bottom w:val="single" w:sz="6" w:space="1" w:color="auto"/>
      </w:pBdr>
      <w:tabs>
        <w:tab w:val="center" w:pos="4153"/>
        <w:tab w:val="right" w:pos="8306"/>
      </w:tabs>
      <w:snapToGrid w:val="0"/>
      <w:jc w:val="center"/>
    </w:pPr>
    <w:rPr>
      <w:sz w:val="18"/>
      <w:szCs w:val="18"/>
    </w:rPr>
  </w:style>
  <w:style w:type="paragraph" w:styleId="17">
    <w:name w:val="Normal (Web)"/>
    <w:basedOn w:val="0"/>
    <w:autoRedefine/>
    <w:pPr>
      <w:spacing w:beforeAutospacing="1" w:afterAutospacing="1"/>
      <w:jc w:val="left"/>
    </w:pPr>
    <w:rPr>
      <w:rFonts w:cs="Times New Roman"/>
      <w:kern w:val="0"/>
      <w:sz w:val="24"/>
    </w:rPr>
  </w:style>
  <w:style w:type="character" w:styleId="18">
    <w:name w:val="Hyperlink"/>
    <w:basedOn w:val="10"/>
    <w:autoRedefine/>
    <w:rPr>
      <w:color w:val="0563C1"/>
      <w:u w:val="single"/>
    </w:rPr>
  </w:style>
  <w:style w:type="character" w:customStyle="1" w:styleId="19">
    <w:name w:val="font01"/>
    <w:basedOn w:val="10"/>
    <w:autoRedefine/>
    <w:rPr>
      <w:rFonts w:ascii="Arial" w:cs="Arial" w:hAnsi="Arial"/>
      <w:color w:val="000000"/>
      <w:sz w:val="20"/>
      <w:szCs w:val="20"/>
      <w:u w:val="none"/>
    </w:rPr>
  </w:style>
  <w:style w:type="character" w:customStyle="1" w:styleId="20">
    <w:name w:val="font51"/>
    <w:basedOn w:val="10"/>
    <w:autoRedefine/>
    <w:rPr>
      <w:rFonts w:ascii="宋体" w:eastAsia="宋体" w:cs="宋体"/>
      <w:color w:val="000000"/>
      <w:sz w:val="20"/>
      <w:szCs w:val="20"/>
      <w:u w:val="none"/>
    </w:rPr>
  </w:style>
  <w:style w:type="character" w:customStyle="1" w:styleId="21">
    <w:name w:val="font21"/>
    <w:basedOn w:val="10"/>
    <w:autoRedefine/>
    <w:rPr>
      <w:rFonts w:ascii="宋体" w:eastAsia="宋体" w:cs="宋体"/>
      <w:color w:val="000000"/>
      <w:sz w:val="20"/>
      <w:szCs w:val="20"/>
      <w:u w:val="none"/>
    </w:rPr>
  </w:style>
  <w:style w:type="character" w:customStyle="1" w:styleId="22">
    <w:name w:val="font31"/>
    <w:basedOn w:val="10"/>
    <w:autoRedefine/>
    <w:rPr>
      <w:rFonts w:ascii="宋体" w:eastAsia="宋体" w:cs="宋体"/>
      <w:color w:val="000000"/>
      <w:sz w:val="20"/>
      <w:szCs w:val="20"/>
      <w:u w:val="none"/>
    </w:rPr>
  </w:style>
  <w:style w:type="character" w:customStyle="1" w:styleId="23">
    <w:name w:val="font61"/>
    <w:basedOn w:val="10"/>
    <w:autoRedefine/>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3</Pages>
  <Words>2881</Words>
  <Characters>3444</Characters>
  <Lines>555</Lines>
  <Paragraphs>347</Paragraphs>
  <CharactersWithSpaces>3471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HP</dc:creator>
  <cp:lastModifiedBy>xg</cp:lastModifiedBy>
  <cp:revision>9</cp:revision>
  <cp:lastPrinted>2023-07-14T07:03:00Z</cp:lastPrinted>
  <dcterms:created xsi:type="dcterms:W3CDTF">2023-12-11T07:27:00Z</dcterms:created>
  <dcterms:modified xsi:type="dcterms:W3CDTF">2025-08-28T08:21:54Z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716A8C6370E54AE0BB95BBABA736D621</vt:lpwstr>
  </property>
  <property fmtid="{D5CDD505-2E9C-101B-9397-08002B2CF9AE}" pid="4" name="KSOTemplateDocerSaveRecord">
    <vt:lpwstr>eyJoZGlkIjoiMmUzOWE4MWNiMTQ5NGY3ZDA4OWU3MDE3NTUzMzU2ZDkiLCJ1c2VySWQiOiIxNTgzNTI3NDI3In0=</vt:lpwstr>
  </property>
</Properties>
</file>