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body>
    <w:p>
      <w:pPr>
        <w:pStyle w:val="15"/>
        <w:keepNext w:val="0"/>
        <w:keepLines w:val="0"/>
        <w:pageBreakBefore w:val="0"/>
        <w:widowControl/>
        <w:kinsoku/>
        <w:wordWrap/>
        <w:overflowPunct/>
        <w:topLinePunct w:val="0"/>
        <w:autoSpaceDE/>
        <w:autoSpaceDN/>
        <w:spacing w:line="341" w:lineRule="auto"/>
        <w:jc w:val="center"/>
        <w:rPr>
          <w:rFonts w:ascii="方正小标宋_GBK" w:eastAsia="方正小标宋_GBK" w:cs="Times New Roman"/>
          <w:spacing w:val="-4"/>
          <w:sz w:val="44"/>
          <w:szCs w:val="44"/>
        </w:rPr>
      </w:pPr>
      <w:r>
        <w:rPr>
          <w:rFonts w:ascii="方正小标宋_GBK" w:eastAsia="方正小标宋_GBK" w:cs="Times New Roman" w:hint="eastAsia"/>
          <w:spacing w:val="8"/>
          <w:sz w:val="44"/>
          <w:szCs w:val="44"/>
        </w:rPr>
        <w:t>重庆市渝中</w:t>
      </w:r>
      <w:r>
        <w:rPr>
          <w:rFonts w:ascii="方正小标宋_GBK" w:eastAsia="方正小标宋_GBK" w:cs="Times New Roman" w:hint="eastAsia"/>
          <w:spacing w:val="-4"/>
          <w:sz w:val="44"/>
          <w:szCs w:val="44"/>
        </w:rPr>
        <w:t>区卫生健康综合行政执法支队</w:t>
      </w:r>
    </w:p>
    <w:p>
      <w:pPr>
        <w:pStyle w:val="15"/>
        <w:keepNext w:val="0"/>
        <w:keepLines w:val="0"/>
        <w:pageBreakBefore w:val="0"/>
        <w:widowControl/>
        <w:kinsoku/>
        <w:wordWrap/>
        <w:overflowPunct/>
        <w:topLinePunct w:val="0"/>
        <w:autoSpaceDE/>
        <w:autoSpaceDN/>
        <w:spacing w:line="341" w:lineRule="auto"/>
        <w:jc w:val="center"/>
        <w:rPr>
          <w:rFonts w:ascii="方正小标宋_GBK" w:eastAsia="方正小标宋_GBK" w:cs="Times New Roman" w:hint="eastAsia"/>
          <w:spacing w:val="-4"/>
          <w:sz w:val="44"/>
          <w:szCs w:val="44"/>
        </w:rPr>
      </w:pPr>
      <w:r>
        <w:rPr>
          <w:rFonts w:ascii="方正小标宋_GBK" w:eastAsia="方正小标宋_GBK" w:cs="Times New Roman" w:hint="eastAsia"/>
          <w:spacing w:val="-4"/>
          <w:sz w:val="44"/>
          <w:szCs w:val="44"/>
        </w:rPr>
        <w:t>2023年度决算公开说明</w:t>
      </w:r>
    </w:p>
    <w:p>
      <w:pPr>
        <w:pStyle w:val="15"/>
        <w:keepNext w:val="0"/>
        <w:keepLines w:val="0"/>
        <w:pageBreakBefore w:val="0"/>
        <w:widowControl/>
        <w:kinsoku/>
        <w:wordWrap/>
        <w:overflowPunct/>
        <w:topLinePunct w:val="0"/>
        <w:autoSpaceDE/>
        <w:autoSpaceDN/>
        <w:spacing w:line="341" w:lineRule="auto"/>
        <w:jc w:val="both"/>
        <w:rPr>
          <w:rFonts w:ascii="Times New Roman" w:cs="Times New Roman" w:hAnsi="Times New Roman"/>
          <w:spacing w:val="-4"/>
        </w:rPr>
      </w:pPr>
    </w:p>
    <w:p>
      <w:pPr>
        <w:pStyle w:val="15"/>
        <w:keepNext w:val="0"/>
        <w:keepLines w:val="0"/>
        <w:pageBreakBefore w:val="0"/>
        <w:widowControl/>
        <w:kinsoku/>
        <w:wordWrap/>
        <w:overflowPunct/>
        <w:topLinePunct w:val="0"/>
        <w:autoSpaceDE/>
        <w:autoSpaceDN/>
        <w:spacing w:line="341" w:lineRule="auto"/>
        <w:ind w:left="0" w:firstLine="612"/>
        <w:jc w:val="both"/>
        <w:rPr>
          <w:rFonts w:ascii="Times New Roman" w:cs="Times New Roman" w:hAnsi="Times New Roman"/>
          <w:spacing w:val="-4"/>
        </w:rPr>
      </w:pPr>
      <w:r>
        <w:rPr>
          <w:rFonts w:ascii="Times New Roman" w:cs="Times New Roman" w:hAnsi="Times New Roman"/>
          <w:bCs/>
          <w:spacing w:val="-4"/>
        </w:rPr>
        <w:t>一、部门基本情况</w:t>
      </w:r>
    </w:p>
    <w:p>
      <w:pPr>
        <w:pStyle w:val="15"/>
        <w:keepNext w:val="0"/>
        <w:keepLines w:val="0"/>
        <w:pageBreakBefore w:val="0"/>
        <w:widowControl/>
        <w:kinsoku/>
        <w:wordWrap/>
        <w:overflowPunct/>
        <w:topLinePunct w:val="0"/>
        <w:autoSpaceDE/>
        <w:autoSpaceDN/>
        <w:spacing w:line="341" w:lineRule="auto"/>
        <w:ind w:left="0" w:firstLine="612"/>
        <w:jc w:val="both"/>
        <w:rPr>
          <w:rFonts w:ascii="Times New Roman" w:cs="Times New Roman" w:hAnsi="Times New Roman"/>
          <w:spacing w:val="-4"/>
        </w:rPr>
      </w:pPr>
      <w:r>
        <w:rPr>
          <w:rFonts w:ascii="Times New Roman" w:cs="Times New Roman" w:hAnsi="Times New Roman"/>
          <w:bCs/>
          <w:spacing w:val="-4"/>
        </w:rPr>
        <w:t>（一）职能职责</w:t>
      </w:r>
      <w:bookmarkStart w:id="0" w:name="_GoBack"/>
      <w:bookmarkEnd w:id="0"/>
    </w:p>
    <w:p>
      <w:pPr>
        <w:pStyle w:val="15"/>
        <w:keepNext w:val="0"/>
        <w:keepLines w:val="0"/>
        <w:pageBreakBefore w:val="0"/>
        <w:widowControl/>
        <w:kinsoku/>
        <w:wordWrap/>
        <w:overflowPunct/>
        <w:topLinePunct w:val="0"/>
        <w:autoSpaceDE/>
        <w:autoSpaceDN/>
        <w:spacing w:line="341" w:lineRule="auto"/>
        <w:ind w:left="0" w:firstLine="612"/>
        <w:jc w:val="both"/>
        <w:rPr>
          <w:rFonts w:ascii="Times New Roman" w:cs="Times New Roman" w:hAnsi="Times New Roman"/>
        </w:rPr>
      </w:pPr>
      <w:r>
        <w:rPr>
          <w:rFonts w:ascii="Times New Roman" w:cs="Times New Roman" w:hAnsi="Times New Roman"/>
          <w:spacing w:val="-4"/>
        </w:rPr>
        <w:t>重庆市渝中区卫生健康综合行政执法支队以重庆市渝中区卫生健康委员会的名义，统一行使卫生健康和动物卫生领域的行政处罚权与之相关的行政检查、行政强制权等执法职能。主要职责是：1、贯彻执行相关卫生健康综合行政执法</w:t>
      </w:r>
      <w:r>
        <w:rPr>
          <w:rFonts w:ascii="Times New Roman" w:cs="Times New Roman" w:hAnsi="Times New Roman"/>
        </w:rPr>
        <w:t>工作制度、地方</w:t>
      </w:r>
      <w:r>
        <w:rPr>
          <w:rFonts w:ascii="Times New Roman" w:cs="Times New Roman" w:hAnsi="Times New Roman"/>
          <w:spacing w:val="2"/>
        </w:rPr>
        <w:t>性卫生执法标准。2、承担区内医疗机构、采供</w:t>
      </w:r>
      <w:r>
        <w:rPr>
          <w:rFonts w:ascii="Times New Roman" w:cs="Times New Roman" w:hAnsi="Times New Roman"/>
          <w:spacing w:val="1"/>
        </w:rPr>
        <w:t>血机构和医师执业、计划生育、母婴保健等医疗卫生领域的执法职能。3、承担</w:t>
      </w:r>
      <w:r>
        <w:rPr>
          <w:rFonts w:ascii="Times New Roman" w:cs="Times New Roman" w:hAnsi="Times New Roman"/>
          <w:spacing w:val="-4"/>
        </w:rPr>
        <w:t>区内公共场所卫生、饮用水卫生、学校卫生等公共卫生领域的执</w:t>
      </w:r>
      <w:r>
        <w:rPr>
          <w:rFonts w:ascii="Times New Roman" w:cs="Times New Roman" w:hAnsi="Times New Roman"/>
          <w:spacing w:val="1"/>
        </w:rPr>
        <w:t>法职能。4、承担区内传染病防治、消毒产品、餐饮具集中消毒</w:t>
      </w:r>
      <w:r>
        <w:rPr>
          <w:rFonts w:ascii="Times New Roman" w:cs="Times New Roman" w:hAnsi="Times New Roman"/>
          <w:spacing w:val="2"/>
        </w:rPr>
        <w:t>等传染病防治领域的执法职能。5、承担区内职业卫生、放</w:t>
      </w:r>
      <w:r>
        <w:rPr>
          <w:rFonts w:ascii="Times New Roman" w:cs="Times New Roman" w:hAnsi="Times New Roman"/>
          <w:spacing w:val="1"/>
        </w:rPr>
        <w:t>射卫</w:t>
      </w:r>
      <w:r>
        <w:rPr>
          <w:rFonts w:ascii="Times New Roman" w:cs="Times New Roman" w:hAnsi="Times New Roman"/>
          <w:spacing w:val="2"/>
        </w:rPr>
        <w:t>生等职业健康领域的执法职能。6、承担区内卫生健康综</w:t>
      </w:r>
      <w:r>
        <w:rPr>
          <w:rFonts w:ascii="Times New Roman" w:cs="Times New Roman" w:hAnsi="Times New Roman"/>
          <w:spacing w:val="1"/>
        </w:rPr>
        <w:t>合行政</w:t>
      </w:r>
      <w:r>
        <w:rPr>
          <w:rFonts w:ascii="Times New Roman" w:cs="Times New Roman" w:hAnsi="Times New Roman"/>
          <w:spacing w:val="2"/>
        </w:rPr>
        <w:t>执法体系和信息化建设任务。7、承担动物</w:t>
      </w:r>
      <w:r>
        <w:rPr>
          <w:rFonts w:ascii="Times New Roman" w:cs="Times New Roman" w:hAnsi="Times New Roman"/>
          <w:spacing w:val="1"/>
        </w:rPr>
        <w:t>及动物产品检疫、动物防疫、畜禽屠宰、动物诊疗、兽药等方面的执法职能。8、监</w:t>
      </w:r>
      <w:r>
        <w:rPr>
          <w:rFonts w:ascii="Times New Roman" w:cs="Times New Roman" w:hAnsi="Times New Roman"/>
          <w:spacing w:val="2"/>
        </w:rPr>
        <w:t>督、指导街道卫生健康综合行政执法工作。9、承担区卫生健康</w:t>
      </w:r>
      <w:r>
        <w:rPr>
          <w:rFonts w:ascii="Times New Roman" w:cs="Times New Roman" w:hAnsi="Times New Roman"/>
          <w:spacing w:val="-5"/>
        </w:rPr>
        <w:t>综合行政执法有关的应急工作。10、完成区委、区政府和区卫生</w:t>
      </w:r>
      <w:r>
        <w:rPr>
          <w:rFonts w:ascii="Times New Roman" w:cs="Times New Roman" w:hAnsi="Times New Roman"/>
          <w:spacing w:val="-2"/>
        </w:rPr>
        <w:t>健康委交办的其他任务。</w:t>
      </w:r>
    </w:p>
    <w:p>
      <w:pPr>
        <w:keepNext w:val="0"/>
        <w:keepLines w:val="0"/>
        <w:pageBreakBefore w:val="0"/>
        <w:widowControl/>
        <w:kinsoku/>
        <w:wordWrap/>
        <w:overflowPunct/>
        <w:topLinePunct w:val="0"/>
        <w:autoSpaceDE/>
        <w:autoSpaceDN/>
        <w:bidi w:val="0"/>
        <w:adjustRightInd w:val="0"/>
        <w:snapToGrid w:val="0"/>
        <w:spacing w:line="235"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2"/>
          <w:sz w:val="31"/>
          <w:szCs w:val="31"/>
        </w:rPr>
        <w:t>（二）机构设置</w:t>
      </w:r>
    </w:p>
    <w:p>
      <w:pPr>
        <w:pStyle w:val="15"/>
        <w:keepNext w:val="0"/>
        <w:keepLines w:val="0"/>
        <w:pageBreakBefore w:val="0"/>
        <w:widowControl/>
        <w:kinsoku/>
        <w:wordWrap/>
        <w:overflowPunct/>
        <w:topLinePunct w:val="0"/>
        <w:autoSpaceDE/>
        <w:autoSpaceDN/>
        <w:bidi w:val="0"/>
        <w:adjustRightInd w:val="0"/>
        <w:snapToGrid w:val="0"/>
        <w:spacing w:line="218" w:lineRule="auto"/>
        <w:ind w:left="0" w:right="0"/>
        <w:jc w:val="both"/>
        <w:textAlignment w:val="baseline"/>
        <w:rPr>
          <w:rFonts w:ascii="Times New Roman" w:cs="Times New Roman" w:hAnsi="Times New Roman"/>
        </w:rPr>
      </w:pPr>
      <w:r>
        <w:rPr>
          <w:rFonts w:ascii="Times New Roman" w:cs="Times New Roman" w:hAnsi="Times New Roman"/>
          <w:spacing w:val="1"/>
        </w:rPr>
        <w:t>重庆市渝中区卫生健康综合行政执法支队内设9个科室。</w:t>
      </w:r>
    </w:p>
    <w:p>
      <w:pPr>
        <w:keepNext w:val="0"/>
        <w:keepLines w:val="0"/>
        <w:pageBreakBefore w:val="0"/>
        <w:widowControl/>
        <w:kinsoku/>
        <w:wordWrap/>
        <w:overflowPunct/>
        <w:topLinePunct w:val="0"/>
        <w:autoSpaceDE/>
        <w:autoSpaceDN/>
        <w:bidi w:val="0"/>
        <w:adjustRightInd w:val="0"/>
        <w:snapToGrid w:val="0"/>
        <w:spacing w:line="226" w:lineRule="auto"/>
        <w:ind w:left="0" w:right="0"/>
        <w:jc w:val="both"/>
        <w:textAlignment w:val="baseline"/>
        <w:outlineLvl w:val="0"/>
        <w:rPr>
          <w:rFonts w:ascii="Times New Roman" w:eastAsia="黑体" w:cs="Times New Roman" w:hAnsi="Times New Roman"/>
          <w:sz w:val="31"/>
          <w:szCs w:val="31"/>
        </w:rPr>
      </w:pPr>
      <w:r>
        <w:rPr>
          <w:rFonts w:ascii="Times New Roman" w:eastAsia="黑体" w:cs="Times New Roman" w:hAnsi="Times New Roman"/>
          <w:b/>
          <w:bCs/>
          <w:spacing w:val="5"/>
          <w:sz w:val="31"/>
          <w:szCs w:val="31"/>
        </w:rPr>
        <w:t>二、部门决算情况说明</w:t>
      </w:r>
    </w:p>
    <w:p>
      <w:pPr>
        <w:keepNext w:val="0"/>
        <w:keepLines w:val="0"/>
        <w:pageBreakBefore w:val="0"/>
        <w:widowControl/>
        <w:kinsoku/>
        <w:wordWrap/>
        <w:overflowPunct/>
        <w:topLinePunct w:val="0"/>
        <w:autoSpaceDE/>
        <w:autoSpaceDN/>
        <w:bidi w:val="0"/>
        <w:adjustRightInd w:val="0"/>
        <w:snapToGrid w:val="0"/>
        <w:spacing w:line="226" w:lineRule="auto"/>
        <w:ind w:left="0" w:right="0"/>
        <w:jc w:val="both"/>
        <w:textAlignment w:val="baseline"/>
        <w:rPr>
          <w:rFonts w:ascii="Times New Roman" w:eastAsia="黑体" w:cs="Times New Roman" w:hAnsi="Times New Roman"/>
          <w:sz w:val="31"/>
          <w:szCs w:val="31"/>
        </w:rPr>
        <w:sectPr>
          <w:footerReference w:type="default" r:id="rId2"/>
          <w:pgSz w:w="11915" w:h="16840"/>
          <w:pgMar w:top="1431" w:right="1787" w:bottom="1166" w:left="1787" w:header="0" w:footer="987" w:gutter="0"/>
          <w:docGrid w:linePitch="312" w:charSpace="0"/>
        </w:sectPr>
      </w:pPr>
    </w:p>
    <w:p>
      <w:pPr>
        <w:keepNext w:val="0"/>
        <w:keepLines w:val="0"/>
        <w:pageBreakBefore w:val="0"/>
        <w:widowControl/>
        <w:kinsoku/>
        <w:wordWrap/>
        <w:overflowPunct/>
        <w:topLinePunct w:val="0"/>
        <w:autoSpaceDE/>
        <w:autoSpaceDN/>
        <w:bidi w:val="0"/>
        <w:adjustRightInd w:val="0"/>
        <w:snapToGrid w:val="0"/>
        <w:spacing w:line="233"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4"/>
          <w:sz w:val="31"/>
          <w:szCs w:val="31"/>
        </w:rPr>
        <w:t>（一）收入支出决算总体情况说明。</w:t>
      </w:r>
    </w:p>
    <w:p>
      <w:pPr>
        <w:pStyle w:val="15"/>
        <w:keepNext w:val="0"/>
        <w:keepLines w:val="0"/>
        <w:pageBreakBefore w:val="0"/>
        <w:widowControl/>
        <w:kinsoku/>
        <w:wordWrap/>
        <w:overflowPunct/>
        <w:topLinePunct w:val="0"/>
        <w:autoSpaceDE/>
        <w:autoSpaceDN/>
        <w:bidi w:val="0"/>
        <w:adjustRightInd w:val="0"/>
        <w:snapToGrid w:val="0"/>
        <w:spacing w:line="338" w:lineRule="auto"/>
        <w:ind w:left="0" w:right="0" w:firstLine="666"/>
        <w:jc w:val="both"/>
        <w:textAlignment w:val="baseline"/>
        <w:rPr>
          <w:rFonts w:ascii="Times New Roman" w:cs="Times New Roman" w:hAnsi="Times New Roman"/>
        </w:rPr>
      </w:pPr>
      <w:r>
        <w:rPr>
          <w:rFonts w:ascii="Times New Roman" w:cs="Times New Roman" w:hAnsi="Times New Roman"/>
          <w:b/>
          <w:bCs/>
          <w:spacing w:val="-5"/>
          <w:sz w:val="31"/>
          <w:szCs w:val="31"/>
        </w:rPr>
        <w:t>1.总体情况。</w:t>
      </w:r>
      <w:r>
        <w:rPr>
          <w:rFonts w:ascii="Times New Roman" w:cs="Times New Roman" w:hAnsi="Times New Roman"/>
          <w:spacing w:val="-5"/>
        </w:rPr>
        <w:t>2023年度收入总计1434.19万元，支出总计1434.19万元。收支较上年决算数增加35.70万元，增长2.55%，</w:t>
      </w:r>
      <w:r>
        <w:rPr>
          <w:rFonts w:ascii="Times New Roman" w:cs="Times New Roman" w:hAnsi="Times New Roman"/>
          <w:spacing w:val="-2"/>
        </w:rPr>
        <w:t>主要原因一是2023年机关事业单位养老保险缴费支出为</w:t>
      </w:r>
      <w:r>
        <w:rPr>
          <w:rFonts w:ascii="Times New Roman" w:cs="Times New Roman" w:hAnsi="Times New Roman"/>
          <w:spacing w:val="-3"/>
        </w:rPr>
        <w:t>88.68</w:t>
      </w:r>
      <w:r>
        <w:rPr>
          <w:rFonts w:ascii="Times New Roman" w:cs="Times New Roman" w:hAnsi="Times New Roman"/>
          <w:spacing w:val="-5"/>
        </w:rPr>
        <w:t>万元，2022年为60.59万元，增加28.08万元；二是2023年住</w:t>
      </w:r>
      <w:r>
        <w:rPr>
          <w:rFonts w:ascii="Times New Roman" w:cs="Times New Roman" w:hAnsi="Times New Roman"/>
          <w:spacing w:val="-4"/>
        </w:rPr>
        <w:t>房公积金预算为73.82万元，2022年为45.45万</w:t>
      </w:r>
      <w:r>
        <w:rPr>
          <w:rFonts w:ascii="Times New Roman" w:cs="Times New Roman" w:hAnsi="Times New Roman"/>
          <w:spacing w:val="-5"/>
        </w:rPr>
        <w:t>元，增加28.37</w:t>
      </w:r>
      <w:r>
        <w:rPr>
          <w:rFonts w:ascii="Times New Roman" w:cs="Times New Roman" w:hAnsi="Times New Roman"/>
          <w:spacing w:val="-13"/>
        </w:rPr>
        <w:t>万元；三是2023年行政单位离退休103.15万元，2022年为108.32万元，减少5.17万元；四是2023年无执法全过程项目经费，</w:t>
      </w:r>
      <w:r>
        <w:rPr>
          <w:rFonts w:ascii="Times New Roman" w:cs="Times New Roman" w:hAnsi="Times New Roman"/>
          <w:spacing w:val="-14"/>
        </w:rPr>
        <w:t>2022</w:t>
      </w:r>
      <w:r>
        <w:rPr>
          <w:rFonts w:ascii="Times New Roman" w:cs="Times New Roman" w:hAnsi="Times New Roman"/>
          <w:spacing w:val="-7"/>
        </w:rPr>
        <w:t>年为7.04万元，减少7.04万元。</w:t>
      </w:r>
    </w:p>
    <w:p>
      <w:pPr>
        <w:pStyle w:val="15"/>
        <w:keepNext w:val="0"/>
        <w:keepLines w:val="0"/>
        <w:pageBreakBefore w:val="0"/>
        <w:widowControl/>
        <w:kinsoku/>
        <w:wordWrap/>
        <w:overflowPunct/>
        <w:topLinePunct w:val="0"/>
        <w:autoSpaceDE/>
        <w:autoSpaceDN/>
        <w:bidi w:val="0"/>
        <w:adjustRightInd w:val="0"/>
        <w:snapToGrid w:val="0"/>
        <w:spacing w:line="338" w:lineRule="auto"/>
        <w:ind w:left="0" w:right="0" w:firstLine="645"/>
        <w:jc w:val="both"/>
        <w:textAlignment w:val="baseline"/>
        <w:rPr>
          <w:rFonts w:ascii="Times New Roman" w:cs="Times New Roman" w:hAnsi="Times New Roman"/>
        </w:rPr>
      </w:pPr>
      <w:r>
        <w:rPr>
          <w:rFonts w:ascii="Times New Roman" w:cs="Times New Roman" w:hAnsi="Times New Roman"/>
          <w:b/>
          <w:bCs/>
          <w:spacing w:val="-3"/>
          <w:sz w:val="31"/>
          <w:szCs w:val="31"/>
        </w:rPr>
        <w:t>2.收入情况。</w:t>
      </w:r>
      <w:r>
        <w:rPr>
          <w:rFonts w:ascii="Times New Roman" w:cs="Times New Roman" w:hAnsi="Times New Roman"/>
          <w:spacing w:val="-3"/>
        </w:rPr>
        <w:t>2023年度收入合计1434.19万元，较上年决</w:t>
      </w:r>
      <w:r>
        <w:rPr>
          <w:rFonts w:ascii="Times New Roman" w:cs="Times New Roman" w:hAnsi="Times New Roman"/>
          <w:spacing w:val="-4"/>
        </w:rPr>
        <w:t>算数增加35.70万元，增长2.55%，主要原因一是2023年机关事</w:t>
      </w:r>
      <w:r>
        <w:rPr>
          <w:rFonts w:ascii="Times New Roman" w:cs="Times New Roman" w:hAnsi="Times New Roman"/>
          <w:spacing w:val="-2"/>
        </w:rPr>
        <w:t>业单位养老保险缴费支出为88.68万元，2022年为60.59</w:t>
      </w:r>
      <w:r>
        <w:rPr>
          <w:rFonts w:ascii="Times New Roman" w:cs="Times New Roman" w:hAnsi="Times New Roman"/>
          <w:spacing w:val="-3"/>
        </w:rPr>
        <w:t>万元，</w:t>
      </w:r>
      <w:r>
        <w:rPr>
          <w:rFonts w:ascii="Times New Roman" w:cs="Times New Roman" w:hAnsi="Times New Roman"/>
          <w:spacing w:val="-12"/>
        </w:rPr>
        <w:t>增加28.08万元；二是2023年住房公积金预算为73.</w:t>
      </w:r>
      <w:r>
        <w:rPr>
          <w:rFonts w:ascii="Times New Roman" w:cs="Times New Roman" w:hAnsi="Times New Roman"/>
          <w:spacing w:val="-13"/>
        </w:rPr>
        <w:t>82万元，2022</w:t>
      </w:r>
      <w:r>
        <w:rPr>
          <w:rFonts w:ascii="Times New Roman" w:cs="Times New Roman" w:hAnsi="Times New Roman"/>
          <w:spacing w:val="-8"/>
        </w:rPr>
        <w:t>年为45.45万元，增加28.37万元；三是2023年行政单位离退休</w:t>
      </w:r>
      <w:r>
        <w:rPr>
          <w:rFonts w:ascii="Times New Roman" w:cs="Times New Roman" w:hAnsi="Times New Roman"/>
          <w:spacing w:val="-12"/>
        </w:rPr>
        <w:t>103.15万元，2022年为108.32万元，减少5.17万元；四</w:t>
      </w:r>
      <w:r>
        <w:rPr>
          <w:rFonts w:ascii="Times New Roman" w:cs="Times New Roman" w:hAnsi="Times New Roman"/>
          <w:spacing w:val="-13"/>
        </w:rPr>
        <w:t>是2023</w:t>
      </w:r>
      <w:r>
        <w:rPr>
          <w:rFonts w:ascii="Times New Roman" w:cs="Times New Roman" w:hAnsi="Times New Roman"/>
          <w:spacing w:val="-12"/>
        </w:rPr>
        <w:t>年无执法全过程项目经费，2022年为7.04万元，减少7.04万元。</w:t>
      </w:r>
      <w:r>
        <w:rPr>
          <w:rFonts w:ascii="Times New Roman" w:cs="Times New Roman" w:hAnsi="Times New Roman"/>
          <w:spacing w:val="-7"/>
        </w:rPr>
        <w:t>其中：财政拨款收入1434.19万元，占100.00%；此</w:t>
      </w:r>
      <w:r>
        <w:rPr>
          <w:rFonts w:ascii="Times New Roman" w:cs="Times New Roman" w:hAnsi="Times New Roman"/>
          <w:spacing w:val="-8"/>
        </w:rPr>
        <w:t>外，使用非</w:t>
      </w:r>
      <w:r>
        <w:rPr>
          <w:rFonts w:ascii="Times New Roman" w:cs="Times New Roman" w:hAnsi="Times New Roman"/>
          <w:spacing w:val="-7"/>
        </w:rPr>
        <w:t>财政拨款结余和专用结余0.00万元，年初结转和结余0.0</w:t>
      </w:r>
      <w:r>
        <w:rPr>
          <w:rFonts w:ascii="Times New Roman" w:cs="Times New Roman" w:hAnsi="Times New Roman"/>
          <w:spacing w:val="-8"/>
        </w:rPr>
        <w:t>0万元。</w:t>
      </w:r>
    </w:p>
    <w:p>
      <w:pPr>
        <w:pStyle w:val="15"/>
        <w:keepNext w:val="0"/>
        <w:keepLines w:val="0"/>
        <w:pageBreakBefore w:val="0"/>
        <w:widowControl/>
        <w:kinsoku/>
        <w:wordWrap/>
        <w:overflowPunct/>
        <w:topLinePunct w:val="0"/>
        <w:autoSpaceDE/>
        <w:autoSpaceDN/>
        <w:bidi w:val="0"/>
        <w:adjustRightInd w:val="0"/>
        <w:snapToGrid w:val="0"/>
        <w:spacing w:line="336" w:lineRule="auto"/>
        <w:ind w:left="0" w:right="0" w:firstLine="638"/>
        <w:jc w:val="both"/>
        <w:textAlignment w:val="baseline"/>
        <w:rPr>
          <w:rFonts w:ascii="Times New Roman" w:cs="Times New Roman" w:hAnsi="Times New Roman"/>
        </w:rPr>
      </w:pPr>
      <w:r>
        <w:rPr>
          <w:rFonts w:ascii="Times New Roman" w:cs="Times New Roman" w:hAnsi="Times New Roman"/>
          <w:b/>
          <w:bCs/>
          <w:spacing w:val="-3"/>
          <w:sz w:val="31"/>
          <w:szCs w:val="31"/>
        </w:rPr>
        <w:t>3.支出情况。</w:t>
      </w:r>
      <w:r>
        <w:rPr>
          <w:rFonts w:ascii="Times New Roman" w:cs="Times New Roman" w:hAnsi="Times New Roman"/>
          <w:spacing w:val="-3"/>
        </w:rPr>
        <w:t>2023年度支出合计1434.19万元，较上年决</w:t>
      </w:r>
      <w:r>
        <w:rPr>
          <w:rFonts w:ascii="Times New Roman" w:cs="Times New Roman" w:hAnsi="Times New Roman"/>
          <w:spacing w:val="-4"/>
        </w:rPr>
        <w:t>算数增加35.70万元，增长2.55%，主要原因一是202</w:t>
      </w:r>
      <w:r>
        <w:rPr>
          <w:rFonts w:ascii="Times New Roman" w:cs="Times New Roman" w:hAnsi="Times New Roman"/>
          <w:spacing w:val="-5"/>
        </w:rPr>
        <w:t>3年机关事</w:t>
      </w:r>
      <w:r>
        <w:rPr>
          <w:rFonts w:ascii="Times New Roman" w:cs="Times New Roman" w:hAnsi="Times New Roman"/>
          <w:spacing w:val="-4"/>
        </w:rPr>
        <w:t>业单位养老保险缴费支出为88.68万元，2022年为60</w:t>
      </w:r>
      <w:r>
        <w:rPr>
          <w:rFonts w:ascii="Times New Roman" w:cs="Times New Roman" w:hAnsi="Times New Roman"/>
          <w:spacing w:val="-5"/>
        </w:rPr>
        <w:t>.59万元，</w:t>
      </w:r>
      <w:r>
        <w:rPr>
          <w:rFonts w:ascii="Times New Roman" w:cs="Times New Roman" w:hAnsi="Times New Roman"/>
          <w:spacing w:val="-12"/>
        </w:rPr>
        <w:t>增加28.08万元；二是2023年住房公积金预</w:t>
      </w:r>
      <w:r>
        <w:rPr>
          <w:rFonts w:ascii="Times New Roman" w:cs="Times New Roman" w:hAnsi="Times New Roman"/>
          <w:spacing w:val="-13"/>
        </w:rPr>
        <w:t>算为73.82万元，2022</w:t>
      </w:r>
    </w:p>
    <w:p>
      <w:pPr>
        <w:keepNext w:val="0"/>
        <w:keepLines w:val="0"/>
        <w:pageBreakBefore w:val="0"/>
        <w:widowControl/>
        <w:kinsoku/>
        <w:wordWrap/>
        <w:overflowPunct/>
        <w:topLinePunct w:val="0"/>
        <w:autoSpaceDE/>
        <w:autoSpaceDN/>
        <w:bidi w:val="0"/>
        <w:adjustRightInd w:val="0"/>
        <w:snapToGrid w:val="0"/>
        <w:spacing w:line="336" w:lineRule="auto"/>
        <w:ind w:left="0" w:right="0"/>
        <w:jc w:val="both"/>
        <w:textAlignment w:val="baseline"/>
        <w:rPr>
          <w:rFonts w:ascii="Times New Roman" w:cs="Times New Roman" w:hAnsi="Times New Roman"/>
        </w:rPr>
        <w:sectPr>
          <w:footerReference w:type="default" r:id="rId3"/>
          <w:pgSz w:w="11915" w:h="16840"/>
          <w:pgMar w:top="1431" w:right="1690" w:bottom="1166" w:left="1787" w:header="0" w:footer="987" w:gutter="0"/>
          <w:docGrid w:linePitch="312" w:charSpace="0"/>
        </w:sectPr>
      </w:pPr>
    </w:p>
    <w:p>
      <w:pPr>
        <w:pStyle w:val="15"/>
        <w:keepNext w:val="0"/>
        <w:keepLines w:val="0"/>
        <w:pageBreakBefore w:val="0"/>
        <w:widowControl/>
        <w:kinsoku/>
        <w:wordWrap/>
        <w:overflowPunct/>
        <w:topLinePunct w:val="0"/>
        <w:autoSpaceDE/>
        <w:autoSpaceDN/>
        <w:bidi w:val="0"/>
        <w:adjustRightInd w:val="0"/>
        <w:snapToGrid w:val="0"/>
        <w:spacing w:line="331" w:lineRule="auto"/>
        <w:ind w:left="0" w:right="0" w:firstLine="2"/>
        <w:jc w:val="both"/>
        <w:textAlignment w:val="baseline"/>
        <w:rPr>
          <w:rFonts w:ascii="Times New Roman" w:cs="Times New Roman" w:hAnsi="Times New Roman"/>
        </w:rPr>
      </w:pPr>
      <w:r>
        <w:rPr>
          <w:rFonts w:ascii="Times New Roman" w:cs="Times New Roman" w:hAnsi="Times New Roman"/>
          <w:spacing w:val="-8"/>
        </w:rPr>
        <w:t>年为45.45万元，增加28.37万元；三是2023年行政单位离</w:t>
      </w:r>
      <w:r>
        <w:rPr>
          <w:rFonts w:ascii="Times New Roman" w:cs="Times New Roman" w:hAnsi="Times New Roman"/>
          <w:spacing w:val="-9"/>
        </w:rPr>
        <w:t>退休</w:t>
      </w:r>
      <w:r>
        <w:rPr>
          <w:rFonts w:ascii="Times New Roman" w:cs="Times New Roman" w:hAnsi="Times New Roman"/>
          <w:spacing w:val="-12"/>
        </w:rPr>
        <w:t>103.15万元，2022年为108.32万元，减少5.17万元；四</w:t>
      </w:r>
      <w:r>
        <w:rPr>
          <w:rFonts w:ascii="Times New Roman" w:cs="Times New Roman" w:hAnsi="Times New Roman"/>
          <w:spacing w:val="-13"/>
        </w:rPr>
        <w:t>是2023</w:t>
      </w:r>
      <w:r>
        <w:rPr>
          <w:rFonts w:ascii="Times New Roman" w:cs="Times New Roman" w:hAnsi="Times New Roman"/>
          <w:spacing w:val="-12"/>
        </w:rPr>
        <w:t>年无执法全过程项目经费，2022年为7.04万元，减少7.04万元。</w:t>
      </w:r>
      <w:r>
        <w:rPr>
          <w:rFonts w:ascii="Times New Roman" w:cs="Times New Roman" w:hAnsi="Times New Roman"/>
          <w:spacing w:val="-9"/>
        </w:rPr>
        <w:t>其中：基本支出1307.30万元，占</w:t>
      </w:r>
      <w:r>
        <w:rPr>
          <w:rFonts w:ascii="Times New Roman" w:cs="Times New Roman" w:hAnsi="Times New Roman"/>
          <w:spacing w:val="-10"/>
        </w:rPr>
        <w:t>91.15%；项目支出126.89万</w:t>
      </w:r>
      <w:r>
        <w:rPr>
          <w:rFonts w:ascii="Times New Roman" w:cs="Times New Roman" w:hAnsi="Times New Roman"/>
          <w:spacing w:val="-7"/>
        </w:rPr>
        <w:t>元，占8.85%。此外，结余分配0.00万元。</w:t>
      </w:r>
    </w:p>
    <w:p>
      <w:pPr>
        <w:pStyle w:val="15"/>
        <w:keepNext w:val="0"/>
        <w:keepLines w:val="0"/>
        <w:pageBreakBefore w:val="0"/>
        <w:widowControl/>
        <w:kinsoku/>
        <w:wordWrap/>
        <w:overflowPunct/>
        <w:topLinePunct w:val="0"/>
        <w:autoSpaceDE/>
        <w:autoSpaceDN/>
        <w:bidi w:val="0"/>
        <w:adjustRightInd w:val="0"/>
        <w:snapToGrid w:val="0"/>
        <w:spacing w:line="235" w:lineRule="auto"/>
        <w:ind w:left="0" w:right="0"/>
        <w:jc w:val="both"/>
        <w:textAlignment w:val="baseline"/>
        <w:outlineLvl w:val="2"/>
        <w:rPr>
          <w:rFonts w:ascii="Times New Roman" w:cs="Times New Roman" w:hAnsi="Times New Roman"/>
        </w:rPr>
      </w:pPr>
      <w:r>
        <w:rPr>
          <w:rFonts w:ascii="Times New Roman" w:cs="Times New Roman" w:hAnsi="Times New Roman"/>
          <w:b/>
          <w:bCs/>
          <w:spacing w:val="-3"/>
          <w:sz w:val="31"/>
          <w:szCs w:val="31"/>
        </w:rPr>
        <w:t>4.结转结余情况。</w:t>
      </w:r>
      <w:r>
        <w:rPr>
          <w:rFonts w:ascii="Times New Roman" w:cs="Times New Roman" w:hAnsi="Times New Roman"/>
          <w:spacing w:val="-3"/>
        </w:rPr>
        <w:t>2023年度年末结转和结余0.00万元，较</w:t>
      </w:r>
    </w:p>
    <w:p>
      <w:pPr>
        <w:pStyle w:val="15"/>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rPr>
          <w:rFonts w:ascii="Times New Roman" w:cs="Times New Roman" w:hAnsi="Times New Roman"/>
        </w:rPr>
      </w:pPr>
      <w:r>
        <w:rPr>
          <w:rFonts w:ascii="Times New Roman" w:cs="Times New Roman" w:hAnsi="Times New Roman"/>
          <w:spacing w:val="-3"/>
        </w:rPr>
        <w:t>上年决算数无增减。</w:t>
      </w:r>
    </w:p>
    <w:p>
      <w:pPr>
        <w:keepNext w:val="0"/>
        <w:keepLines w:val="0"/>
        <w:pageBreakBefore w:val="0"/>
        <w:widowControl/>
        <w:kinsoku/>
        <w:wordWrap/>
        <w:overflowPunct/>
        <w:topLinePunct w:val="0"/>
        <w:autoSpaceDE/>
        <w:autoSpaceDN/>
        <w:bidi w:val="0"/>
        <w:adjustRightInd w:val="0"/>
        <w:snapToGrid w:val="0"/>
        <w:spacing w:line="233"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5"/>
          <w:sz w:val="31"/>
          <w:szCs w:val="31"/>
        </w:rPr>
        <w:t>（二）财政拨款收入支出决算总体情况说明</w:t>
      </w:r>
    </w:p>
    <w:p>
      <w:pPr>
        <w:pStyle w:val="15"/>
        <w:keepNext w:val="0"/>
        <w:keepLines w:val="0"/>
        <w:pageBreakBefore w:val="0"/>
        <w:widowControl/>
        <w:kinsoku/>
        <w:wordWrap/>
        <w:overflowPunct/>
        <w:topLinePunct w:val="0"/>
        <w:autoSpaceDE/>
        <w:autoSpaceDN/>
        <w:bidi w:val="0"/>
        <w:adjustRightInd w:val="0"/>
        <w:snapToGrid w:val="0"/>
        <w:spacing w:line="358" w:lineRule="auto"/>
        <w:ind w:left="0" w:right="0" w:firstLine="601"/>
        <w:jc w:val="both"/>
        <w:textAlignment w:val="baseline"/>
        <w:rPr>
          <w:rFonts w:ascii="Times New Roman" w:cs="Times New Roman" w:hAnsi="Times New Roman"/>
        </w:rPr>
      </w:pPr>
      <w:r>
        <w:rPr>
          <w:rFonts w:ascii="Times New Roman" w:cs="Times New Roman" w:hAnsi="Times New Roman"/>
          <w:spacing w:val="-6"/>
        </w:rPr>
        <w:t>2023年度财政拨款收、支总计1434.19万元。与2022年相</w:t>
      </w:r>
      <w:r>
        <w:rPr>
          <w:rFonts w:ascii="Times New Roman" w:cs="Times New Roman" w:hAnsi="Times New Roman"/>
          <w:spacing w:val="1"/>
        </w:rPr>
        <w:t>比，财政拨款收、支总计各增加35.70万元，</w:t>
      </w:r>
      <w:r>
        <w:rPr>
          <w:rFonts w:ascii="Times New Roman" w:cs="Times New Roman" w:hAnsi="Times New Roman"/>
        </w:rPr>
        <w:t>增长2.55%。主要</w:t>
      </w:r>
      <w:r>
        <w:rPr>
          <w:rFonts w:ascii="Times New Roman" w:cs="Times New Roman" w:hAnsi="Times New Roman"/>
          <w:spacing w:val="-5"/>
        </w:rPr>
        <w:t>原因一是2023年机关事业单位养老保险缴费支出为88.68万元，</w:t>
      </w:r>
      <w:r>
        <w:rPr>
          <w:rFonts w:ascii="Times New Roman" w:cs="Times New Roman" w:hAnsi="Times New Roman"/>
          <w:spacing w:val="-3"/>
        </w:rPr>
        <w:t>2022年为60.59万元，增加28.08万元；二是2023年住房公积</w:t>
      </w:r>
      <w:r>
        <w:rPr>
          <w:rFonts w:ascii="Times New Roman" w:cs="Times New Roman" w:hAnsi="Times New Roman"/>
          <w:spacing w:val="-4"/>
        </w:rPr>
        <w:t>金预算为73.82万元，2022年为45.45万元，增加28.37万元；</w:t>
      </w:r>
      <w:r>
        <w:rPr>
          <w:rFonts w:ascii="Times New Roman" w:cs="Times New Roman" w:hAnsi="Times New Roman"/>
          <w:spacing w:val="-6"/>
        </w:rPr>
        <w:t>三是2023年行政单位离退休103.15万元，20</w:t>
      </w:r>
      <w:r>
        <w:rPr>
          <w:rFonts w:ascii="Times New Roman" w:cs="Times New Roman" w:hAnsi="Times New Roman"/>
          <w:spacing w:val="-7"/>
        </w:rPr>
        <w:t>22年为108.32万</w:t>
      </w:r>
      <w:r>
        <w:rPr>
          <w:rFonts w:ascii="Times New Roman" w:cs="Times New Roman" w:hAnsi="Times New Roman"/>
          <w:spacing w:val="-5"/>
        </w:rPr>
        <w:t>元，减少5.17万元；四是2023年无执法全过程项目经费，2022</w:t>
      </w:r>
      <w:r>
        <w:rPr>
          <w:rFonts w:ascii="Times New Roman" w:cs="Times New Roman" w:hAnsi="Times New Roman"/>
          <w:spacing w:val="-7"/>
        </w:rPr>
        <w:t>年为7.04万元，减少7.04万元。</w:t>
      </w:r>
    </w:p>
    <w:p>
      <w:pPr>
        <w:pStyle w:val="15"/>
        <w:keepNext w:val="0"/>
        <w:keepLines w:val="0"/>
        <w:pageBreakBefore w:val="0"/>
        <w:widowControl/>
        <w:tabs>
          <w:tab w:val="left" w:pos="695"/>
        </w:tabs>
        <w:kinsoku/>
        <w:wordWrap/>
        <w:overflowPunct/>
        <w:topLinePunct w:val="0"/>
        <w:autoSpaceDE/>
        <w:autoSpaceDN/>
        <w:bidi w:val="0"/>
        <w:adjustRightInd w:val="0"/>
        <w:snapToGrid w:val="0"/>
        <w:spacing w:line="346" w:lineRule="auto"/>
        <w:ind w:left="0" w:right="0" w:firstLine="661"/>
        <w:jc w:val="both"/>
        <w:textAlignment w:val="baseline"/>
        <w:rPr>
          <w:rFonts w:ascii="Times New Roman" w:cs="Times New Roman" w:hAnsi="Times New Roman"/>
        </w:rPr>
      </w:pPr>
      <w:r>
        <w:rPr>
          <w:rFonts w:ascii="Times New Roman" w:eastAsia="楷体" w:cs="Times New Roman" w:hAnsi="Times New Roman"/>
          <w:b/>
          <w:bCs/>
          <w:spacing w:val="6"/>
          <w:sz w:val="31"/>
          <w:szCs w:val="31"/>
        </w:rPr>
        <w:t>（三）一般公共预算财政拨款收入支出决算情况说明</w:t>
      </w:r>
      <w:r>
        <w:rPr>
          <w:rFonts w:ascii="Times New Roman" w:cs="Times New Roman" w:hAnsi="Times New Roman"/>
          <w:b/>
          <w:bCs/>
          <w:sz w:val="31"/>
          <w:szCs w:val="31"/>
        </w:rPr>
        <w:tab/>
      </w:r>
      <w:r>
        <w:rPr>
          <w:rFonts w:ascii="Times New Roman" w:cs="Times New Roman" w:hAnsi="Times New Roman"/>
          <w:b/>
          <w:bCs/>
          <w:spacing w:val="-18"/>
          <w:sz w:val="31"/>
          <w:szCs w:val="31"/>
        </w:rPr>
        <w:t>1.收入情况。</w:t>
      </w:r>
      <w:r>
        <w:rPr>
          <w:rFonts w:ascii="Times New Roman" w:cs="Times New Roman" w:hAnsi="Times New Roman"/>
          <w:spacing w:val="-18"/>
        </w:rPr>
        <w:t>2023年度一般公共预算财政拨款收入</w:t>
      </w:r>
      <w:r>
        <w:rPr>
          <w:rFonts w:ascii="Times New Roman" w:cs="Times New Roman" w:hAnsi="Times New Roman"/>
          <w:spacing w:val="-7"/>
        </w:rPr>
        <w:t>1434.19万元，较上年决算数增加35.70万元，</w:t>
      </w:r>
      <w:r>
        <w:rPr>
          <w:rFonts w:ascii="Times New Roman" w:cs="Times New Roman" w:hAnsi="Times New Roman"/>
          <w:spacing w:val="-8"/>
        </w:rPr>
        <w:t>增长2.55%。主要</w:t>
      </w:r>
      <w:r>
        <w:rPr>
          <w:rFonts w:ascii="Times New Roman" w:cs="Times New Roman" w:hAnsi="Times New Roman"/>
          <w:spacing w:val="-5"/>
        </w:rPr>
        <w:t>原因一是2023年机关事业单位养老保险缴费支出为88.68万元，</w:t>
      </w:r>
      <w:r>
        <w:rPr>
          <w:rFonts w:ascii="Times New Roman" w:cs="Times New Roman" w:hAnsi="Times New Roman"/>
          <w:spacing w:val="-3"/>
        </w:rPr>
        <w:t>2022年为60.59万元，增加28.08万元；二是2023年住房</w:t>
      </w:r>
      <w:r>
        <w:rPr>
          <w:rFonts w:ascii="Times New Roman" w:cs="Times New Roman" w:hAnsi="Times New Roman"/>
          <w:spacing w:val="-4"/>
        </w:rPr>
        <w:t>公积</w:t>
      </w:r>
    </w:p>
    <w:p>
      <w:pPr>
        <w:keepNext w:val="0"/>
        <w:keepLines w:val="0"/>
        <w:pageBreakBefore w:val="0"/>
        <w:widowControl/>
        <w:kinsoku/>
        <w:wordWrap/>
        <w:overflowPunct/>
        <w:topLinePunct w:val="0"/>
        <w:autoSpaceDE/>
        <w:autoSpaceDN/>
        <w:bidi w:val="0"/>
        <w:adjustRightInd w:val="0"/>
        <w:snapToGrid w:val="0"/>
        <w:spacing w:line="346" w:lineRule="auto"/>
        <w:ind w:left="0" w:right="0"/>
        <w:jc w:val="both"/>
        <w:textAlignment w:val="baseline"/>
        <w:rPr>
          <w:rFonts w:ascii="Times New Roman" w:cs="Times New Roman" w:hAnsi="Times New Roman"/>
        </w:rPr>
        <w:sectPr>
          <w:footerReference w:type="default" r:id="rId4"/>
          <w:pgSz w:w="11915" w:h="16840"/>
          <w:pgMar w:top="1431" w:right="1690" w:bottom="1166" w:left="1787" w:header="0" w:footer="987" w:gutter="0"/>
          <w:docGrid w:linePitch="312" w:charSpace="0"/>
        </w:sectPr>
      </w:pPr>
    </w:p>
    <w:p>
      <w:pPr>
        <w:pStyle w:val="15"/>
        <w:keepNext w:val="0"/>
        <w:keepLines w:val="0"/>
        <w:pageBreakBefore w:val="0"/>
        <w:widowControl/>
        <w:kinsoku/>
        <w:wordWrap/>
        <w:overflowPunct/>
        <w:topLinePunct w:val="0"/>
        <w:autoSpaceDE/>
        <w:autoSpaceDN/>
        <w:bidi w:val="0"/>
        <w:adjustRightInd w:val="0"/>
        <w:snapToGrid w:val="0"/>
        <w:spacing w:line="358" w:lineRule="auto"/>
        <w:ind w:left="0" w:right="0" w:firstLine="3"/>
        <w:jc w:val="both"/>
        <w:textAlignment w:val="baseline"/>
        <w:rPr>
          <w:rFonts w:ascii="Times New Roman" w:cs="Times New Roman" w:hAnsi="Times New Roman"/>
        </w:rPr>
      </w:pPr>
      <w:r>
        <w:rPr>
          <w:rFonts w:ascii="Times New Roman" w:cs="Times New Roman" w:hAnsi="Times New Roman"/>
          <w:spacing w:val="-4"/>
        </w:rPr>
        <w:t>金预算为73.82万元，2022年为45.45万元，增加28.37万元；</w:t>
      </w:r>
      <w:r>
        <w:rPr>
          <w:rFonts w:ascii="Times New Roman" w:cs="Times New Roman" w:hAnsi="Times New Roman"/>
          <w:spacing w:val="-6"/>
        </w:rPr>
        <w:t>三是2023年行政单位离退休103.15万元，20</w:t>
      </w:r>
      <w:r>
        <w:rPr>
          <w:rFonts w:ascii="Times New Roman" w:cs="Times New Roman" w:hAnsi="Times New Roman"/>
          <w:spacing w:val="-7"/>
        </w:rPr>
        <w:t>22年为108.32万</w:t>
      </w:r>
      <w:r>
        <w:rPr>
          <w:rFonts w:ascii="Times New Roman" w:cs="Times New Roman" w:hAnsi="Times New Roman"/>
          <w:spacing w:val="-5"/>
        </w:rPr>
        <w:t>元，减少5.17万元；四是2023年无执法全过程项目经费，2022</w:t>
      </w:r>
      <w:r>
        <w:rPr>
          <w:rFonts w:ascii="Times New Roman" w:cs="Times New Roman" w:hAnsi="Times New Roman"/>
          <w:spacing w:val="-8"/>
        </w:rPr>
        <w:t>年为7.04万元，减少7.04万元。较年初预算数增加62.00万元，</w:t>
      </w:r>
      <w:r>
        <w:rPr>
          <w:rFonts w:ascii="Times New Roman" w:cs="Times New Roman" w:hAnsi="Times New Roman"/>
          <w:spacing w:val="-6"/>
        </w:rPr>
        <w:t>增长4.52%。主要原因是追加公务员年度考核奖（行政及参公）、</w:t>
      </w:r>
      <w:r>
        <w:rPr>
          <w:rFonts w:ascii="Times New Roman" w:cs="Times New Roman" w:hAnsi="Times New Roman"/>
          <w:spacing w:val="-1"/>
        </w:rPr>
        <w:t>渝中区公务员工资津补贴2021年政策衔接经费、死亡抚恤、一</w:t>
      </w:r>
      <w:r>
        <w:rPr>
          <w:rFonts w:ascii="Times New Roman" w:cs="Times New Roman" w:hAnsi="Times New Roman"/>
          <w:spacing w:val="-4"/>
        </w:rPr>
        <w:t>次性退休补贴；干部保健专项经费、基本公共卫生服务等项目经</w:t>
      </w:r>
      <w:r>
        <w:rPr>
          <w:rFonts w:ascii="Times New Roman" w:cs="Times New Roman" w:hAnsi="Times New Roman"/>
          <w:spacing w:val="-3"/>
        </w:rPr>
        <w:t>费。此外，年初财政拨款结转和结余0.00万元。</w:t>
      </w:r>
    </w:p>
    <w:p>
      <w:pPr>
        <w:pStyle w:val="15"/>
        <w:keepNext w:val="0"/>
        <w:keepLines w:val="0"/>
        <w:pageBreakBefore w:val="0"/>
        <w:widowControl/>
        <w:kinsoku/>
        <w:wordWrap/>
        <w:overflowPunct/>
        <w:topLinePunct w:val="0"/>
        <w:autoSpaceDE/>
        <w:autoSpaceDN/>
        <w:bidi w:val="0"/>
        <w:adjustRightInd w:val="0"/>
        <w:snapToGrid w:val="0"/>
        <w:spacing w:line="358" w:lineRule="auto"/>
        <w:ind w:left="0" w:right="0" w:firstLine="643"/>
        <w:jc w:val="both"/>
        <w:textAlignment w:val="baseline"/>
        <w:rPr>
          <w:rFonts w:ascii="Times New Roman" w:cs="Times New Roman" w:hAnsi="Times New Roman"/>
        </w:rPr>
      </w:pPr>
      <w:r>
        <w:rPr>
          <w:rFonts w:ascii="Times New Roman" w:cs="Times New Roman" w:hAnsi="Times New Roman"/>
          <w:b/>
          <w:bCs/>
          <w:spacing w:val="-6"/>
          <w:sz w:val="31"/>
          <w:szCs w:val="31"/>
        </w:rPr>
        <w:t>2.支出情况。</w:t>
      </w:r>
      <w:r>
        <w:rPr>
          <w:rFonts w:ascii="Times New Roman" w:cs="Times New Roman" w:hAnsi="Times New Roman"/>
          <w:spacing w:val="-6"/>
        </w:rPr>
        <w:t>2023年度一般公共预算财政拨款支出1434.</w:t>
      </w:r>
      <w:r>
        <w:rPr>
          <w:rFonts w:ascii="Times New Roman" w:cs="Times New Roman" w:hAnsi="Times New Roman"/>
          <w:spacing w:val="-7"/>
        </w:rPr>
        <w:t>19</w:t>
      </w:r>
      <w:r>
        <w:rPr>
          <w:rFonts w:ascii="Times New Roman" w:cs="Times New Roman" w:hAnsi="Times New Roman"/>
          <w:spacing w:val="1"/>
        </w:rPr>
        <w:t>万元，较上年决算数增加35.70万元，增长2.5</w:t>
      </w:r>
      <w:r>
        <w:rPr>
          <w:rFonts w:ascii="Times New Roman" w:cs="Times New Roman" w:hAnsi="Times New Roman"/>
        </w:rPr>
        <w:t>5%。主要原因一是2023年机关事业单位养老保险缴费支出为88.</w:t>
      </w:r>
      <w:r>
        <w:rPr>
          <w:rFonts w:ascii="Times New Roman" w:cs="Times New Roman" w:hAnsi="Times New Roman"/>
          <w:spacing w:val="-1"/>
        </w:rPr>
        <w:t>68万元，2022</w:t>
      </w:r>
      <w:r>
        <w:rPr>
          <w:rFonts w:ascii="Times New Roman" w:cs="Times New Roman" w:hAnsi="Times New Roman"/>
          <w:spacing w:val="-7"/>
        </w:rPr>
        <w:t>年为60.59万元，增加28.08万元；二是2023年住房公积金预算</w:t>
      </w:r>
      <w:r>
        <w:rPr>
          <w:rFonts w:ascii="Times New Roman" w:cs="Times New Roman" w:hAnsi="Times New Roman"/>
          <w:spacing w:val="-15"/>
        </w:rPr>
        <w:t>为73.82万元，2022年为45.45万元，增加28.37万元；三是2</w:t>
      </w:r>
      <w:r>
        <w:rPr>
          <w:rFonts w:ascii="Times New Roman" w:cs="Times New Roman" w:hAnsi="Times New Roman"/>
          <w:spacing w:val="-16"/>
        </w:rPr>
        <w:t>023</w:t>
      </w:r>
      <w:r>
        <w:rPr>
          <w:rFonts w:ascii="Times New Roman" w:cs="Times New Roman" w:hAnsi="Times New Roman"/>
          <w:spacing w:val="-3"/>
        </w:rPr>
        <w:t>年行政单位离退休103.15万元，2022年为10</w:t>
      </w:r>
      <w:r>
        <w:rPr>
          <w:rFonts w:ascii="Times New Roman" w:cs="Times New Roman" w:hAnsi="Times New Roman"/>
          <w:spacing w:val="-4"/>
        </w:rPr>
        <w:t>8.32万元，减少</w:t>
      </w:r>
      <w:r>
        <w:rPr>
          <w:rFonts w:ascii="Times New Roman" w:cs="Times New Roman" w:hAnsi="Times New Roman"/>
          <w:spacing w:val="-5"/>
        </w:rPr>
        <w:t>5.17万元；四是2023年无执法全过程项目</w:t>
      </w:r>
      <w:r>
        <w:rPr>
          <w:rFonts w:ascii="Times New Roman" w:cs="Times New Roman" w:hAnsi="Times New Roman"/>
          <w:spacing w:val="-6"/>
        </w:rPr>
        <w:t>经费，2022年为7.04</w:t>
      </w:r>
      <w:r>
        <w:rPr>
          <w:rFonts w:ascii="Times New Roman" w:cs="Times New Roman" w:hAnsi="Times New Roman"/>
          <w:spacing w:val="-17"/>
        </w:rPr>
        <w:t>万元，减少7.04万元。较年初预算数增加</w:t>
      </w:r>
      <w:r>
        <w:rPr>
          <w:rFonts w:ascii="Times New Roman" w:cs="Times New Roman" w:hAnsi="Times New Roman"/>
          <w:spacing w:val="-18"/>
        </w:rPr>
        <w:t>62.00万元，增长4.52%。</w:t>
      </w:r>
      <w:r>
        <w:rPr>
          <w:rFonts w:ascii="Times New Roman" w:cs="Times New Roman" w:hAnsi="Times New Roman"/>
          <w:spacing w:val="-4"/>
        </w:rPr>
        <w:t>主要原因是追加公务员年度考核奖（行政及参公）、渝中区公务</w:t>
      </w:r>
      <w:r>
        <w:rPr>
          <w:rFonts w:ascii="Times New Roman" w:cs="Times New Roman" w:hAnsi="Times New Roman"/>
          <w:spacing w:val="-1"/>
        </w:rPr>
        <w:t>员工资津补贴2021年政策衔接经费、死亡抚恤、一次性退休补贴；干部保健专项经费、基本公共卫生服务等项目经费。</w:t>
      </w:r>
    </w:p>
    <w:p>
      <w:pPr>
        <w:pStyle w:val="15"/>
        <w:keepNext w:val="0"/>
        <w:keepLines w:val="0"/>
        <w:pageBreakBefore w:val="0"/>
        <w:widowControl/>
        <w:kinsoku/>
        <w:wordWrap/>
        <w:overflowPunct/>
        <w:topLinePunct w:val="0"/>
        <w:autoSpaceDE/>
        <w:autoSpaceDN/>
        <w:bidi w:val="0"/>
        <w:adjustRightInd w:val="0"/>
        <w:snapToGrid w:val="0"/>
        <w:spacing w:line="235" w:lineRule="auto"/>
        <w:ind w:left="0" w:right="0"/>
        <w:jc w:val="both"/>
        <w:textAlignment w:val="baseline"/>
        <w:outlineLvl w:val="2"/>
        <w:rPr>
          <w:rFonts w:ascii="Times New Roman" w:cs="Times New Roman" w:hAnsi="Times New Roman"/>
        </w:rPr>
      </w:pPr>
      <w:r>
        <w:rPr>
          <w:rFonts w:ascii="Times New Roman" w:cs="Times New Roman" w:hAnsi="Times New Roman"/>
          <w:b/>
          <w:bCs/>
          <w:spacing w:val="1"/>
          <w:sz w:val="31"/>
          <w:szCs w:val="31"/>
        </w:rPr>
        <w:t>3.结转结余情况。</w:t>
      </w:r>
      <w:r>
        <w:rPr>
          <w:rFonts w:ascii="Times New Roman" w:cs="Times New Roman" w:hAnsi="Times New Roman"/>
          <w:spacing w:val="1"/>
        </w:rPr>
        <w:t>2023年度年末一般公共预算财</w:t>
      </w:r>
      <w:r>
        <w:rPr>
          <w:rFonts w:ascii="Times New Roman" w:cs="Times New Roman" w:hAnsi="Times New Roman"/>
        </w:rPr>
        <w:t>政拨款结</w:t>
      </w:r>
    </w:p>
    <w:p>
      <w:pPr>
        <w:pStyle w:val="15"/>
        <w:keepNext w:val="0"/>
        <w:keepLines w:val="0"/>
        <w:pageBreakBefore w:val="0"/>
        <w:widowControl/>
        <w:kinsoku/>
        <w:wordWrap/>
        <w:overflowPunct/>
        <w:topLinePunct w:val="0"/>
        <w:autoSpaceDE/>
        <w:autoSpaceDN/>
        <w:bidi w:val="0"/>
        <w:adjustRightInd w:val="0"/>
        <w:snapToGrid w:val="0"/>
        <w:spacing w:line="228" w:lineRule="auto"/>
        <w:ind w:left="0" w:right="0"/>
        <w:jc w:val="both"/>
        <w:textAlignment w:val="baseline"/>
        <w:rPr>
          <w:rFonts w:ascii="Times New Roman" w:cs="Times New Roman" w:hAnsi="Times New Roman"/>
        </w:rPr>
      </w:pPr>
      <w:r>
        <w:rPr>
          <w:rFonts w:ascii="Times New Roman" w:cs="Times New Roman" w:hAnsi="Times New Roman"/>
          <w:spacing w:val="-4"/>
        </w:rPr>
        <w:t>转和结余0.00万元，较上年决算数无增减。</w:t>
      </w:r>
    </w:p>
    <w:p>
      <w:pPr>
        <w:keepNext w:val="0"/>
        <w:keepLines w:val="0"/>
        <w:pageBreakBefore w:val="0"/>
        <w:widowControl/>
        <w:kinsoku/>
        <w:wordWrap/>
        <w:overflowPunct/>
        <w:topLinePunct w:val="0"/>
        <w:autoSpaceDE/>
        <w:autoSpaceDN/>
        <w:bidi w:val="0"/>
        <w:adjustRightInd w:val="0"/>
        <w:snapToGrid w:val="0"/>
        <w:spacing w:line="228" w:lineRule="auto"/>
        <w:ind w:left="0" w:right="0"/>
        <w:jc w:val="both"/>
        <w:textAlignment w:val="baseline"/>
        <w:rPr>
          <w:rFonts w:ascii="Times New Roman" w:cs="Times New Roman" w:hAnsi="Times New Roman"/>
        </w:rPr>
        <w:sectPr>
          <w:footerReference w:type="default" r:id="rId5"/>
          <w:pgSz w:w="11915" w:h="16840"/>
          <w:pgMar w:top="1423" w:right="1684" w:bottom="1166" w:left="1787" w:header="0" w:footer="987" w:gutter="0"/>
          <w:docGrid w:linePitch="312" w:charSpace="0"/>
        </w:sectPr>
      </w:pPr>
    </w:p>
    <w:p>
      <w:pPr>
        <w:pStyle w:val="15"/>
        <w:keepNext w:val="0"/>
        <w:keepLines w:val="0"/>
        <w:pageBreakBefore w:val="0"/>
        <w:widowControl/>
        <w:kinsoku/>
        <w:wordWrap/>
        <w:overflowPunct/>
        <w:topLinePunct w:val="0"/>
        <w:autoSpaceDE/>
        <w:autoSpaceDN/>
        <w:bidi w:val="0"/>
        <w:adjustRightInd w:val="0"/>
        <w:snapToGrid w:val="0"/>
        <w:spacing w:line="238" w:lineRule="auto"/>
        <w:ind w:left="0" w:right="0"/>
        <w:jc w:val="both"/>
        <w:textAlignment w:val="baseline"/>
        <w:outlineLvl w:val="2"/>
        <w:rPr>
          <w:rFonts w:ascii="Times New Roman" w:cs="Times New Roman" w:hAnsi="Times New Roman"/>
        </w:rPr>
      </w:pPr>
      <w:r>
        <w:rPr>
          <w:rFonts w:ascii="Times New Roman" w:cs="Times New Roman" w:hAnsi="Times New Roman"/>
          <w:b/>
          <w:bCs/>
          <w:spacing w:val="3"/>
          <w:sz w:val="31"/>
          <w:szCs w:val="31"/>
        </w:rPr>
        <w:t>4.比较情况。</w:t>
      </w:r>
      <w:r>
        <w:rPr>
          <w:rFonts w:ascii="Times New Roman" w:cs="Times New Roman" w:hAnsi="Times New Roman"/>
          <w:spacing w:val="3"/>
        </w:rPr>
        <w:t>本部门2023年度一般公共预算财政拨款支</w:t>
      </w:r>
    </w:p>
    <w:p>
      <w:pPr>
        <w:pStyle w:val="15"/>
        <w:keepNext w:val="0"/>
        <w:keepLines w:val="0"/>
        <w:pageBreakBefore w:val="0"/>
        <w:widowControl/>
        <w:kinsoku/>
        <w:wordWrap/>
        <w:overflowPunct/>
        <w:topLinePunct w:val="0"/>
        <w:autoSpaceDE/>
        <w:autoSpaceDN/>
        <w:bidi w:val="0"/>
        <w:adjustRightInd w:val="0"/>
        <w:snapToGrid w:val="0"/>
        <w:spacing w:line="233" w:lineRule="auto"/>
        <w:ind w:left="0" w:right="0"/>
        <w:jc w:val="both"/>
        <w:textAlignment w:val="baseline"/>
        <w:rPr>
          <w:rFonts w:ascii="Times New Roman" w:cs="Times New Roman" w:hAnsi="Times New Roman"/>
        </w:rPr>
      </w:pPr>
      <w:r>
        <w:rPr>
          <w:rFonts w:ascii="Times New Roman" w:cs="Times New Roman" w:hAnsi="Times New Roman"/>
          <w:spacing w:val="-5"/>
        </w:rPr>
        <w:t>出主要用于以下几个方面：</w:t>
      </w:r>
    </w:p>
    <w:p>
      <w:pPr>
        <w:pStyle w:val="15"/>
        <w:keepNext w:val="0"/>
        <w:keepLines w:val="0"/>
        <w:pageBreakBefore w:val="0"/>
        <w:widowControl/>
        <w:kinsoku/>
        <w:wordWrap/>
        <w:overflowPunct/>
        <w:topLinePunct w:val="0"/>
        <w:autoSpaceDE/>
        <w:autoSpaceDN/>
        <w:bidi w:val="0"/>
        <w:adjustRightInd w:val="0"/>
        <w:snapToGrid w:val="0"/>
        <w:spacing w:line="305" w:lineRule="auto"/>
        <w:ind w:left="0" w:right="0" w:firstLine="568"/>
        <w:jc w:val="both"/>
        <w:textAlignment w:val="baseline"/>
        <w:rPr>
          <w:rFonts w:ascii="Times New Roman" w:cs="Times New Roman" w:hAnsi="Times New Roman"/>
        </w:rPr>
      </w:pPr>
      <w:r>
        <w:rPr>
          <w:rFonts w:ascii="Times New Roman" w:cs="Times New Roman" w:hAnsi="Times New Roman"/>
          <w:spacing w:val="-2"/>
        </w:rPr>
        <w:t>（1）一般公共服务支出0.27万元，占0.0</w:t>
      </w:r>
      <w:r>
        <w:rPr>
          <w:rFonts w:ascii="Times New Roman" w:cs="Times New Roman" w:hAnsi="Times New Roman"/>
          <w:spacing w:val="-3"/>
        </w:rPr>
        <w:t>2%，较年初预算</w:t>
      </w:r>
      <w:r>
        <w:rPr>
          <w:rFonts w:ascii="Times New Roman" w:cs="Times New Roman" w:hAnsi="Times New Roman"/>
          <w:spacing w:val="-6"/>
        </w:rPr>
        <w:t>数增加0.27万元，增长100.00%，主要原因是追加基层党建工作</w:t>
      </w:r>
      <w:r>
        <w:rPr>
          <w:rFonts w:ascii="Times New Roman" w:cs="Times New Roman" w:hAnsi="Times New Roman"/>
          <w:spacing w:val="-8"/>
        </w:rPr>
        <w:t>经费。</w:t>
      </w:r>
    </w:p>
    <w:p>
      <w:pPr>
        <w:pStyle w:val="15"/>
        <w:keepNext w:val="0"/>
        <w:keepLines w:val="0"/>
        <w:pageBreakBefore w:val="0"/>
        <w:widowControl/>
        <w:kinsoku/>
        <w:wordWrap/>
        <w:overflowPunct/>
        <w:topLinePunct w:val="0"/>
        <w:autoSpaceDE/>
        <w:autoSpaceDN/>
        <w:bidi w:val="0"/>
        <w:adjustRightInd w:val="0"/>
        <w:snapToGrid w:val="0"/>
        <w:spacing w:line="295" w:lineRule="auto"/>
        <w:ind w:left="0" w:right="0" w:firstLine="561"/>
        <w:jc w:val="both"/>
        <w:textAlignment w:val="baseline"/>
        <w:rPr>
          <w:rFonts w:ascii="Times New Roman" w:cs="Times New Roman" w:hAnsi="Times New Roman"/>
        </w:rPr>
      </w:pPr>
      <w:r>
        <w:rPr>
          <w:rFonts w:ascii="Times New Roman" w:cs="Times New Roman" w:hAnsi="Times New Roman"/>
          <w:spacing w:val="-8"/>
        </w:rPr>
        <w:t>（2）国防支出0.27万元，占0.02%，较年初预算数增加0.27</w:t>
      </w:r>
      <w:r>
        <w:rPr>
          <w:rFonts w:ascii="Times New Roman" w:cs="Times New Roman" w:hAnsi="Times New Roman"/>
          <w:spacing w:val="-3"/>
        </w:rPr>
        <w:t>万元，增长100.00%，主要原因是追加民兵编制工作经费。</w:t>
      </w:r>
    </w:p>
    <w:p>
      <w:pPr>
        <w:pStyle w:val="15"/>
        <w:keepNext w:val="0"/>
        <w:keepLines w:val="0"/>
        <w:pageBreakBefore w:val="0"/>
        <w:widowControl/>
        <w:kinsoku/>
        <w:wordWrap/>
        <w:overflowPunct/>
        <w:topLinePunct w:val="0"/>
        <w:autoSpaceDE/>
        <w:autoSpaceDN/>
        <w:bidi w:val="0"/>
        <w:adjustRightInd w:val="0"/>
        <w:snapToGrid w:val="0"/>
        <w:spacing w:line="286" w:lineRule="auto"/>
        <w:ind w:left="0" w:right="0" w:firstLine="574"/>
        <w:jc w:val="both"/>
        <w:textAlignment w:val="baseline"/>
        <w:rPr>
          <w:rFonts w:ascii="Times New Roman" w:cs="Times New Roman" w:hAnsi="Times New Roman"/>
        </w:rPr>
      </w:pPr>
      <w:r>
        <w:rPr>
          <w:rFonts w:ascii="Times New Roman" w:cs="Times New Roman" w:hAnsi="Times New Roman"/>
          <w:spacing w:val="-8"/>
        </w:rPr>
        <w:t>（3）社会保障与就业支出246.47万元，占17.19%，较年初预算数增加17.74万元，增长7.76%，主要原因是追</w:t>
      </w:r>
      <w:r>
        <w:rPr>
          <w:rFonts w:ascii="Times New Roman" w:cs="Times New Roman" w:hAnsi="Times New Roman"/>
          <w:spacing w:val="-9"/>
        </w:rPr>
        <w:t>加死亡抚恤。</w:t>
      </w:r>
    </w:p>
    <w:p>
      <w:pPr>
        <w:pStyle w:val="15"/>
        <w:keepNext w:val="0"/>
        <w:keepLines w:val="0"/>
        <w:pageBreakBefore w:val="0"/>
        <w:widowControl/>
        <w:kinsoku/>
        <w:wordWrap/>
        <w:overflowPunct/>
        <w:topLinePunct w:val="0"/>
        <w:autoSpaceDE/>
        <w:autoSpaceDN/>
        <w:bidi w:val="0"/>
        <w:adjustRightInd w:val="0"/>
        <w:snapToGrid w:val="0"/>
        <w:spacing w:line="324" w:lineRule="auto"/>
        <w:ind w:left="0" w:right="0" w:firstLine="574"/>
        <w:jc w:val="both"/>
        <w:textAlignment w:val="baseline"/>
        <w:rPr>
          <w:rFonts w:ascii="Times New Roman" w:cs="Times New Roman" w:hAnsi="Times New Roman"/>
        </w:rPr>
      </w:pPr>
      <w:r>
        <w:rPr>
          <w:rFonts w:ascii="Times New Roman" w:cs="Times New Roman" w:hAnsi="Times New Roman"/>
          <w:spacing w:val="-5"/>
        </w:rPr>
        <w:t>（4）卫生健康支出1045.27万元，占72.88%，较年初预算</w:t>
      </w:r>
      <w:r>
        <w:rPr>
          <w:rFonts w:ascii="Times New Roman" w:cs="Times New Roman" w:hAnsi="Times New Roman"/>
          <w:spacing w:val="-1"/>
        </w:rPr>
        <w:t>数增加47.87万元，增长4.80%，主要原因是追加公务员年度考核奖（行政及参公）、渝中区公务员工资津补贴2021年政策衔接经费；干部保健专项经费、基本公共卫生服务等项目经费。</w:t>
      </w:r>
    </w:p>
    <w:p>
      <w:pPr>
        <w:pStyle w:val="15"/>
        <w:keepNext w:val="0"/>
        <w:keepLines w:val="0"/>
        <w:pageBreakBefore w:val="0"/>
        <w:widowControl/>
        <w:kinsoku/>
        <w:wordWrap/>
        <w:overflowPunct/>
        <w:topLinePunct w:val="0"/>
        <w:autoSpaceDE/>
        <w:autoSpaceDN/>
        <w:bidi w:val="0"/>
        <w:adjustRightInd w:val="0"/>
        <w:snapToGrid w:val="0"/>
        <w:spacing w:line="317" w:lineRule="auto"/>
        <w:ind w:left="0" w:right="0" w:firstLine="574"/>
        <w:jc w:val="both"/>
        <w:textAlignment w:val="baseline"/>
        <w:rPr>
          <w:rFonts w:ascii="Times New Roman" w:cs="Times New Roman" w:hAnsi="Times New Roman"/>
        </w:rPr>
      </w:pPr>
      <w:r>
        <w:rPr>
          <w:rFonts w:ascii="Times New Roman" w:cs="Times New Roman" w:hAnsi="Times New Roman"/>
          <w:spacing w:val="-5"/>
        </w:rPr>
        <w:t>（5）农林水支出52.00万元，占3.63%，较年初预算数减少</w:t>
      </w:r>
      <w:r>
        <w:rPr>
          <w:rFonts w:ascii="Times New Roman" w:cs="Times New Roman" w:hAnsi="Times New Roman"/>
          <w:spacing w:val="1"/>
        </w:rPr>
        <w:t>2.00万元，下降3.70%，主要原因是</w:t>
      </w:r>
      <w:r>
        <w:rPr>
          <w:rFonts w:ascii="Times New Roman" w:cs="Times New Roman" w:hAnsi="Times New Roman"/>
        </w:rPr>
        <w:t>机构改革，动物防疫经费2</w:t>
      </w:r>
      <w:r>
        <w:rPr>
          <w:rFonts w:ascii="Times New Roman" w:cs="Times New Roman" w:hAnsi="Times New Roman"/>
          <w:spacing w:val="-2"/>
        </w:rPr>
        <w:t>万元划拨到区疾控中心。</w:t>
      </w:r>
    </w:p>
    <w:p>
      <w:pPr>
        <w:pStyle w:val="15"/>
        <w:keepNext w:val="0"/>
        <w:keepLines w:val="0"/>
        <w:pageBreakBefore w:val="0"/>
        <w:widowControl/>
        <w:kinsoku/>
        <w:wordWrap/>
        <w:overflowPunct/>
        <w:topLinePunct w:val="0"/>
        <w:autoSpaceDE/>
        <w:autoSpaceDN/>
        <w:bidi w:val="0"/>
        <w:adjustRightInd w:val="0"/>
        <w:snapToGrid w:val="0"/>
        <w:spacing w:line="305" w:lineRule="auto"/>
        <w:ind w:left="0" w:right="0" w:firstLine="576"/>
        <w:jc w:val="both"/>
        <w:textAlignment w:val="baseline"/>
        <w:rPr>
          <w:rFonts w:ascii="Times New Roman" w:cs="Times New Roman" w:hAnsi="Times New Roman"/>
        </w:rPr>
      </w:pPr>
      <w:r>
        <w:rPr>
          <w:rFonts w:ascii="Times New Roman" w:cs="Times New Roman" w:hAnsi="Times New Roman"/>
          <w:spacing w:val="-5"/>
        </w:rPr>
        <w:t>（6）住房保障支出89.90万元，占6.27%，较年初预算数减</w:t>
      </w:r>
      <w:r>
        <w:rPr>
          <w:rFonts w:ascii="Times New Roman" w:cs="Times New Roman" w:hAnsi="Times New Roman"/>
          <w:spacing w:val="-6"/>
        </w:rPr>
        <w:t>少2.15万元，下降2.34%，主要原因是因工作需要，追减退职工住房公积金3.04万元。</w:t>
      </w:r>
    </w:p>
    <w:p>
      <w:pPr>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6"/>
          <w:sz w:val="31"/>
          <w:szCs w:val="31"/>
        </w:rPr>
        <w:t>（四）一般公共预算财政拨款基本支出决算情况说明</w:t>
      </w:r>
    </w:p>
    <w:p>
      <w:pPr>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rPr>
          <w:rFonts w:ascii="Times New Roman" w:eastAsia="楷体" w:cs="Times New Roman" w:hAnsi="Times New Roman"/>
          <w:sz w:val="31"/>
          <w:szCs w:val="31"/>
        </w:rPr>
        <w:sectPr>
          <w:footerReference w:type="default" r:id="rId6"/>
          <w:pgSz w:w="11915" w:h="16840"/>
          <w:pgMar w:top="1423" w:right="1690" w:bottom="1164" w:left="1787" w:header="0" w:footer="987" w:gutter="0"/>
          <w:docGrid w:linePitch="312" w:charSpace="0"/>
        </w:sectPr>
      </w:pPr>
    </w:p>
    <w:p>
      <w:pPr>
        <w:pStyle w:val="15"/>
        <w:keepNext w:val="0"/>
        <w:keepLines w:val="0"/>
        <w:pageBreakBefore w:val="0"/>
        <w:widowControl/>
        <w:kinsoku/>
        <w:wordWrap/>
        <w:overflowPunct/>
        <w:topLinePunct w:val="0"/>
        <w:autoSpaceDE/>
        <w:autoSpaceDN/>
        <w:bidi w:val="0"/>
        <w:adjustRightInd w:val="0"/>
        <w:snapToGrid w:val="0"/>
        <w:spacing w:line="341" w:lineRule="auto"/>
        <w:ind w:left="0" w:right="0" w:firstLine="390"/>
        <w:jc w:val="both"/>
        <w:textAlignment w:val="baseline"/>
        <w:rPr>
          <w:rFonts w:ascii="Times New Roman" w:cs="Times New Roman" w:hAnsi="Times New Roman"/>
        </w:rPr>
      </w:pPr>
      <w:r>
        <w:rPr>
          <w:rFonts w:ascii="Times New Roman" w:cs="Times New Roman" w:hAnsi="Times New Roman"/>
          <w:spacing w:val="-2"/>
        </w:rPr>
        <w:t>2023年度一般公共财政拨款基本支出1307.30万元。其中：</w:t>
      </w:r>
      <w:r>
        <w:rPr>
          <w:rFonts w:ascii="Times New Roman" w:cs="Times New Roman" w:hAnsi="Times New Roman"/>
          <w:spacing w:val="-6"/>
        </w:rPr>
        <w:t>人员经费1102.93万元，较上年决算数增加104.62万元，增长</w:t>
      </w:r>
      <w:r>
        <w:rPr>
          <w:rFonts w:ascii="Times New Roman" w:cs="Times New Roman" w:hAnsi="Times New Roman"/>
          <w:spacing w:val="-3"/>
        </w:rPr>
        <w:t>10.48%，主要原因是单位人员调整变</w:t>
      </w:r>
      <w:r>
        <w:rPr>
          <w:rFonts w:ascii="Times New Roman" w:cs="Times New Roman" w:hAnsi="Times New Roman"/>
          <w:spacing w:val="-4"/>
        </w:rPr>
        <w:t>动，社保公积金基数调整导</w:t>
      </w:r>
      <w:r>
        <w:rPr>
          <w:rFonts w:ascii="Times New Roman" w:cs="Times New Roman" w:hAnsi="Times New Roman"/>
          <w:spacing w:val="-10"/>
        </w:rPr>
        <w:t>致人员经费变动。人员经费用途主要包括：基本工资、津贴补贴、</w:t>
      </w:r>
      <w:r>
        <w:rPr>
          <w:rFonts w:ascii="Times New Roman" w:cs="Times New Roman" w:hAnsi="Times New Roman"/>
          <w:spacing w:val="1"/>
        </w:rPr>
        <w:t>奖金、社会保障缴费等。公用经费204.37万元，较上年决算数</w:t>
      </w:r>
      <w:r>
        <w:rPr>
          <w:rFonts w:ascii="Times New Roman" w:cs="Times New Roman" w:hAnsi="Times New Roman"/>
          <w:spacing w:val="-6"/>
        </w:rPr>
        <w:t>减少58.76万元，下降22.33%，主要原因一是一般公用经</w:t>
      </w:r>
      <w:r>
        <w:rPr>
          <w:rFonts w:ascii="Times New Roman" w:cs="Times New Roman" w:hAnsi="Times New Roman"/>
          <w:spacing w:val="-7"/>
        </w:rPr>
        <w:t>费2023</w:t>
      </w:r>
      <w:r>
        <w:rPr>
          <w:rFonts w:ascii="Times New Roman" w:cs="Times New Roman" w:hAnsi="Times New Roman"/>
          <w:spacing w:val="-1"/>
        </w:rPr>
        <w:t>年预算为45人*37000元/人，合计166.50万元</w:t>
      </w:r>
      <w:r>
        <w:rPr>
          <w:rFonts w:ascii="Times New Roman" w:cs="Times New Roman" w:hAnsi="Times New Roman"/>
          <w:spacing w:val="-2"/>
        </w:rPr>
        <w:t>，2022年为48</w:t>
      </w:r>
      <w:r>
        <w:rPr>
          <w:rFonts w:ascii="Times New Roman" w:cs="Times New Roman" w:hAnsi="Times New Roman"/>
          <w:spacing w:val="-5"/>
        </w:rPr>
        <w:t>人*42000元/人，合计201.60万元，减少了35.10万元。二是年</w:t>
      </w:r>
      <w:r>
        <w:rPr>
          <w:rFonts w:ascii="Times New Roman" w:cs="Times New Roman" w:hAnsi="Times New Roman"/>
          <w:spacing w:val="-2"/>
        </w:rPr>
        <w:t>度预算执行中，由于工作需要，财政追减一般公用支</w:t>
      </w:r>
      <w:r>
        <w:rPr>
          <w:rFonts w:ascii="Times New Roman" w:cs="Times New Roman" w:hAnsi="Times New Roman"/>
          <w:spacing w:val="-3"/>
        </w:rPr>
        <w:t>出（行政）</w:t>
      </w:r>
      <w:r>
        <w:rPr>
          <w:rFonts w:ascii="Times New Roman" w:cs="Times New Roman" w:hAnsi="Times New Roman"/>
        </w:rPr>
        <w:t>31.80万元。公用经费用途主要包括办公费、</w:t>
      </w:r>
      <w:r>
        <w:rPr>
          <w:rFonts w:ascii="Times New Roman" w:cs="Times New Roman" w:hAnsi="Times New Roman"/>
          <w:spacing w:val="-1"/>
        </w:rPr>
        <w:t>印刷费、咨询费、</w:t>
      </w:r>
      <w:r>
        <w:rPr>
          <w:rFonts w:ascii="Times New Roman" w:cs="Times New Roman" w:hAnsi="Times New Roman"/>
          <w:spacing w:val="-2"/>
        </w:rPr>
        <w:t>手续费、差旅费、会议费等。</w:t>
      </w:r>
    </w:p>
    <w:p>
      <w:pPr>
        <w:keepNext w:val="0"/>
        <w:keepLines w:val="0"/>
        <w:pageBreakBefore w:val="0"/>
        <w:widowControl/>
        <w:kinsoku/>
        <w:wordWrap/>
        <w:overflowPunct/>
        <w:topLinePunct w:val="0"/>
        <w:autoSpaceDE/>
        <w:autoSpaceDN/>
        <w:bidi w:val="0"/>
        <w:adjustRightInd w:val="0"/>
        <w:snapToGrid w:val="0"/>
        <w:spacing w:line="233"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5"/>
          <w:sz w:val="31"/>
          <w:szCs w:val="31"/>
        </w:rPr>
        <w:t>（五）政府性基金预算收支决算情况说明</w:t>
      </w:r>
    </w:p>
    <w:p>
      <w:pPr>
        <w:pStyle w:val="15"/>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rPr>
          <w:rFonts w:ascii="Times New Roman" w:cs="Times New Roman" w:hAnsi="Times New Roman"/>
        </w:rPr>
      </w:pPr>
      <w:r>
        <w:rPr>
          <w:rFonts w:ascii="Times New Roman" w:cs="Times New Roman" w:hAnsi="Times New Roman"/>
          <w:spacing w:val="1"/>
        </w:rPr>
        <w:t>本部门2023年度无政府性基金预算财政拨款收支。</w:t>
      </w:r>
    </w:p>
    <w:p>
      <w:pPr>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3"/>
          <w:sz w:val="31"/>
          <w:szCs w:val="31"/>
        </w:rPr>
        <w:t>（六）国有资本经营预算财政拨款支出决算情况说明</w:t>
      </w:r>
    </w:p>
    <w:p>
      <w:pPr>
        <w:pStyle w:val="15"/>
        <w:keepNext w:val="0"/>
        <w:keepLines w:val="0"/>
        <w:pageBreakBefore w:val="0"/>
        <w:widowControl/>
        <w:kinsoku/>
        <w:wordWrap/>
        <w:overflowPunct/>
        <w:topLinePunct w:val="0"/>
        <w:autoSpaceDE/>
        <w:autoSpaceDN/>
        <w:bidi w:val="0"/>
        <w:adjustRightInd w:val="0"/>
        <w:snapToGrid w:val="0"/>
        <w:spacing w:line="238" w:lineRule="auto"/>
        <w:ind w:left="0" w:right="0"/>
        <w:jc w:val="both"/>
        <w:textAlignment w:val="baseline"/>
        <w:rPr>
          <w:rFonts w:ascii="Times New Roman" w:cs="Times New Roman" w:hAnsi="Times New Roman"/>
          <w:sz w:val="31"/>
          <w:szCs w:val="31"/>
        </w:rPr>
      </w:pPr>
      <w:r>
        <w:rPr>
          <w:rFonts w:ascii="Times New Roman" w:cs="Times New Roman" w:hAnsi="Times New Roman"/>
          <w:spacing w:val="10"/>
          <w:sz w:val="31"/>
          <w:szCs w:val="31"/>
        </w:rPr>
        <w:t>本部门2023年度无国有资本经营预算财政拨款支出。</w:t>
      </w:r>
    </w:p>
    <w:p>
      <w:pPr>
        <w:keepNext w:val="0"/>
        <w:keepLines w:val="0"/>
        <w:pageBreakBefore w:val="0"/>
        <w:widowControl/>
        <w:kinsoku/>
        <w:wordWrap/>
        <w:overflowPunct/>
        <w:topLinePunct w:val="0"/>
        <w:autoSpaceDE/>
        <w:autoSpaceDN/>
        <w:bidi w:val="0"/>
        <w:adjustRightInd w:val="0"/>
        <w:snapToGrid w:val="0"/>
        <w:spacing w:line="252" w:lineRule="auto"/>
        <w:ind w:left="0" w:right="0"/>
        <w:jc w:val="both"/>
        <w:textAlignment w:val="baseline"/>
        <w:rPr>
          <w:rFonts w:ascii="Times New Roman" w:cs="Times New Roman" w:hAnsi="Times New Roman"/>
          <w:sz w:val="21"/>
        </w:rPr>
      </w:pPr>
    </w:p>
    <w:p>
      <w:pPr>
        <w:keepNext w:val="0"/>
        <w:keepLines w:val="0"/>
        <w:pageBreakBefore w:val="0"/>
        <w:widowControl/>
        <w:kinsoku/>
        <w:wordWrap/>
        <w:overflowPunct/>
        <w:topLinePunct w:val="0"/>
        <w:autoSpaceDE/>
        <w:autoSpaceDN/>
        <w:bidi w:val="0"/>
        <w:adjustRightInd w:val="0"/>
        <w:snapToGrid w:val="0"/>
        <w:spacing w:line="226" w:lineRule="auto"/>
        <w:ind w:left="0" w:right="0"/>
        <w:jc w:val="both"/>
        <w:textAlignment w:val="baseline"/>
        <w:outlineLvl w:val="0"/>
        <w:rPr>
          <w:rFonts w:ascii="Times New Roman" w:eastAsia="黑体" w:cs="Times New Roman" w:hAnsi="Times New Roman"/>
          <w:sz w:val="31"/>
          <w:szCs w:val="31"/>
        </w:rPr>
      </w:pPr>
      <w:r>
        <w:rPr>
          <w:rFonts w:ascii="Times New Roman" w:eastAsia="黑体" w:cs="Times New Roman" w:hAnsi="Times New Roman"/>
          <w:b/>
          <w:bCs/>
          <w:spacing w:val="6"/>
          <w:sz w:val="31"/>
          <w:szCs w:val="31"/>
        </w:rPr>
        <w:t>三、“三公”经费情况说明</w:t>
      </w:r>
    </w:p>
    <w:p>
      <w:pPr>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1"/>
          <w:sz w:val="31"/>
          <w:szCs w:val="31"/>
        </w:rPr>
        <w:t>（一）“三公”经费支出总体情况说明</w:t>
      </w:r>
    </w:p>
    <w:p>
      <w:pPr>
        <w:pStyle w:val="15"/>
        <w:keepNext w:val="0"/>
        <w:keepLines w:val="0"/>
        <w:pageBreakBefore w:val="0"/>
        <w:widowControl/>
        <w:kinsoku/>
        <w:wordWrap/>
        <w:overflowPunct/>
        <w:topLinePunct w:val="0"/>
        <w:autoSpaceDE/>
        <w:autoSpaceDN/>
        <w:bidi w:val="0"/>
        <w:adjustRightInd w:val="0"/>
        <w:snapToGrid w:val="0"/>
        <w:spacing w:line="355" w:lineRule="auto"/>
        <w:ind w:left="0" w:right="0" w:firstLine="602"/>
        <w:jc w:val="both"/>
        <w:textAlignment w:val="baseline"/>
        <w:rPr>
          <w:rFonts w:ascii="Times New Roman" w:cs="Times New Roman" w:hAnsi="Times New Roman"/>
        </w:rPr>
      </w:pPr>
      <w:r>
        <w:rPr>
          <w:rFonts w:ascii="Times New Roman" w:cs="Times New Roman" w:hAnsi="Times New Roman"/>
          <w:spacing w:val="-2"/>
        </w:rPr>
        <w:t>2023年度“三公”经费支出共计9.60万元，较年初预算数</w:t>
      </w:r>
      <w:r>
        <w:rPr>
          <w:rFonts w:ascii="Times New Roman" w:cs="Times New Roman" w:hAnsi="Times New Roman"/>
          <w:spacing w:val="-4"/>
        </w:rPr>
        <w:t>减少0.60万元，下降5.88%，主要原因是我单位继续认真贯彻落实中央八项规定精神和厉行节约要求，从严控制三公经费。较上</w:t>
      </w:r>
      <w:r>
        <w:rPr>
          <w:rFonts w:ascii="Times New Roman" w:cs="Times New Roman" w:hAnsi="Times New Roman"/>
          <w:spacing w:val="-6"/>
        </w:rPr>
        <w:t>年支出数增加3.47万元，增长56.61%，主要原因是2023年我单</w:t>
      </w:r>
      <w:r>
        <w:rPr>
          <w:rFonts w:ascii="Times New Roman" w:cs="Times New Roman" w:hAnsi="Times New Roman"/>
          <w:spacing w:val="-8"/>
        </w:rPr>
        <w:t>位公务用车3台，共计公务用车运行维护费9万元；2022年为2</w:t>
      </w:r>
    </w:p>
    <w:p>
      <w:pPr>
        <w:keepNext w:val="0"/>
        <w:keepLines w:val="0"/>
        <w:pageBreakBefore w:val="0"/>
        <w:widowControl/>
        <w:kinsoku/>
        <w:wordWrap/>
        <w:overflowPunct/>
        <w:topLinePunct w:val="0"/>
        <w:autoSpaceDE/>
        <w:autoSpaceDN/>
        <w:bidi w:val="0"/>
        <w:adjustRightInd w:val="0"/>
        <w:snapToGrid w:val="0"/>
        <w:spacing w:line="355" w:lineRule="auto"/>
        <w:ind w:left="0" w:right="0"/>
        <w:jc w:val="both"/>
        <w:textAlignment w:val="baseline"/>
        <w:rPr>
          <w:rFonts w:ascii="Times New Roman" w:cs="Times New Roman" w:hAnsi="Times New Roman"/>
        </w:rPr>
        <w:sectPr>
          <w:footerReference w:type="default" r:id="rId7"/>
          <w:pgSz w:w="11915" w:h="16840"/>
          <w:pgMar w:top="1431" w:right="1684" w:bottom="1166" w:left="1787" w:header="0" w:footer="987" w:gutter="0"/>
          <w:docGrid w:linePitch="312" w:charSpace="0"/>
        </w:sectPr>
      </w:pPr>
    </w:p>
    <w:p>
      <w:pPr>
        <w:pStyle w:val="15"/>
        <w:keepNext w:val="0"/>
        <w:keepLines w:val="0"/>
        <w:pageBreakBefore w:val="0"/>
        <w:widowControl/>
        <w:kinsoku/>
        <w:wordWrap/>
        <w:overflowPunct/>
        <w:topLinePunct w:val="0"/>
        <w:autoSpaceDE/>
        <w:autoSpaceDN/>
        <w:bidi w:val="0"/>
        <w:adjustRightInd w:val="0"/>
        <w:snapToGrid w:val="0"/>
        <w:spacing w:line="353" w:lineRule="auto"/>
        <w:ind w:left="0" w:right="0" w:firstLine="31"/>
        <w:jc w:val="both"/>
        <w:textAlignment w:val="baseline"/>
        <w:rPr>
          <w:rFonts w:ascii="Times New Roman" w:cs="Times New Roman" w:hAnsi="Times New Roman"/>
        </w:rPr>
      </w:pPr>
      <w:r>
        <w:rPr>
          <w:rFonts w:ascii="Times New Roman" w:cs="Times New Roman" w:hAnsi="Times New Roman"/>
          <w:spacing w:val="-5"/>
        </w:rPr>
        <w:t>台公务用车，共计6万元。2023年三次公务接待，共计62人次</w:t>
      </w:r>
      <w:r>
        <w:rPr>
          <w:rFonts w:ascii="Times New Roman" w:cs="Times New Roman" w:hAnsi="Times New Roman"/>
          <w:spacing w:val="-8"/>
        </w:rPr>
        <w:t>花费6038元。</w:t>
      </w:r>
    </w:p>
    <w:p>
      <w:pPr>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2"/>
          <w:sz w:val="31"/>
          <w:szCs w:val="31"/>
        </w:rPr>
        <w:t>（二）“三公”经费分项支出情况</w:t>
      </w:r>
    </w:p>
    <w:p>
      <w:pPr>
        <w:pStyle w:val="15"/>
        <w:keepNext w:val="0"/>
        <w:keepLines w:val="0"/>
        <w:pageBreakBefore w:val="0"/>
        <w:widowControl/>
        <w:kinsoku/>
        <w:wordWrap/>
        <w:overflowPunct/>
        <w:topLinePunct w:val="0"/>
        <w:autoSpaceDE/>
        <w:autoSpaceDN/>
        <w:bidi w:val="0"/>
        <w:adjustRightInd w:val="0"/>
        <w:snapToGrid w:val="0"/>
        <w:spacing w:line="355" w:lineRule="auto"/>
        <w:ind w:left="0" w:right="0" w:firstLine="601"/>
        <w:jc w:val="both"/>
        <w:textAlignment w:val="baseline"/>
        <w:rPr>
          <w:rFonts w:ascii="Times New Roman" w:cs="Times New Roman" w:hAnsi="Times New Roman"/>
        </w:rPr>
      </w:pPr>
      <w:r>
        <w:rPr>
          <w:rFonts w:ascii="Times New Roman" w:cs="Times New Roman" w:hAnsi="Times New Roman"/>
          <w:spacing w:val="-12"/>
        </w:rPr>
        <w:t>2023年度本部门因公出国（境）费用0.00万元，本单</w:t>
      </w:r>
      <w:r>
        <w:rPr>
          <w:rFonts w:ascii="Times New Roman" w:cs="Times New Roman" w:hAnsi="Times New Roman"/>
          <w:spacing w:val="-13"/>
        </w:rPr>
        <w:t>位2023</w:t>
      </w:r>
      <w:r>
        <w:rPr>
          <w:rFonts w:ascii="Times New Roman" w:cs="Times New Roman" w:hAnsi="Times New Roman"/>
          <w:spacing w:val="-11"/>
        </w:rPr>
        <w:t>年度未发生因公出国（境）支出，费用支出较年初预算数无增减，</w:t>
      </w:r>
      <w:r>
        <w:rPr>
          <w:rFonts w:ascii="Times New Roman" w:cs="Times New Roman" w:hAnsi="Times New Roman"/>
          <w:spacing w:val="-2"/>
        </w:rPr>
        <w:t>较上年支出数无增减。</w:t>
      </w:r>
    </w:p>
    <w:p>
      <w:pPr>
        <w:pStyle w:val="15"/>
        <w:keepNext w:val="0"/>
        <w:keepLines w:val="0"/>
        <w:pageBreakBefore w:val="0"/>
        <w:widowControl/>
        <w:kinsoku/>
        <w:wordWrap/>
        <w:overflowPunct/>
        <w:topLinePunct w:val="0"/>
        <w:autoSpaceDE/>
        <w:autoSpaceDN/>
        <w:bidi w:val="0"/>
        <w:adjustRightInd w:val="0"/>
        <w:snapToGrid w:val="0"/>
        <w:spacing w:line="353" w:lineRule="auto"/>
        <w:ind w:left="0" w:right="0" w:firstLine="597"/>
        <w:jc w:val="both"/>
        <w:textAlignment w:val="baseline"/>
        <w:rPr>
          <w:rFonts w:ascii="Times New Roman" w:cs="Times New Roman" w:hAnsi="Times New Roman"/>
        </w:rPr>
      </w:pPr>
      <w:r>
        <w:rPr>
          <w:rFonts w:ascii="Times New Roman" w:cs="Times New Roman" w:hAnsi="Times New Roman"/>
          <w:spacing w:val="-4"/>
        </w:rPr>
        <w:t>公务车购置费0.00万元，本单位2023年度未发生公务车购</w:t>
      </w:r>
      <w:r>
        <w:rPr>
          <w:rFonts w:ascii="Times New Roman" w:cs="Times New Roman" w:hAnsi="Times New Roman"/>
          <w:spacing w:val="-10"/>
        </w:rPr>
        <w:t>置费支出，费用支出较年初预算数无增减，较上年</w:t>
      </w:r>
      <w:r>
        <w:rPr>
          <w:rFonts w:ascii="Times New Roman" w:cs="Times New Roman" w:hAnsi="Times New Roman"/>
          <w:spacing w:val="-11"/>
        </w:rPr>
        <w:t>支出数无增减。</w:t>
      </w:r>
    </w:p>
    <w:p>
      <w:pPr>
        <w:pStyle w:val="15"/>
        <w:keepNext w:val="0"/>
        <w:keepLines w:val="0"/>
        <w:pageBreakBefore w:val="0"/>
        <w:widowControl/>
        <w:kinsoku/>
        <w:wordWrap/>
        <w:overflowPunct/>
        <w:topLinePunct w:val="0"/>
        <w:autoSpaceDE/>
        <w:autoSpaceDN/>
        <w:bidi w:val="0"/>
        <w:adjustRightInd w:val="0"/>
        <w:snapToGrid w:val="0"/>
        <w:spacing w:line="341" w:lineRule="auto"/>
        <w:ind w:left="0" w:right="0" w:firstLine="386"/>
        <w:jc w:val="both"/>
        <w:textAlignment w:val="baseline"/>
        <w:rPr>
          <w:rFonts w:ascii="Times New Roman" w:cs="Times New Roman" w:hAnsi="Times New Roman"/>
        </w:rPr>
      </w:pPr>
      <w:r>
        <w:rPr>
          <w:rFonts w:ascii="Times New Roman" w:cs="Times New Roman" w:hAnsi="Times New Roman"/>
          <w:spacing w:val="-1"/>
        </w:rPr>
        <w:t>公务车运行维护费9.00万元，主要用于机要文件交换、市内</w:t>
      </w:r>
      <w:r>
        <w:rPr>
          <w:rFonts w:ascii="Times New Roman" w:cs="Times New Roman" w:hAnsi="Times New Roman"/>
          <w:spacing w:val="-4"/>
        </w:rPr>
        <w:t>因公出行、工作检查等工作所需车辆的燃料费、维修费、过桥过路费、保险费等。费用支出较年初预算数无增减，较上年支出数增加3.00万元，增长50.00%，主要原因是2022年我单位只有原</w:t>
      </w:r>
      <w:r>
        <w:rPr>
          <w:rFonts w:ascii="Times New Roman" w:cs="Times New Roman" w:hAnsi="Times New Roman"/>
          <w:spacing w:val="-11"/>
        </w:rPr>
        <w:t>监督局2台车纳入公务用车运行维护费单独预算，原动监所1台</w:t>
      </w:r>
      <w:r>
        <w:rPr>
          <w:rFonts w:ascii="Times New Roman" w:cs="Times New Roman" w:hAnsi="Times New Roman"/>
          <w:spacing w:val="1"/>
        </w:rPr>
        <w:t>公务用车未纳入单独预算，2023年我单位3台车均纳入</w:t>
      </w:r>
      <w:r>
        <w:rPr>
          <w:rFonts w:ascii="Times New Roman" w:cs="Times New Roman" w:hAnsi="Times New Roman"/>
        </w:rPr>
        <w:t>公务用</w:t>
      </w:r>
      <w:r>
        <w:rPr>
          <w:rFonts w:ascii="Times New Roman" w:cs="Times New Roman" w:hAnsi="Times New Roman"/>
          <w:spacing w:val="-4"/>
        </w:rPr>
        <w:t>车运行维护费单独预算。公务接待费0.60万元，主要用于对口单位业务考察学习交流发生的接待支出。费用支出较年初预算数减少0.60万元，下降50.00%，主要原因是厉行节俭</w:t>
      </w:r>
      <w:r>
        <w:rPr>
          <w:rFonts w:ascii="Times New Roman" w:cs="Times New Roman" w:hAnsi="Times New Roman"/>
          <w:spacing w:val="-5"/>
        </w:rPr>
        <w:t>，严控支出。</w:t>
      </w:r>
      <w:r>
        <w:rPr>
          <w:rFonts w:ascii="Times New Roman" w:cs="Times New Roman" w:hAnsi="Times New Roman"/>
        </w:rPr>
        <w:t>较上年支出数增加0.47万元，增长361.</w:t>
      </w:r>
      <w:r>
        <w:rPr>
          <w:rFonts w:ascii="Times New Roman" w:cs="Times New Roman" w:hAnsi="Times New Roman"/>
          <w:spacing w:val="-1"/>
        </w:rPr>
        <w:t>54%，主要原因是2023</w:t>
      </w:r>
      <w:r>
        <w:rPr>
          <w:rFonts w:ascii="Times New Roman" w:cs="Times New Roman" w:hAnsi="Times New Roman"/>
          <w:spacing w:val="-13"/>
        </w:rPr>
        <w:t>年三次公务接待，共计62人次花费6038元，2022</w:t>
      </w:r>
      <w:r>
        <w:rPr>
          <w:rFonts w:ascii="Times New Roman" w:cs="Times New Roman" w:hAnsi="Times New Roman"/>
          <w:spacing w:val="-14"/>
        </w:rPr>
        <w:t>年因疫情影响，</w:t>
      </w:r>
      <w:r>
        <w:rPr>
          <w:rFonts w:ascii="Times New Roman" w:cs="Times New Roman" w:hAnsi="Times New Roman"/>
          <w:spacing w:val="-7"/>
        </w:rPr>
        <w:t>只有一次公务接待，共计13人次花费1275</w:t>
      </w:r>
      <w:r>
        <w:rPr>
          <w:rFonts w:ascii="Times New Roman" w:cs="Times New Roman" w:hAnsi="Times New Roman"/>
          <w:spacing w:val="-8"/>
        </w:rPr>
        <w:t>元。</w:t>
      </w:r>
    </w:p>
    <w:p>
      <w:pPr>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z w:val="31"/>
          <w:szCs w:val="31"/>
        </w:rPr>
        <w:t>（三）“三公”经费实物量情况</w:t>
      </w:r>
    </w:p>
    <w:p>
      <w:pPr>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rPr>
          <w:rFonts w:ascii="Times New Roman" w:eastAsia="楷体" w:cs="Times New Roman" w:hAnsi="Times New Roman"/>
          <w:sz w:val="31"/>
          <w:szCs w:val="31"/>
        </w:rPr>
        <w:sectPr>
          <w:footerReference w:type="default" r:id="rId8"/>
          <w:pgSz w:w="11915" w:h="16840"/>
          <w:pgMar w:top="1423" w:right="1690" w:bottom="1164" w:left="1787" w:header="0" w:footer="987" w:gutter="0"/>
          <w:docGrid w:linePitch="312" w:charSpace="0"/>
        </w:sectPr>
      </w:pPr>
    </w:p>
    <w:p>
      <w:pPr>
        <w:pStyle w:val="15"/>
        <w:keepNext w:val="0"/>
        <w:keepLines w:val="0"/>
        <w:pageBreakBefore w:val="0"/>
        <w:widowControl/>
        <w:kinsoku/>
        <w:wordWrap/>
        <w:overflowPunct/>
        <w:topLinePunct w:val="0"/>
        <w:autoSpaceDE/>
        <w:autoSpaceDN/>
        <w:bidi w:val="0"/>
        <w:adjustRightInd w:val="0"/>
        <w:snapToGrid w:val="0"/>
        <w:spacing w:line="355" w:lineRule="auto"/>
        <w:ind w:left="0" w:right="0" w:firstLine="420"/>
        <w:jc w:val="both"/>
        <w:textAlignment w:val="baseline"/>
        <w:rPr>
          <w:rFonts w:ascii="Times New Roman" w:cs="Times New Roman" w:hAnsi="Times New Roman"/>
        </w:rPr>
      </w:pPr>
      <w:r>
        <w:rPr>
          <w:rFonts w:ascii="Times New Roman" w:cs="Times New Roman" w:hAnsi="Times New Roman"/>
        </w:rPr>
        <w:t>2023年度本部门因公出国（境）共计0个团组，0人；公务</w:t>
      </w:r>
      <w:r>
        <w:rPr>
          <w:rFonts w:ascii="Times New Roman" w:cs="Times New Roman" w:hAnsi="Times New Roman"/>
          <w:spacing w:val="-4"/>
        </w:rPr>
        <w:t>用车购置0辆，公务车保有量为3辆；国内公务接待3批次62</w:t>
      </w:r>
      <w:r>
        <w:rPr>
          <w:rFonts w:ascii="Times New Roman" w:cs="Times New Roman" w:hAnsi="Times New Roman"/>
          <w:spacing w:val="-5"/>
        </w:rPr>
        <w:t>人，其中：国内外事接待0批次，0人；国（境）外公务接待0</w:t>
      </w:r>
      <w:r>
        <w:rPr>
          <w:rFonts w:ascii="Times New Roman" w:cs="Times New Roman" w:hAnsi="Times New Roman"/>
          <w:spacing w:val="-3"/>
        </w:rPr>
        <w:t>批次，0人。2023年本部门人均接待费97.</w:t>
      </w:r>
      <w:r>
        <w:rPr>
          <w:rFonts w:ascii="Times New Roman" w:cs="Times New Roman" w:hAnsi="Times New Roman"/>
          <w:spacing w:val="-4"/>
        </w:rPr>
        <w:t>39元，车均购置费0</w:t>
      </w:r>
      <w:r>
        <w:rPr>
          <w:rFonts w:ascii="Times New Roman" w:cs="Times New Roman" w:hAnsi="Times New Roman"/>
          <w:spacing w:val="-5"/>
        </w:rPr>
        <w:t>万元，车均维护费3.00万元。</w:t>
      </w:r>
    </w:p>
    <w:p>
      <w:pPr>
        <w:keepNext w:val="0"/>
        <w:keepLines w:val="0"/>
        <w:pageBreakBefore w:val="0"/>
        <w:widowControl/>
        <w:kinsoku/>
        <w:wordWrap/>
        <w:overflowPunct/>
        <w:topLinePunct w:val="0"/>
        <w:autoSpaceDE/>
        <w:autoSpaceDN/>
        <w:bidi w:val="0"/>
        <w:adjustRightInd w:val="0"/>
        <w:snapToGrid w:val="0"/>
        <w:spacing w:line="226" w:lineRule="auto"/>
        <w:ind w:left="0" w:right="0"/>
        <w:jc w:val="both"/>
        <w:textAlignment w:val="baseline"/>
        <w:outlineLvl w:val="0"/>
        <w:rPr>
          <w:rFonts w:ascii="Times New Roman" w:eastAsia="黑体" w:cs="Times New Roman" w:hAnsi="Times New Roman"/>
          <w:sz w:val="31"/>
          <w:szCs w:val="31"/>
        </w:rPr>
      </w:pPr>
      <w:r>
        <w:rPr>
          <w:rFonts w:ascii="Times New Roman" w:eastAsia="黑体" w:cs="Times New Roman" w:hAnsi="Times New Roman"/>
          <w:b/>
          <w:bCs/>
          <w:spacing w:val="6"/>
          <w:sz w:val="31"/>
          <w:szCs w:val="31"/>
        </w:rPr>
        <w:t>三、其他需要说明的事项</w:t>
      </w:r>
    </w:p>
    <w:p>
      <w:pPr>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outlineLvl w:val="0"/>
        <w:rPr>
          <w:rFonts w:ascii="Times New Roman" w:eastAsia="楷体" w:cs="Times New Roman" w:hAnsi="Times New Roman"/>
          <w:sz w:val="31"/>
          <w:szCs w:val="31"/>
        </w:rPr>
      </w:pPr>
      <w:r>
        <w:rPr>
          <w:rFonts w:ascii="Times New Roman" w:eastAsia="楷体" w:cs="Times New Roman" w:hAnsi="Times New Roman"/>
          <w:b/>
          <w:bCs/>
          <w:spacing w:val="6"/>
          <w:sz w:val="31"/>
          <w:szCs w:val="31"/>
        </w:rPr>
        <w:t>四、（一）财政拨款会议费和培训费情况说明</w:t>
      </w:r>
    </w:p>
    <w:p>
      <w:pPr>
        <w:pStyle w:val="15"/>
        <w:keepNext w:val="0"/>
        <w:keepLines w:val="0"/>
        <w:pageBreakBefore w:val="0"/>
        <w:widowControl/>
        <w:kinsoku/>
        <w:wordWrap/>
        <w:overflowPunct/>
        <w:topLinePunct w:val="0"/>
        <w:autoSpaceDE/>
        <w:autoSpaceDN/>
        <w:bidi w:val="0"/>
        <w:adjustRightInd w:val="0"/>
        <w:snapToGrid w:val="0"/>
        <w:spacing w:line="338" w:lineRule="auto"/>
        <w:ind w:left="0" w:right="0" w:firstLine="751"/>
        <w:jc w:val="both"/>
        <w:textAlignment w:val="baseline"/>
        <w:rPr>
          <w:rFonts w:ascii="Times New Roman" w:cs="Times New Roman" w:hAnsi="Times New Roman"/>
        </w:rPr>
      </w:pPr>
      <w:r>
        <w:rPr>
          <w:rFonts w:ascii="Times New Roman" w:cs="Times New Roman" w:hAnsi="Times New Roman"/>
          <w:spacing w:val="-9"/>
        </w:rPr>
        <w:t>本年度会议费支出3.00万元，较上年决算数增加0.64万元，</w:t>
      </w:r>
      <w:r>
        <w:rPr>
          <w:rFonts w:ascii="Times New Roman" w:cs="Times New Roman" w:hAnsi="Times New Roman"/>
          <w:spacing w:val="4"/>
        </w:rPr>
        <w:t>增长27.12%，主要原因是组织参加各种</w:t>
      </w:r>
      <w:r>
        <w:rPr>
          <w:rFonts w:ascii="Times New Roman" w:cs="Times New Roman" w:hAnsi="Times New Roman"/>
          <w:spacing w:val="3"/>
        </w:rPr>
        <w:t>执法培训会议。本年度</w:t>
      </w:r>
      <w:r>
        <w:rPr>
          <w:rFonts w:ascii="Times New Roman" w:cs="Times New Roman" w:hAnsi="Times New Roman"/>
          <w:spacing w:val="5"/>
        </w:rPr>
        <w:t>培训费支出11.79万元，较上年决算数增加4.76万元，增长</w:t>
      </w:r>
      <w:r>
        <w:rPr>
          <w:rFonts w:ascii="Times New Roman" w:cs="Times New Roman" w:hAnsi="Times New Roman"/>
          <w:spacing w:val="-3"/>
        </w:rPr>
        <w:t>67.71%，主要原因是开展执法培训会、党员主题教育活动和党员远程教育培训。</w:t>
      </w:r>
    </w:p>
    <w:p>
      <w:pPr>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4"/>
          <w:sz w:val="31"/>
          <w:szCs w:val="31"/>
        </w:rPr>
        <w:t>（二）机关运行经费情况说明</w:t>
      </w:r>
    </w:p>
    <w:p>
      <w:pPr>
        <w:pStyle w:val="15"/>
        <w:keepNext w:val="0"/>
        <w:keepLines w:val="0"/>
        <w:pageBreakBefore w:val="0"/>
        <w:widowControl/>
        <w:kinsoku/>
        <w:wordWrap/>
        <w:overflowPunct/>
        <w:topLinePunct w:val="0"/>
        <w:autoSpaceDE/>
        <w:autoSpaceDN/>
        <w:bidi w:val="0"/>
        <w:adjustRightInd w:val="0"/>
        <w:snapToGrid w:val="0"/>
        <w:spacing w:line="353" w:lineRule="auto"/>
        <w:ind w:left="0" w:right="0" w:firstLine="600"/>
        <w:jc w:val="both"/>
        <w:textAlignment w:val="baseline"/>
        <w:rPr>
          <w:rFonts w:ascii="Times New Roman" w:cs="Times New Roman" w:hAnsi="Times New Roman"/>
        </w:rPr>
      </w:pPr>
      <w:r>
        <w:rPr>
          <w:rFonts w:ascii="Times New Roman" w:cs="Times New Roman" w:hAnsi="Times New Roman"/>
          <w:spacing w:val="-3"/>
        </w:rPr>
        <w:t>2023年度本部门机关运行经费支出204.37万</w:t>
      </w:r>
      <w:r>
        <w:rPr>
          <w:rFonts w:ascii="Times New Roman" w:cs="Times New Roman" w:hAnsi="Times New Roman"/>
          <w:spacing w:val="-4"/>
        </w:rPr>
        <w:t>元，机关运行</w:t>
      </w:r>
      <w:r>
        <w:rPr>
          <w:rFonts w:ascii="Times New Roman" w:cs="Times New Roman" w:hAnsi="Times New Roman"/>
          <w:spacing w:val="-10"/>
        </w:rPr>
        <w:t>经费主要用于开支办公费、水电费、公务车运行维护费、差旅费、</w:t>
      </w:r>
      <w:r>
        <w:rPr>
          <w:rFonts w:ascii="Times New Roman" w:cs="Times New Roman" w:hAnsi="Times New Roman"/>
          <w:spacing w:val="-4"/>
        </w:rPr>
        <w:t>信息网络购置更新费、邮电费，机关运行经费较上年支出数减少</w:t>
      </w:r>
      <w:r>
        <w:rPr>
          <w:rFonts w:ascii="Times New Roman" w:cs="Times New Roman" w:hAnsi="Times New Roman"/>
          <w:spacing w:val="-6"/>
        </w:rPr>
        <w:t>58.76万元，下降22.33%，主要原因一是一般公用经费2023</w:t>
      </w:r>
      <w:r>
        <w:rPr>
          <w:rFonts w:ascii="Times New Roman" w:cs="Times New Roman" w:hAnsi="Times New Roman"/>
          <w:spacing w:val="-7"/>
        </w:rPr>
        <w:t>年预</w:t>
      </w:r>
      <w:r>
        <w:rPr>
          <w:rFonts w:ascii="Times New Roman" w:cs="Times New Roman" w:hAnsi="Times New Roman"/>
          <w:spacing w:val="-12"/>
        </w:rPr>
        <w:t>算为45人*37000元/人，合计166.50万元，2022年为4</w:t>
      </w:r>
      <w:r>
        <w:rPr>
          <w:rFonts w:ascii="Times New Roman" w:cs="Times New Roman" w:hAnsi="Times New Roman"/>
          <w:spacing w:val="-13"/>
        </w:rPr>
        <w:t>8人*42000</w:t>
      </w:r>
      <w:r>
        <w:rPr>
          <w:rFonts w:ascii="Times New Roman" w:cs="Times New Roman" w:hAnsi="Times New Roman"/>
          <w:spacing w:val="-4"/>
        </w:rPr>
        <w:t>元/人，合计201.60万元，减少了35.10万元。二是年度预算执行中，由于工作需要，财政追减一般公用支出（行政）31.80万</w:t>
      </w:r>
      <w:r>
        <w:rPr>
          <w:rFonts w:ascii="Times New Roman" w:cs="Times New Roman" w:hAnsi="Times New Roman"/>
          <w:spacing w:val="-9"/>
        </w:rPr>
        <w:t>元。</w:t>
      </w:r>
    </w:p>
    <w:p>
      <w:pPr>
        <w:keepNext w:val="0"/>
        <w:keepLines w:val="0"/>
        <w:pageBreakBefore w:val="0"/>
        <w:widowControl/>
        <w:kinsoku/>
        <w:wordWrap/>
        <w:overflowPunct/>
        <w:topLinePunct w:val="0"/>
        <w:autoSpaceDE/>
        <w:autoSpaceDN/>
        <w:bidi w:val="0"/>
        <w:adjustRightInd w:val="0"/>
        <w:snapToGrid w:val="0"/>
        <w:spacing w:line="353" w:lineRule="auto"/>
        <w:ind w:left="0" w:right="0"/>
        <w:jc w:val="both"/>
        <w:textAlignment w:val="baseline"/>
        <w:rPr>
          <w:rFonts w:ascii="Times New Roman" w:cs="Times New Roman" w:hAnsi="Times New Roman"/>
        </w:rPr>
        <w:sectPr>
          <w:footerReference w:type="default" r:id="rId9"/>
          <w:pgSz w:w="11915" w:h="16840"/>
          <w:pgMar w:top="1423" w:right="1684" w:bottom="1166" w:left="1787" w:header="0" w:footer="987" w:gutter="0"/>
          <w:docGrid w:linePitch="312" w:charSpace="0"/>
        </w:sectPr>
      </w:pPr>
    </w:p>
    <w:p>
      <w:pPr>
        <w:keepNext w:val="0"/>
        <w:keepLines w:val="0"/>
        <w:pageBreakBefore w:val="0"/>
        <w:widowControl/>
        <w:kinsoku/>
        <w:wordWrap/>
        <w:overflowPunct/>
        <w:topLinePunct w:val="0"/>
        <w:autoSpaceDE/>
        <w:autoSpaceDN/>
        <w:bidi w:val="0"/>
        <w:adjustRightInd w:val="0"/>
        <w:snapToGrid w:val="0"/>
        <w:spacing w:line="228"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1"/>
          <w:sz w:val="31"/>
          <w:szCs w:val="31"/>
        </w:rPr>
        <w:t>（三）国有资产占用情况说明</w:t>
      </w:r>
    </w:p>
    <w:p>
      <w:pPr>
        <w:pStyle w:val="15"/>
        <w:keepNext w:val="0"/>
        <w:keepLines w:val="0"/>
        <w:pageBreakBefore w:val="0"/>
        <w:widowControl/>
        <w:kinsoku/>
        <w:wordWrap/>
        <w:overflowPunct/>
        <w:topLinePunct w:val="0"/>
        <w:autoSpaceDE/>
        <w:autoSpaceDN/>
        <w:bidi w:val="0"/>
        <w:adjustRightInd w:val="0"/>
        <w:snapToGrid w:val="0"/>
        <w:spacing w:line="358" w:lineRule="auto"/>
        <w:ind w:left="0" w:right="0" w:firstLine="748"/>
        <w:jc w:val="both"/>
        <w:textAlignment w:val="baseline"/>
        <w:rPr>
          <w:rFonts w:ascii="Times New Roman" w:cs="Times New Roman" w:hAnsi="Times New Roman"/>
        </w:rPr>
      </w:pPr>
      <w:r>
        <w:rPr>
          <w:rFonts w:ascii="Times New Roman" w:cs="Times New Roman" w:hAnsi="Times New Roman"/>
          <w:spacing w:val="-9"/>
        </w:rPr>
        <w:t>截至2023年12月31日，本部门共有车辆3辆，</w:t>
      </w:r>
      <w:r>
        <w:rPr>
          <w:rFonts w:ascii="Times New Roman" w:cs="Times New Roman" w:hAnsi="Times New Roman"/>
          <w:spacing w:val="-10"/>
        </w:rPr>
        <w:t>其中，</w:t>
      </w:r>
      <w:r>
        <w:rPr>
          <w:rFonts w:ascii="Times New Roman" w:cs="Times New Roman" w:hAnsi="Times New Roman"/>
        </w:rPr>
        <w:t>副部（省）级及以上领导用车0辆、主要负责人用车0辆、机要</w:t>
      </w:r>
      <w:r>
        <w:rPr>
          <w:rFonts w:ascii="Times New Roman" w:cs="Times New Roman" w:hAnsi="Times New Roman"/>
          <w:spacing w:val="2"/>
        </w:rPr>
        <w:t>通信用车0辆、应急保障用车3辆、执法执勤用车0辆，特种专</w:t>
      </w:r>
      <w:r>
        <w:rPr>
          <w:rFonts w:ascii="Times New Roman" w:cs="Times New Roman" w:hAnsi="Times New Roman"/>
          <w:spacing w:val="-10"/>
        </w:rPr>
        <w:t>业技术用车0辆，离退休干部用车0辆。单价100万元（含）以</w:t>
      </w:r>
      <w:r>
        <w:rPr>
          <w:rFonts w:ascii="Times New Roman" w:cs="Times New Roman" w:hAnsi="Times New Roman"/>
          <w:spacing w:val="-8"/>
        </w:rPr>
        <w:t>上专用设备0台（套）。</w:t>
      </w:r>
    </w:p>
    <w:p>
      <w:pPr>
        <w:keepNext w:val="0"/>
        <w:keepLines w:val="0"/>
        <w:pageBreakBefore w:val="0"/>
        <w:widowControl/>
        <w:kinsoku/>
        <w:wordWrap/>
        <w:overflowPunct/>
        <w:topLinePunct w:val="0"/>
        <w:autoSpaceDE/>
        <w:autoSpaceDN/>
        <w:bidi w:val="0"/>
        <w:adjustRightInd w:val="0"/>
        <w:snapToGrid w:val="0"/>
        <w:spacing w:line="233"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4"/>
          <w:sz w:val="31"/>
          <w:szCs w:val="31"/>
        </w:rPr>
        <w:t>（四）政府采购支出情况说明</w:t>
      </w:r>
    </w:p>
    <w:p>
      <w:pPr>
        <w:pStyle w:val="15"/>
        <w:keepNext w:val="0"/>
        <w:keepLines w:val="0"/>
        <w:pageBreakBefore w:val="0"/>
        <w:widowControl/>
        <w:kinsoku/>
        <w:wordWrap/>
        <w:overflowPunct/>
        <w:topLinePunct w:val="0"/>
        <w:autoSpaceDE/>
        <w:autoSpaceDN/>
        <w:bidi w:val="0"/>
        <w:adjustRightInd w:val="0"/>
        <w:snapToGrid w:val="0"/>
        <w:spacing w:line="358" w:lineRule="auto"/>
        <w:ind w:left="0" w:right="0" w:firstLine="601"/>
        <w:jc w:val="both"/>
        <w:textAlignment w:val="baseline"/>
        <w:rPr>
          <w:rFonts w:ascii="Times New Roman" w:cs="Times New Roman" w:hAnsi="Times New Roman"/>
        </w:rPr>
      </w:pPr>
      <w:r>
        <w:rPr>
          <w:rFonts w:ascii="Times New Roman" w:cs="Times New Roman" w:hAnsi="Times New Roman"/>
          <w:spacing w:val="-3"/>
        </w:rPr>
        <w:t>2023年度本部门政府采购支出总额3.95万元，其中：政府</w:t>
      </w:r>
      <w:r>
        <w:rPr>
          <w:rFonts w:ascii="Times New Roman" w:cs="Times New Roman" w:hAnsi="Times New Roman"/>
          <w:spacing w:val="-2"/>
        </w:rPr>
        <w:t>采购货物支出3.95万元、政府采购工程支出0.00万元、政府采</w:t>
      </w:r>
      <w:r>
        <w:rPr>
          <w:rFonts w:ascii="Times New Roman" w:cs="Times New Roman" w:hAnsi="Times New Roman"/>
          <w:spacing w:val="-4"/>
        </w:rPr>
        <w:t>购服务支出0.00万元。授予中小企业合同金额</w:t>
      </w:r>
      <w:r>
        <w:rPr>
          <w:rFonts w:ascii="Times New Roman" w:cs="Times New Roman" w:hAnsi="Times New Roman"/>
          <w:spacing w:val="-5"/>
        </w:rPr>
        <w:t>3.95万元，占政</w:t>
      </w:r>
      <w:r>
        <w:rPr>
          <w:rFonts w:ascii="Times New Roman" w:cs="Times New Roman" w:hAnsi="Times New Roman"/>
          <w:spacing w:val="-3"/>
        </w:rPr>
        <w:t>府采购支出总额的100.00%，其中：授予小微企业合同金额3.95</w:t>
      </w:r>
      <w:r>
        <w:rPr>
          <w:rFonts w:ascii="Times New Roman" w:cs="Times New Roman" w:hAnsi="Times New Roman"/>
          <w:spacing w:val="-11"/>
        </w:rPr>
        <w:t>万元，占政府采购支出总额的100.00%。主要用于采购台式电脑。</w:t>
      </w:r>
    </w:p>
    <w:p>
      <w:pPr>
        <w:keepNext w:val="0"/>
        <w:keepLines w:val="0"/>
        <w:pageBreakBefore w:val="0"/>
        <w:widowControl/>
        <w:kinsoku/>
        <w:wordWrap/>
        <w:overflowPunct/>
        <w:topLinePunct w:val="0"/>
        <w:autoSpaceDE/>
        <w:autoSpaceDN/>
        <w:bidi w:val="0"/>
        <w:adjustRightInd w:val="0"/>
        <w:snapToGrid w:val="0"/>
        <w:spacing w:line="226" w:lineRule="auto"/>
        <w:ind w:left="0" w:right="0"/>
        <w:jc w:val="both"/>
        <w:textAlignment w:val="baseline"/>
        <w:outlineLvl w:val="0"/>
        <w:rPr>
          <w:rFonts w:ascii="Times New Roman" w:eastAsia="黑体" w:cs="Times New Roman" w:hAnsi="Times New Roman"/>
          <w:sz w:val="31"/>
          <w:szCs w:val="31"/>
        </w:rPr>
      </w:pPr>
      <w:r>
        <w:rPr>
          <w:rFonts w:ascii="Times New Roman" w:eastAsia="黑体" w:cs="Times New Roman" w:hAnsi="Times New Roman"/>
          <w:b/>
          <w:bCs/>
          <w:spacing w:val="5"/>
          <w:sz w:val="31"/>
          <w:szCs w:val="31"/>
        </w:rPr>
        <w:t>五、预算绩效管理情况说明</w:t>
      </w:r>
    </w:p>
    <w:p>
      <w:pPr>
        <w:keepNext w:val="0"/>
        <w:keepLines w:val="0"/>
        <w:pageBreakBefore w:val="0"/>
        <w:widowControl/>
        <w:kinsoku/>
        <w:wordWrap/>
        <w:overflowPunct/>
        <w:topLinePunct w:val="0"/>
        <w:autoSpaceDE/>
        <w:autoSpaceDN/>
        <w:bidi w:val="0"/>
        <w:adjustRightInd w:val="0"/>
        <w:snapToGrid w:val="0"/>
        <w:spacing w:line="228" w:lineRule="auto"/>
        <w:ind w:left="0" w:right="0"/>
        <w:jc w:val="both"/>
        <w:textAlignment w:val="baseline"/>
        <w:outlineLvl w:val="1"/>
        <w:rPr>
          <w:rFonts w:ascii="Times New Roman" w:eastAsia="楷体" w:cs="Times New Roman" w:hAnsi="Times New Roman"/>
          <w:sz w:val="31"/>
          <w:szCs w:val="31"/>
        </w:rPr>
      </w:pPr>
      <w:r>
        <w:rPr>
          <w:rFonts w:ascii="Times New Roman" w:eastAsia="楷体" w:cs="Times New Roman" w:hAnsi="Times New Roman"/>
          <w:b/>
          <w:bCs/>
          <w:spacing w:val="3"/>
          <w:sz w:val="31"/>
          <w:szCs w:val="31"/>
        </w:rPr>
        <w:t>（一）单位自评情况</w:t>
      </w:r>
    </w:p>
    <w:p>
      <w:pPr>
        <w:pStyle w:val="15"/>
        <w:keepNext w:val="0"/>
        <w:keepLines w:val="0"/>
        <w:pageBreakBefore w:val="0"/>
        <w:widowControl/>
        <w:kinsoku/>
        <w:wordWrap/>
        <w:overflowPunct/>
        <w:topLinePunct w:val="0"/>
        <w:autoSpaceDE/>
        <w:autoSpaceDN/>
        <w:bidi w:val="0"/>
        <w:adjustRightInd w:val="0"/>
        <w:snapToGrid w:val="0"/>
        <w:spacing w:line="338" w:lineRule="auto"/>
        <w:ind w:left="0" w:right="0" w:firstLine="598"/>
        <w:jc w:val="both"/>
        <w:textAlignment w:val="baseline"/>
        <w:rPr>
          <w:rFonts w:ascii="Times New Roman" w:cs="Times New Roman" w:hAnsi="Times New Roman"/>
        </w:rPr>
      </w:pPr>
      <w:r>
        <w:rPr>
          <w:rFonts w:ascii="Times New Roman" w:cs="Times New Roman" w:hAnsi="Times New Roman"/>
          <w:spacing w:val="-4"/>
        </w:rPr>
        <w:t>根据预算绩效管理要求，我单位对卫生监督执法经费项目和</w:t>
      </w:r>
      <w:r>
        <w:rPr>
          <w:rFonts w:ascii="Times New Roman" w:cs="Times New Roman" w:hAnsi="Times New Roman"/>
          <w:spacing w:val="-11"/>
        </w:rPr>
        <w:t>动物卫生监督项目2个项目开展了绩效自评，涉及财政拨款项目</w:t>
      </w:r>
      <w:r>
        <w:rPr>
          <w:rFonts w:ascii="Times New Roman" w:cs="Times New Roman" w:hAnsi="Times New Roman"/>
          <w:spacing w:val="-5"/>
        </w:rPr>
        <w:t>支出资金115万元。从评价情况来看，我单位2023年各项目各</w:t>
      </w:r>
      <w:r>
        <w:rPr>
          <w:rFonts w:ascii="Times New Roman" w:cs="Times New Roman" w:hAnsi="Times New Roman"/>
          <w:spacing w:val="-4"/>
        </w:rPr>
        <w:t>项指标任务完成较好，达到预期目标，服务能力不断提升，群众满意度不断提高。项目资金在支出使用、资金管理、资金产出效</w:t>
      </w:r>
      <w:r>
        <w:rPr>
          <w:rFonts w:ascii="Times New Roman" w:cs="Times New Roman" w:hAnsi="Times New Roman"/>
          <w:spacing w:val="-2"/>
        </w:rPr>
        <w:t>益、各项相关指标都达到了预期目标。</w:t>
      </w:r>
    </w:p>
    <w:p>
      <w:pPr>
        <w:pStyle w:val="15"/>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rPr>
          <w:rFonts w:ascii="Times New Roman" w:cs="Times New Roman" w:hAnsi="Times New Roman"/>
        </w:rPr>
      </w:pPr>
      <w:r>
        <w:rPr>
          <w:rFonts w:ascii="Times New Roman" w:cs="Times New Roman" w:hAnsi="Times New Roman"/>
        </w:rPr>
        <w:t>（二）单位绩效评价情况</w:t>
      </w:r>
    </w:p>
    <w:p>
      <w:pPr>
        <w:keepNext w:val="0"/>
        <w:keepLines w:val="0"/>
        <w:pageBreakBefore w:val="0"/>
        <w:widowControl/>
        <w:kinsoku/>
        <w:wordWrap/>
        <w:overflowPunct/>
        <w:topLinePunct w:val="0"/>
        <w:autoSpaceDE/>
        <w:autoSpaceDN/>
        <w:bidi w:val="0"/>
        <w:adjustRightInd w:val="0"/>
        <w:snapToGrid w:val="0"/>
        <w:spacing w:line="230" w:lineRule="auto"/>
        <w:ind w:left="0" w:right="0"/>
        <w:jc w:val="both"/>
        <w:textAlignment w:val="baseline"/>
        <w:rPr>
          <w:rFonts w:ascii="Times New Roman" w:cs="Times New Roman" w:hAnsi="Times New Roman"/>
        </w:rPr>
        <w:sectPr>
          <w:footerReference w:type="default" r:id="rId10"/>
          <w:pgSz w:w="11915" w:h="16840"/>
          <w:pgMar w:top="1431" w:right="1690" w:bottom="1166" w:left="1787" w:header="0" w:footer="987" w:gutter="0"/>
          <w:docGrid w:linePitch="312" w:charSpace="0"/>
        </w:sectPr>
      </w:pPr>
    </w:p>
    <w:p>
      <w:pPr>
        <w:pStyle w:val="15"/>
        <w:keepNext w:val="0"/>
        <w:keepLines w:val="0"/>
        <w:pageBreakBefore w:val="0"/>
        <w:widowControl/>
        <w:kinsoku/>
        <w:wordWrap/>
        <w:overflowPunct/>
        <w:topLinePunct w:val="0"/>
        <w:autoSpaceDE/>
        <w:autoSpaceDN/>
        <w:bidi w:val="0"/>
        <w:adjustRightInd w:val="0"/>
        <w:snapToGrid w:val="0"/>
        <w:spacing w:line="331" w:lineRule="auto"/>
        <w:ind w:left="0" w:right="0" w:firstLine="606"/>
        <w:jc w:val="both"/>
        <w:textAlignment w:val="baseline"/>
        <w:rPr>
          <w:rFonts w:ascii="Times New Roman" w:cs="Times New Roman" w:hAnsi="Times New Roman"/>
        </w:rPr>
      </w:pPr>
      <w:r>
        <w:rPr>
          <w:rFonts w:ascii="Times New Roman" w:cs="Times New Roman" w:hAnsi="Times New Roman"/>
          <w:spacing w:val="-6"/>
        </w:rPr>
        <w:t>我单位对卫生监督执法经费项目和动物卫生监督项目2个</w:t>
      </w:r>
      <w:r>
        <w:rPr>
          <w:rFonts w:ascii="Times New Roman" w:cs="Times New Roman" w:hAnsi="Times New Roman"/>
          <w:spacing w:val="-5"/>
        </w:rPr>
        <w:t>项目开展了绩效自评，涉及财政拨款项目支出资金115</w:t>
      </w:r>
      <w:r>
        <w:rPr>
          <w:rFonts w:ascii="Times New Roman" w:cs="Times New Roman" w:hAnsi="Times New Roman"/>
          <w:spacing w:val="-6"/>
        </w:rPr>
        <w:t>万元。</w:t>
      </w:r>
    </w:p>
    <w:p>
      <w:pPr>
        <w:pStyle w:val="15"/>
        <w:keepNext w:val="0"/>
        <w:keepLines w:val="0"/>
        <w:pageBreakBefore w:val="0"/>
        <w:widowControl/>
        <w:kinsoku/>
        <w:wordWrap/>
        <w:overflowPunct/>
        <w:topLinePunct w:val="0"/>
        <w:autoSpaceDE/>
        <w:autoSpaceDN/>
        <w:bidi w:val="0"/>
        <w:adjustRightInd w:val="0"/>
        <w:snapToGrid w:val="0"/>
        <w:spacing w:line="338" w:lineRule="auto"/>
        <w:ind w:left="0" w:right="0" w:firstLine="4"/>
        <w:jc w:val="both"/>
        <w:textAlignment w:val="baseline"/>
        <w:rPr>
          <w:rFonts w:ascii="Times New Roman" w:cs="Times New Roman" w:hAnsi="Times New Roman"/>
        </w:rPr>
      </w:pPr>
      <w:r>
        <w:rPr>
          <w:rFonts w:ascii="Times New Roman" w:cs="Times New Roman" w:hAnsi="Times New Roman"/>
          <w:spacing w:val="-7"/>
        </w:rPr>
        <w:t>从评价情况来看，我单位2023年各项目各项指标任务完成较好，达到预期目标，服务能力不断提升，群众满意度不断提高。项目</w:t>
      </w:r>
      <w:r>
        <w:rPr>
          <w:rFonts w:ascii="Times New Roman" w:cs="Times New Roman" w:hAnsi="Times New Roman"/>
          <w:spacing w:val="-4"/>
        </w:rPr>
        <w:t>资金在支出使用、资金管理、资金产出效益、各项相关指标都达</w:t>
      </w:r>
      <w:r>
        <w:rPr>
          <w:rFonts w:ascii="Times New Roman" w:cs="Times New Roman" w:hAnsi="Times New Roman"/>
          <w:spacing w:val="-12"/>
        </w:rPr>
        <w:t>到了预期目标。</w:t>
      </w:r>
    </w:p>
    <w:p>
      <w:pPr>
        <w:keepNext w:val="0"/>
        <w:keepLines w:val="0"/>
        <w:pageBreakBefore w:val="0"/>
        <w:widowControl/>
        <w:kinsoku/>
        <w:wordWrap/>
        <w:overflowPunct/>
        <w:topLinePunct w:val="0"/>
        <w:autoSpaceDE/>
        <w:autoSpaceDN/>
        <w:bidi w:val="0"/>
        <w:adjustRightInd w:val="0"/>
        <w:snapToGrid w:val="0"/>
        <w:spacing w:line="228" w:lineRule="auto"/>
        <w:ind w:left="0" w:right="0"/>
        <w:jc w:val="both"/>
        <w:textAlignment w:val="baseline"/>
        <w:outlineLvl w:val="0"/>
        <w:rPr>
          <w:rFonts w:ascii="Times New Roman" w:eastAsia="黑体" w:cs="Times New Roman" w:hAnsi="Times New Roman"/>
          <w:sz w:val="31"/>
          <w:szCs w:val="31"/>
        </w:rPr>
      </w:pPr>
      <w:r>
        <w:rPr>
          <w:rFonts w:ascii="Times New Roman" w:eastAsia="黑体" w:cs="Times New Roman" w:hAnsi="Times New Roman"/>
          <w:b/>
          <w:bCs/>
          <w:spacing w:val="4"/>
          <w:sz w:val="31"/>
          <w:szCs w:val="31"/>
        </w:rPr>
        <w:t>六、专业名词解释</w:t>
      </w:r>
    </w:p>
    <w:p>
      <w:pPr>
        <w:pStyle w:val="15"/>
        <w:keepNext w:val="0"/>
        <w:keepLines w:val="0"/>
        <w:pageBreakBefore w:val="0"/>
        <w:widowControl/>
        <w:kinsoku/>
        <w:wordWrap/>
        <w:overflowPunct/>
        <w:topLinePunct w:val="0"/>
        <w:autoSpaceDE/>
        <w:autoSpaceDN/>
        <w:bidi w:val="0"/>
        <w:adjustRightInd w:val="0"/>
        <w:snapToGrid w:val="0"/>
        <w:spacing w:line="235" w:lineRule="auto"/>
        <w:ind w:left="0" w:right="0"/>
        <w:jc w:val="both"/>
        <w:textAlignment w:val="baseline"/>
        <w:rPr>
          <w:rFonts w:ascii="Times New Roman" w:cs="Times New Roman" w:hAnsi="Times New Roman"/>
          <w:sz w:val="31"/>
          <w:szCs w:val="31"/>
        </w:rPr>
      </w:pPr>
      <w:r>
        <w:rPr>
          <w:rFonts w:ascii="Times New Roman" w:cs="Times New Roman" w:hAnsi="Times New Roman"/>
          <w:spacing w:val="6"/>
          <w:sz w:val="31"/>
          <w:szCs w:val="31"/>
        </w:rPr>
        <w:t>以下为常见专业名词解释目录，仅供参考，</w:t>
      </w:r>
    </w:p>
    <w:p>
      <w:pPr>
        <w:pStyle w:val="15"/>
        <w:keepNext w:val="0"/>
        <w:keepLines w:val="0"/>
        <w:pageBreakBefore w:val="0"/>
        <w:widowControl/>
        <w:kinsoku/>
        <w:wordWrap/>
        <w:overflowPunct/>
        <w:topLinePunct w:val="0"/>
        <w:autoSpaceDE/>
        <w:autoSpaceDN/>
        <w:bidi w:val="0"/>
        <w:adjustRightInd w:val="0"/>
        <w:snapToGrid w:val="0"/>
        <w:spacing w:line="326" w:lineRule="auto"/>
        <w:ind w:left="0" w:right="0" w:firstLine="659"/>
        <w:jc w:val="both"/>
        <w:textAlignment w:val="baseline"/>
        <w:rPr>
          <w:rFonts w:ascii="Times New Roman" w:cs="Times New Roman" w:hAnsi="Times New Roman"/>
          <w:sz w:val="31"/>
          <w:szCs w:val="31"/>
        </w:rPr>
      </w:pPr>
      <w:r>
        <w:rPr>
          <w:rFonts w:ascii="Times New Roman" w:eastAsia="楷体" w:cs="Times New Roman" w:hAnsi="Times New Roman"/>
          <w:b/>
          <w:bCs/>
          <w:spacing w:val="6"/>
          <w:sz w:val="31"/>
          <w:szCs w:val="31"/>
        </w:rPr>
        <w:t>（一）财政拨款收入：</w:t>
      </w:r>
      <w:r>
        <w:rPr>
          <w:rFonts w:ascii="Times New Roman" w:cs="Times New Roman" w:hAnsi="Times New Roman"/>
          <w:spacing w:val="6"/>
          <w:sz w:val="31"/>
          <w:szCs w:val="31"/>
        </w:rPr>
        <w:t>指本年度从本级财政部门取得的</w:t>
      </w:r>
      <w:r>
        <w:rPr>
          <w:rFonts w:ascii="Times New Roman" w:cs="Times New Roman" w:hAnsi="Times New Roman"/>
          <w:spacing w:val="9"/>
          <w:sz w:val="31"/>
          <w:szCs w:val="31"/>
        </w:rPr>
        <w:t>财政拨款，包括一般公共预算财政拨款和政府性基金预算财</w:t>
      </w:r>
      <w:r>
        <w:rPr>
          <w:rFonts w:ascii="Times New Roman" w:cs="Times New Roman" w:hAnsi="Times New Roman"/>
          <w:spacing w:val="2"/>
          <w:sz w:val="31"/>
          <w:szCs w:val="31"/>
        </w:rPr>
        <w:t>政拨款。</w:t>
      </w:r>
    </w:p>
    <w:p>
      <w:pPr>
        <w:pStyle w:val="15"/>
        <w:keepNext w:val="0"/>
        <w:keepLines w:val="0"/>
        <w:pageBreakBefore w:val="0"/>
        <w:widowControl/>
        <w:kinsoku/>
        <w:wordWrap/>
        <w:overflowPunct/>
        <w:topLinePunct w:val="0"/>
        <w:autoSpaceDE/>
        <w:autoSpaceDN/>
        <w:bidi w:val="0"/>
        <w:adjustRightInd w:val="0"/>
        <w:snapToGrid w:val="0"/>
        <w:spacing w:line="326" w:lineRule="auto"/>
        <w:ind w:left="0" w:right="0" w:firstLine="342"/>
        <w:jc w:val="both"/>
        <w:textAlignment w:val="baseline"/>
        <w:rPr>
          <w:rFonts w:ascii="Times New Roman" w:cs="Times New Roman" w:hAnsi="Times New Roman"/>
          <w:sz w:val="31"/>
          <w:szCs w:val="31"/>
        </w:rPr>
      </w:pPr>
      <w:r>
        <w:rPr>
          <w:rFonts w:ascii="Times New Roman" w:eastAsia="楷体" w:cs="Times New Roman" w:hAnsi="Times New Roman"/>
          <w:b/>
          <w:bCs/>
          <w:spacing w:val="7"/>
          <w:sz w:val="31"/>
          <w:szCs w:val="31"/>
        </w:rPr>
        <w:t>（二）事业收入</w:t>
      </w:r>
      <w:r>
        <w:rPr>
          <w:rFonts w:ascii="Times New Roman" w:eastAsia="楷体" w:cs="Times New Roman" w:hAnsi="Times New Roman"/>
          <w:spacing w:val="7"/>
          <w:sz w:val="31"/>
          <w:szCs w:val="31"/>
        </w:rPr>
        <w:t>：</w:t>
      </w:r>
      <w:r>
        <w:rPr>
          <w:rFonts w:ascii="Times New Roman" w:cs="Times New Roman" w:hAnsi="Times New Roman"/>
          <w:spacing w:val="7"/>
          <w:sz w:val="31"/>
          <w:szCs w:val="31"/>
        </w:rPr>
        <w:t>指事业单位开展专业业务活动及其辅助</w:t>
      </w:r>
      <w:r>
        <w:rPr>
          <w:rFonts w:ascii="Times New Roman" w:cs="Times New Roman" w:hAnsi="Times New Roman"/>
          <w:spacing w:val="9"/>
          <w:sz w:val="31"/>
          <w:szCs w:val="31"/>
        </w:rPr>
        <w:t>活动取得的现金流入；事业单位收到的财政专户实际核拨的</w:t>
      </w:r>
      <w:r>
        <w:rPr>
          <w:rFonts w:ascii="Times New Roman" w:cs="Times New Roman" w:hAnsi="Times New Roman"/>
          <w:spacing w:val="7"/>
          <w:sz w:val="31"/>
          <w:szCs w:val="31"/>
        </w:rPr>
        <w:t>教育收费等资金在此反映。</w:t>
      </w:r>
    </w:p>
    <w:p>
      <w:pPr>
        <w:pStyle w:val="15"/>
        <w:keepNext w:val="0"/>
        <w:keepLines w:val="0"/>
        <w:pageBreakBefore w:val="0"/>
        <w:widowControl/>
        <w:kinsoku/>
        <w:wordWrap/>
        <w:overflowPunct/>
        <w:topLinePunct w:val="0"/>
        <w:autoSpaceDE/>
        <w:autoSpaceDN/>
        <w:bidi w:val="0"/>
        <w:adjustRightInd w:val="0"/>
        <w:snapToGrid w:val="0"/>
        <w:spacing w:line="305" w:lineRule="auto"/>
        <w:ind w:left="0" w:right="0" w:firstLine="324"/>
        <w:jc w:val="both"/>
        <w:textAlignment w:val="baseline"/>
        <w:rPr>
          <w:rFonts w:ascii="Times New Roman" w:cs="Times New Roman" w:hAnsi="Times New Roman"/>
          <w:sz w:val="31"/>
          <w:szCs w:val="31"/>
        </w:rPr>
      </w:pPr>
      <w:r>
        <w:rPr>
          <w:rFonts w:ascii="Times New Roman" w:eastAsia="楷体" w:cs="Times New Roman" w:hAnsi="Times New Roman"/>
          <w:b/>
          <w:bCs/>
          <w:spacing w:val="7"/>
          <w:sz w:val="31"/>
          <w:szCs w:val="31"/>
        </w:rPr>
        <w:t>（三）经营收入</w:t>
      </w:r>
      <w:r>
        <w:rPr>
          <w:rFonts w:ascii="Times New Roman" w:eastAsia="楷体" w:cs="Times New Roman" w:hAnsi="Times New Roman"/>
          <w:spacing w:val="7"/>
          <w:sz w:val="31"/>
          <w:szCs w:val="31"/>
        </w:rPr>
        <w:t>：</w:t>
      </w:r>
      <w:r>
        <w:rPr>
          <w:rFonts w:ascii="Times New Roman" w:cs="Times New Roman" w:hAnsi="Times New Roman"/>
          <w:spacing w:val="7"/>
          <w:sz w:val="31"/>
          <w:szCs w:val="31"/>
        </w:rPr>
        <w:t>指事业单位在专业业务活动及其辅助活</w:t>
      </w:r>
      <w:r>
        <w:rPr>
          <w:rFonts w:ascii="Times New Roman" w:cs="Times New Roman" w:hAnsi="Times New Roman"/>
          <w:spacing w:val="8"/>
          <w:sz w:val="31"/>
          <w:szCs w:val="31"/>
        </w:rPr>
        <w:t>动之外开展非独立核算经营活动取得的现金流入。</w:t>
      </w:r>
    </w:p>
    <w:p>
      <w:pPr>
        <w:pStyle w:val="15"/>
        <w:keepNext w:val="0"/>
        <w:keepLines w:val="0"/>
        <w:pageBreakBefore w:val="0"/>
        <w:widowControl/>
        <w:kinsoku/>
        <w:wordWrap/>
        <w:overflowPunct/>
        <w:topLinePunct w:val="0"/>
        <w:autoSpaceDE/>
        <w:autoSpaceDN/>
        <w:bidi w:val="0"/>
        <w:adjustRightInd w:val="0"/>
        <w:snapToGrid w:val="0"/>
        <w:spacing w:line="346" w:lineRule="auto"/>
        <w:ind w:left="0" w:right="0" w:firstLine="675"/>
        <w:jc w:val="both"/>
        <w:textAlignment w:val="baseline"/>
        <w:rPr>
          <w:rFonts w:ascii="Times New Roman" w:cs="Times New Roman" w:hAnsi="Times New Roman"/>
          <w:sz w:val="31"/>
          <w:szCs w:val="31"/>
        </w:rPr>
      </w:pPr>
      <w:r>
        <w:rPr>
          <w:rFonts w:ascii="Times New Roman" w:eastAsia="楷体" w:cs="Times New Roman" w:hAnsi="Times New Roman"/>
          <w:b/>
          <w:bCs/>
          <w:spacing w:val="7"/>
          <w:sz w:val="31"/>
          <w:szCs w:val="31"/>
        </w:rPr>
        <w:t>（四）其他收入</w:t>
      </w:r>
      <w:r>
        <w:rPr>
          <w:rFonts w:ascii="Times New Roman" w:eastAsia="楷体" w:cs="Times New Roman" w:hAnsi="Times New Roman"/>
          <w:spacing w:val="7"/>
          <w:sz w:val="31"/>
          <w:szCs w:val="31"/>
        </w:rPr>
        <w:t>：</w:t>
      </w:r>
      <w:r>
        <w:rPr>
          <w:rFonts w:ascii="Times New Roman" w:cs="Times New Roman" w:hAnsi="Times New Roman"/>
          <w:spacing w:val="7"/>
          <w:sz w:val="31"/>
          <w:szCs w:val="31"/>
        </w:rPr>
        <w:t>指单位取得的除“财政拨款收入”、</w:t>
      </w:r>
      <w:r>
        <w:rPr>
          <w:rFonts w:ascii="Times New Roman" w:cs="Times New Roman" w:hAnsi="Times New Roman"/>
          <w:spacing w:val="9"/>
          <w:sz w:val="31"/>
          <w:szCs w:val="31"/>
        </w:rPr>
        <w:t>“事业收入”、“经营收入”等以外的收入，包括未纳入财政预算或财政专户管理的投资收益、银行存款利息收入、租金收入、捐赠收入，现金盘盈收入、存货盘盈收入、收回已核销的应收及预付款项、无法偿付的应付及预收款项等。各</w:t>
      </w:r>
    </w:p>
    <w:p>
      <w:pPr>
        <w:keepNext w:val="0"/>
        <w:keepLines w:val="0"/>
        <w:pageBreakBefore w:val="0"/>
        <w:widowControl/>
        <w:kinsoku/>
        <w:wordWrap/>
        <w:overflowPunct/>
        <w:topLinePunct w:val="0"/>
        <w:autoSpaceDE/>
        <w:autoSpaceDN/>
        <w:bidi w:val="0"/>
        <w:adjustRightInd w:val="0"/>
        <w:snapToGrid w:val="0"/>
        <w:spacing w:line="346" w:lineRule="auto"/>
        <w:ind w:left="0" w:right="0"/>
        <w:jc w:val="both"/>
        <w:textAlignment w:val="baseline"/>
        <w:rPr>
          <w:rFonts w:ascii="Times New Roman" w:cs="Times New Roman" w:hAnsi="Times New Roman"/>
          <w:sz w:val="31"/>
          <w:szCs w:val="31"/>
        </w:rPr>
        <w:sectPr>
          <w:footerReference w:type="default" r:id="rId11"/>
          <w:pgSz w:w="11915" w:h="16840"/>
          <w:pgMar w:top="1431" w:right="1707" w:bottom="1166" w:left="1787" w:header="0" w:footer="987" w:gutter="0"/>
          <w:docGrid w:linePitch="312" w:charSpace="0"/>
        </w:sectPr>
      </w:pPr>
    </w:p>
    <w:p>
      <w:pPr>
        <w:pStyle w:val="15"/>
        <w:keepNext w:val="0"/>
        <w:keepLines w:val="0"/>
        <w:pageBreakBefore w:val="0"/>
        <w:widowControl/>
        <w:kinsoku/>
        <w:wordWrap/>
        <w:overflowPunct/>
        <w:topLinePunct w:val="0"/>
        <w:autoSpaceDE/>
        <w:autoSpaceDN/>
        <w:bidi w:val="0"/>
        <w:adjustRightInd w:val="0"/>
        <w:snapToGrid w:val="0"/>
        <w:spacing w:line="365" w:lineRule="auto"/>
        <w:ind w:left="0" w:right="0" w:firstLine="3"/>
        <w:jc w:val="both"/>
        <w:textAlignment w:val="baseline"/>
        <w:rPr>
          <w:rFonts w:ascii="Times New Roman" w:cs="Times New Roman" w:hAnsi="Times New Roman"/>
          <w:sz w:val="31"/>
          <w:szCs w:val="31"/>
        </w:rPr>
      </w:pPr>
      <w:r>
        <w:rPr>
          <w:rFonts w:ascii="Times New Roman" w:cs="Times New Roman" w:hAnsi="Times New Roman"/>
          <w:spacing w:val="9"/>
          <w:sz w:val="31"/>
          <w:szCs w:val="31"/>
        </w:rPr>
        <w:t>单位从本级财政部门以外的同级单位取得的</w:t>
      </w:r>
      <w:r>
        <w:rPr>
          <w:rFonts w:ascii="Times New Roman" w:cs="Times New Roman" w:hAnsi="Times New Roman"/>
          <w:spacing w:val="8"/>
          <w:sz w:val="31"/>
          <w:szCs w:val="31"/>
        </w:rPr>
        <w:t>经费、从非本级</w:t>
      </w:r>
      <w:r>
        <w:rPr>
          <w:rFonts w:ascii="Times New Roman" w:cs="Times New Roman" w:hAnsi="Times New Roman"/>
          <w:spacing w:val="6"/>
          <w:sz w:val="31"/>
          <w:szCs w:val="31"/>
        </w:rPr>
        <w:t>财政部门取得的经费，以及行政单位收到的财政专户管理资</w:t>
      </w:r>
      <w:r>
        <w:rPr>
          <w:rFonts w:ascii="Times New Roman" w:cs="Times New Roman" w:hAnsi="Times New Roman"/>
          <w:spacing w:val="5"/>
          <w:sz w:val="31"/>
          <w:szCs w:val="31"/>
        </w:rPr>
        <w:t>金反映在本项内。</w:t>
      </w:r>
    </w:p>
    <w:p>
      <w:pPr>
        <w:pStyle w:val="15"/>
        <w:keepNext w:val="0"/>
        <w:keepLines w:val="0"/>
        <w:pageBreakBefore w:val="0"/>
        <w:widowControl/>
        <w:kinsoku/>
        <w:wordWrap/>
        <w:overflowPunct/>
        <w:topLinePunct w:val="0"/>
        <w:autoSpaceDE/>
        <w:autoSpaceDN/>
        <w:bidi w:val="0"/>
        <w:adjustRightInd w:val="0"/>
        <w:snapToGrid w:val="0"/>
        <w:spacing w:line="367" w:lineRule="auto"/>
        <w:ind w:left="0" w:right="0" w:firstLine="668"/>
        <w:jc w:val="both"/>
        <w:textAlignment w:val="baseline"/>
        <w:rPr>
          <w:rFonts w:ascii="Times New Roman" w:cs="Times New Roman" w:hAnsi="Times New Roman"/>
          <w:sz w:val="31"/>
          <w:szCs w:val="31"/>
        </w:rPr>
      </w:pPr>
      <w:r>
        <w:rPr>
          <w:rFonts w:ascii="Times New Roman" w:eastAsia="楷体" w:cs="Times New Roman" w:hAnsi="Times New Roman"/>
          <w:b/>
          <w:bCs/>
          <w:spacing w:val="6"/>
          <w:sz w:val="31"/>
          <w:szCs w:val="31"/>
        </w:rPr>
        <w:t>（五）使用非财政拨款结余</w:t>
      </w:r>
      <w:r>
        <w:rPr>
          <w:rFonts w:ascii="Times New Roman" w:eastAsia="楷体" w:cs="Times New Roman" w:hAnsi="Times New Roman"/>
          <w:spacing w:val="6"/>
          <w:sz w:val="31"/>
          <w:szCs w:val="31"/>
        </w:rPr>
        <w:t>：</w:t>
      </w:r>
      <w:r>
        <w:rPr>
          <w:rFonts w:ascii="Times New Roman" w:cs="Times New Roman" w:hAnsi="Times New Roman"/>
          <w:spacing w:val="6"/>
          <w:sz w:val="31"/>
          <w:szCs w:val="31"/>
        </w:rPr>
        <w:t>指单位在当年的“财政拨</w:t>
      </w:r>
      <w:r>
        <w:rPr>
          <w:rFonts w:ascii="Times New Roman" w:cs="Times New Roman" w:hAnsi="Times New Roman"/>
          <w:spacing w:val="9"/>
          <w:sz w:val="31"/>
          <w:szCs w:val="31"/>
        </w:rPr>
        <w:t>款收入”、“事业收入”、“经营收入”、“其他收入”等不足以安排当年支出的情况下，使用以前年度积累的非财政</w:t>
      </w:r>
      <w:r>
        <w:rPr>
          <w:rFonts w:ascii="Times New Roman" w:cs="Times New Roman" w:hAnsi="Times New Roman"/>
          <w:spacing w:val="4"/>
          <w:sz w:val="31"/>
          <w:szCs w:val="31"/>
        </w:rPr>
        <w:t>拨款结余弥补本年度收支缺口的资金。</w:t>
      </w:r>
    </w:p>
    <w:p>
      <w:pPr>
        <w:pStyle w:val="15"/>
        <w:keepNext w:val="0"/>
        <w:keepLines w:val="0"/>
        <w:pageBreakBefore w:val="0"/>
        <w:widowControl/>
        <w:kinsoku/>
        <w:wordWrap/>
        <w:overflowPunct/>
        <w:topLinePunct w:val="0"/>
        <w:autoSpaceDE/>
        <w:autoSpaceDN/>
        <w:bidi w:val="0"/>
        <w:adjustRightInd w:val="0"/>
        <w:snapToGrid w:val="0"/>
        <w:spacing w:line="362" w:lineRule="auto"/>
        <w:ind w:left="0" w:right="0" w:firstLine="332"/>
        <w:jc w:val="both"/>
        <w:textAlignment w:val="baseline"/>
        <w:rPr>
          <w:rFonts w:ascii="Times New Roman" w:cs="Times New Roman" w:hAnsi="Times New Roman"/>
          <w:sz w:val="31"/>
          <w:szCs w:val="31"/>
        </w:rPr>
      </w:pPr>
      <w:r>
        <w:rPr>
          <w:rFonts w:ascii="Times New Roman" w:eastAsia="楷体" w:cs="Times New Roman" w:hAnsi="Times New Roman"/>
          <w:b/>
          <w:bCs/>
          <w:spacing w:val="7"/>
          <w:sz w:val="31"/>
          <w:szCs w:val="31"/>
        </w:rPr>
        <w:t>（六）年初结转和结余</w:t>
      </w:r>
      <w:r>
        <w:rPr>
          <w:rFonts w:ascii="Times New Roman" w:eastAsia="楷体" w:cs="Times New Roman" w:hAnsi="Times New Roman"/>
          <w:spacing w:val="7"/>
          <w:sz w:val="31"/>
          <w:szCs w:val="31"/>
        </w:rPr>
        <w:t>：</w:t>
      </w:r>
      <w:r>
        <w:rPr>
          <w:rFonts w:ascii="Times New Roman" w:cs="Times New Roman" w:hAnsi="Times New Roman"/>
          <w:spacing w:val="7"/>
          <w:sz w:val="31"/>
          <w:szCs w:val="31"/>
        </w:rPr>
        <w:t>指单位上年结转本年使用</w:t>
      </w:r>
      <w:r>
        <w:rPr>
          <w:rFonts w:ascii="Times New Roman" w:cs="Times New Roman" w:hAnsi="Times New Roman"/>
          <w:spacing w:val="6"/>
          <w:sz w:val="31"/>
          <w:szCs w:val="31"/>
        </w:rPr>
        <w:t>的基本</w:t>
      </w:r>
      <w:r>
        <w:rPr>
          <w:rFonts w:ascii="Times New Roman" w:cs="Times New Roman" w:hAnsi="Times New Roman"/>
          <w:spacing w:val="8"/>
          <w:sz w:val="31"/>
          <w:szCs w:val="31"/>
        </w:rPr>
        <w:t>支出结转、项目支出结转和结余、经营结余。</w:t>
      </w:r>
    </w:p>
    <w:p>
      <w:pPr>
        <w:pStyle w:val="15"/>
        <w:keepNext w:val="0"/>
        <w:keepLines w:val="0"/>
        <w:pageBreakBefore w:val="0"/>
        <w:widowControl/>
        <w:kinsoku/>
        <w:wordWrap/>
        <w:overflowPunct/>
        <w:topLinePunct w:val="0"/>
        <w:autoSpaceDE/>
        <w:autoSpaceDN/>
        <w:bidi w:val="0"/>
        <w:adjustRightInd w:val="0"/>
        <w:snapToGrid w:val="0"/>
        <w:spacing w:line="353" w:lineRule="auto"/>
        <w:ind w:left="0" w:right="0" w:firstLine="340"/>
        <w:jc w:val="both"/>
        <w:textAlignment w:val="baseline"/>
        <w:rPr>
          <w:rFonts w:ascii="Times New Roman" w:cs="Times New Roman" w:hAnsi="Times New Roman"/>
          <w:sz w:val="31"/>
          <w:szCs w:val="31"/>
        </w:rPr>
      </w:pPr>
      <w:r>
        <w:rPr>
          <w:rFonts w:ascii="Times New Roman" w:eastAsia="楷体" w:cs="Times New Roman" w:hAnsi="Times New Roman"/>
          <w:b/>
          <w:bCs/>
          <w:sz w:val="31"/>
          <w:szCs w:val="31"/>
        </w:rPr>
        <w:t>（七）结余分配</w:t>
      </w:r>
      <w:r>
        <w:rPr>
          <w:rFonts w:ascii="Times New Roman" w:eastAsia="楷体" w:cs="Times New Roman" w:hAnsi="Times New Roman"/>
          <w:sz w:val="31"/>
          <w:szCs w:val="31"/>
        </w:rPr>
        <w:t>：</w:t>
      </w:r>
      <w:r>
        <w:rPr>
          <w:rFonts w:ascii="Times New Roman" w:cs="Times New Roman" w:hAnsi="Times New Roman"/>
          <w:sz w:val="31"/>
          <w:szCs w:val="31"/>
        </w:rPr>
        <w:t>指单位按照国家有关规定，缴纳所</w:t>
      </w:r>
      <w:r>
        <w:rPr>
          <w:rFonts w:ascii="Times New Roman" w:cs="Times New Roman" w:hAnsi="Times New Roman"/>
          <w:spacing w:val="-1"/>
          <w:sz w:val="31"/>
          <w:szCs w:val="31"/>
        </w:rPr>
        <w:t>得税、</w:t>
      </w:r>
      <w:r>
        <w:rPr>
          <w:rFonts w:ascii="Times New Roman" w:cs="Times New Roman" w:hAnsi="Times New Roman"/>
          <w:spacing w:val="22"/>
          <w:sz w:val="31"/>
          <w:szCs w:val="31"/>
        </w:rPr>
        <w:t>提取专用基金、转入非财政拨款结余等当年结</w:t>
      </w:r>
      <w:r>
        <w:rPr>
          <w:rFonts w:ascii="Times New Roman" w:cs="Times New Roman" w:hAnsi="Times New Roman"/>
          <w:spacing w:val="21"/>
          <w:sz w:val="31"/>
          <w:szCs w:val="31"/>
        </w:rPr>
        <w:t>余的分配情</w:t>
      </w:r>
      <w:r>
        <w:rPr>
          <w:rFonts w:ascii="Times New Roman" w:cs="Times New Roman" w:hAnsi="Times New Roman"/>
          <w:spacing w:val="-4"/>
          <w:sz w:val="31"/>
          <w:szCs w:val="31"/>
        </w:rPr>
        <w:t>况。</w:t>
      </w:r>
    </w:p>
    <w:p>
      <w:pPr>
        <w:pStyle w:val="15"/>
        <w:keepNext w:val="0"/>
        <w:keepLines w:val="0"/>
        <w:pageBreakBefore w:val="0"/>
        <w:widowControl/>
        <w:kinsoku/>
        <w:wordWrap/>
        <w:overflowPunct/>
        <w:topLinePunct w:val="0"/>
        <w:autoSpaceDE/>
        <w:autoSpaceDN/>
        <w:bidi w:val="0"/>
        <w:adjustRightInd w:val="0"/>
        <w:snapToGrid w:val="0"/>
        <w:spacing w:line="362" w:lineRule="auto"/>
        <w:ind w:left="0" w:right="0" w:firstLine="337"/>
        <w:jc w:val="both"/>
        <w:textAlignment w:val="baseline"/>
        <w:rPr>
          <w:rFonts w:ascii="Times New Roman" w:cs="Times New Roman" w:hAnsi="Times New Roman"/>
          <w:sz w:val="31"/>
          <w:szCs w:val="31"/>
        </w:rPr>
      </w:pPr>
      <w:r>
        <w:rPr>
          <w:rFonts w:ascii="Times New Roman" w:eastAsia="楷体" w:cs="Times New Roman" w:hAnsi="Times New Roman"/>
          <w:b/>
          <w:bCs/>
          <w:spacing w:val="-1"/>
          <w:sz w:val="31"/>
          <w:szCs w:val="31"/>
        </w:rPr>
        <w:t>（八）年末结转和结余</w:t>
      </w:r>
      <w:r>
        <w:rPr>
          <w:rFonts w:ascii="Times New Roman" w:eastAsia="楷体" w:cs="Times New Roman" w:hAnsi="Times New Roman"/>
          <w:spacing w:val="-1"/>
          <w:sz w:val="31"/>
          <w:szCs w:val="31"/>
        </w:rPr>
        <w:t>：</w:t>
      </w:r>
      <w:r>
        <w:rPr>
          <w:rFonts w:ascii="Times New Roman" w:cs="Times New Roman" w:hAnsi="Times New Roman"/>
          <w:spacing w:val="-1"/>
          <w:sz w:val="31"/>
          <w:szCs w:val="31"/>
        </w:rPr>
        <w:t>指单位结转下年的基本支出结转、</w:t>
      </w:r>
      <w:r>
        <w:rPr>
          <w:rFonts w:ascii="Times New Roman" w:cs="Times New Roman" w:hAnsi="Times New Roman"/>
          <w:spacing w:val="7"/>
          <w:sz w:val="31"/>
          <w:szCs w:val="31"/>
        </w:rPr>
        <w:t>项目支出结转和结余、经营结余。</w:t>
      </w:r>
    </w:p>
    <w:p>
      <w:pPr>
        <w:pStyle w:val="15"/>
        <w:keepNext w:val="0"/>
        <w:keepLines w:val="0"/>
        <w:pageBreakBefore w:val="0"/>
        <w:widowControl/>
        <w:kinsoku/>
        <w:wordWrap/>
        <w:overflowPunct/>
        <w:topLinePunct w:val="0"/>
        <w:autoSpaceDE/>
        <w:autoSpaceDN/>
        <w:bidi w:val="0"/>
        <w:adjustRightInd w:val="0"/>
        <w:snapToGrid w:val="0"/>
        <w:spacing w:line="367" w:lineRule="auto"/>
        <w:ind w:left="0" w:right="0" w:firstLine="337"/>
        <w:jc w:val="both"/>
        <w:textAlignment w:val="baseline"/>
        <w:rPr>
          <w:rFonts w:ascii="Times New Roman" w:cs="Times New Roman" w:hAnsi="Times New Roman"/>
          <w:sz w:val="31"/>
          <w:szCs w:val="31"/>
        </w:rPr>
      </w:pPr>
      <w:r>
        <w:rPr>
          <w:rFonts w:ascii="Times New Roman" w:eastAsia="楷体" w:cs="Times New Roman" w:hAnsi="Times New Roman"/>
          <w:b/>
          <w:bCs/>
          <w:spacing w:val="3"/>
          <w:sz w:val="31"/>
          <w:szCs w:val="31"/>
        </w:rPr>
        <w:t>（九）基本支出</w:t>
      </w:r>
      <w:r>
        <w:rPr>
          <w:rFonts w:ascii="Times New Roman" w:eastAsia="楷体" w:cs="Times New Roman" w:hAnsi="Times New Roman"/>
          <w:spacing w:val="3"/>
          <w:sz w:val="31"/>
          <w:szCs w:val="31"/>
        </w:rPr>
        <w:t>：</w:t>
      </w:r>
      <w:r>
        <w:rPr>
          <w:rFonts w:ascii="Times New Roman" w:cs="Times New Roman" w:hAnsi="Times New Roman"/>
          <w:spacing w:val="3"/>
          <w:sz w:val="31"/>
          <w:szCs w:val="31"/>
        </w:rPr>
        <w:t>指为保障机构正常运转、完成日常工作</w:t>
      </w:r>
      <w:r>
        <w:rPr>
          <w:rFonts w:ascii="Times New Roman" w:cs="Times New Roman" w:hAnsi="Times New Roman"/>
          <w:spacing w:val="9"/>
          <w:sz w:val="31"/>
          <w:szCs w:val="31"/>
        </w:rPr>
        <w:t>任务而发生的人员经费和公用经费。其中：人员经费指</w:t>
      </w:r>
      <w:r>
        <w:rPr>
          <w:rFonts w:ascii="Times New Roman" w:cs="Times New Roman" w:hAnsi="Times New Roman"/>
          <w:spacing w:val="8"/>
          <w:sz w:val="31"/>
          <w:szCs w:val="31"/>
        </w:rPr>
        <w:t>政府</w:t>
      </w:r>
      <w:r>
        <w:rPr>
          <w:rFonts w:ascii="Times New Roman" w:cs="Times New Roman" w:hAnsi="Times New Roman"/>
          <w:spacing w:val="3"/>
          <w:sz w:val="31"/>
          <w:szCs w:val="31"/>
        </w:rPr>
        <w:t>收支分类经济科目中的“工资福利支出”和“对个人和家庭的补助”；公用经费指政府收支分类经济科目中除“工资福</w:t>
      </w:r>
      <w:r>
        <w:rPr>
          <w:rFonts w:ascii="Times New Roman" w:cs="Times New Roman" w:hAnsi="Times New Roman"/>
          <w:spacing w:val="8"/>
          <w:sz w:val="31"/>
          <w:szCs w:val="31"/>
        </w:rPr>
        <w:t>利支出”和“对个人和家庭的补助”外的其他支出。</w:t>
      </w:r>
    </w:p>
    <w:p>
      <w:pPr>
        <w:keepNext w:val="0"/>
        <w:keepLines w:val="0"/>
        <w:pageBreakBefore w:val="0"/>
        <w:widowControl/>
        <w:kinsoku/>
        <w:wordWrap/>
        <w:overflowPunct/>
        <w:topLinePunct w:val="0"/>
        <w:autoSpaceDE/>
        <w:autoSpaceDN/>
        <w:bidi w:val="0"/>
        <w:adjustRightInd w:val="0"/>
        <w:snapToGrid w:val="0"/>
        <w:spacing w:line="367" w:lineRule="auto"/>
        <w:ind w:left="0" w:right="0"/>
        <w:jc w:val="both"/>
        <w:textAlignment w:val="baseline"/>
        <w:rPr>
          <w:rFonts w:ascii="Times New Roman" w:cs="Times New Roman" w:hAnsi="Times New Roman"/>
          <w:sz w:val="31"/>
          <w:szCs w:val="31"/>
        </w:rPr>
        <w:sectPr>
          <w:footerReference w:type="default" r:id="rId12"/>
          <w:pgSz w:w="11915" w:h="16840"/>
          <w:pgMar w:top="1423" w:right="1676" w:bottom="1166" w:left="1787" w:header="0" w:footer="987" w:gutter="0"/>
          <w:docGrid w:linePitch="312" w:charSpace="0"/>
        </w:sectPr>
      </w:pPr>
    </w:p>
    <w:p>
      <w:pPr>
        <w:pStyle w:val="15"/>
        <w:keepNext w:val="0"/>
        <w:keepLines w:val="0"/>
        <w:pageBreakBefore w:val="0"/>
        <w:widowControl/>
        <w:kinsoku/>
        <w:wordWrap/>
        <w:overflowPunct/>
        <w:topLinePunct w:val="0"/>
        <w:autoSpaceDE/>
        <w:autoSpaceDN/>
        <w:bidi w:val="0"/>
        <w:adjustRightInd w:val="0"/>
        <w:snapToGrid w:val="0"/>
        <w:spacing w:line="362" w:lineRule="auto"/>
        <w:ind w:left="0" w:right="0" w:firstLine="336"/>
        <w:jc w:val="both"/>
        <w:textAlignment w:val="baseline"/>
        <w:rPr>
          <w:rFonts w:ascii="Times New Roman" w:cs="Times New Roman" w:hAnsi="Times New Roman"/>
          <w:sz w:val="31"/>
          <w:szCs w:val="31"/>
        </w:rPr>
      </w:pPr>
      <w:r>
        <w:rPr>
          <w:rFonts w:ascii="Times New Roman" w:eastAsia="楷体" w:cs="Times New Roman" w:hAnsi="Times New Roman"/>
          <w:b/>
          <w:bCs/>
          <w:spacing w:val="4"/>
          <w:sz w:val="31"/>
          <w:szCs w:val="31"/>
        </w:rPr>
        <w:t>（十）项目支出</w:t>
      </w:r>
      <w:r>
        <w:rPr>
          <w:rFonts w:ascii="Times New Roman" w:eastAsia="楷体" w:cs="Times New Roman" w:hAnsi="Times New Roman"/>
          <w:spacing w:val="4"/>
          <w:sz w:val="31"/>
          <w:szCs w:val="31"/>
        </w:rPr>
        <w:t>：</w:t>
      </w:r>
      <w:r>
        <w:rPr>
          <w:rFonts w:ascii="Times New Roman" w:cs="Times New Roman" w:hAnsi="Times New Roman"/>
          <w:spacing w:val="4"/>
          <w:sz w:val="31"/>
          <w:szCs w:val="31"/>
        </w:rPr>
        <w:t>指在基本支出之外为完成</w:t>
      </w:r>
      <w:r>
        <w:rPr>
          <w:rFonts w:ascii="Times New Roman" w:cs="Times New Roman" w:hAnsi="Times New Roman"/>
          <w:spacing w:val="3"/>
          <w:sz w:val="31"/>
          <w:szCs w:val="31"/>
        </w:rPr>
        <w:t>特定行政任务</w:t>
      </w:r>
      <w:r>
        <w:rPr>
          <w:rFonts w:ascii="Times New Roman" w:cs="Times New Roman" w:hAnsi="Times New Roman"/>
          <w:spacing w:val="7"/>
          <w:sz w:val="31"/>
          <w:szCs w:val="31"/>
        </w:rPr>
        <w:t>和事业发展目标所发生的支出。</w:t>
      </w:r>
    </w:p>
    <w:p>
      <w:pPr>
        <w:pStyle w:val="15"/>
        <w:keepNext w:val="0"/>
        <w:keepLines w:val="0"/>
        <w:pageBreakBefore w:val="0"/>
        <w:widowControl/>
        <w:kinsoku/>
        <w:wordWrap/>
        <w:overflowPunct/>
        <w:topLinePunct w:val="0"/>
        <w:autoSpaceDE/>
        <w:autoSpaceDN/>
        <w:bidi w:val="0"/>
        <w:adjustRightInd w:val="0"/>
        <w:snapToGrid w:val="0"/>
        <w:spacing w:line="362" w:lineRule="auto"/>
        <w:ind w:left="0" w:right="0" w:firstLine="58"/>
        <w:jc w:val="both"/>
        <w:textAlignment w:val="baseline"/>
        <w:rPr>
          <w:rFonts w:ascii="Times New Roman" w:cs="Times New Roman" w:hAnsi="Times New Roman"/>
          <w:sz w:val="31"/>
          <w:szCs w:val="31"/>
        </w:rPr>
      </w:pPr>
      <w:r>
        <w:rPr>
          <w:rFonts w:ascii="Times New Roman" w:eastAsia="楷体" w:cs="Times New Roman" w:hAnsi="Times New Roman"/>
          <w:b/>
          <w:bCs/>
          <w:spacing w:val="5"/>
          <w:sz w:val="31"/>
          <w:szCs w:val="31"/>
        </w:rPr>
        <w:t>（十一）经营支出</w:t>
      </w:r>
      <w:r>
        <w:rPr>
          <w:rFonts w:ascii="Times New Roman" w:eastAsia="楷体" w:cs="Times New Roman" w:hAnsi="Times New Roman"/>
          <w:spacing w:val="5"/>
          <w:sz w:val="31"/>
          <w:szCs w:val="31"/>
        </w:rPr>
        <w:t>：</w:t>
      </w:r>
      <w:r>
        <w:rPr>
          <w:rFonts w:ascii="Times New Roman" w:cs="Times New Roman" w:hAnsi="Times New Roman"/>
          <w:spacing w:val="5"/>
          <w:sz w:val="31"/>
          <w:szCs w:val="31"/>
        </w:rPr>
        <w:t>指事业单位在专业业务活动及其辅助活</w:t>
      </w:r>
      <w:r>
        <w:rPr>
          <w:rFonts w:ascii="Times New Roman" w:cs="Times New Roman" w:hAnsi="Times New Roman"/>
          <w:spacing w:val="7"/>
          <w:sz w:val="31"/>
          <w:szCs w:val="31"/>
        </w:rPr>
        <w:t>动之外开展非独立核算经营活动发生的支出。</w:t>
      </w:r>
    </w:p>
    <w:p>
      <w:pPr>
        <w:pStyle w:val="15"/>
        <w:keepNext w:val="0"/>
        <w:keepLines w:val="0"/>
        <w:pageBreakBefore w:val="0"/>
        <w:widowControl/>
        <w:kinsoku/>
        <w:wordWrap/>
        <w:overflowPunct/>
        <w:topLinePunct w:val="0"/>
        <w:autoSpaceDE/>
        <w:autoSpaceDN/>
        <w:bidi w:val="0"/>
        <w:adjustRightInd w:val="0"/>
        <w:snapToGrid w:val="0"/>
        <w:spacing w:line="370" w:lineRule="auto"/>
        <w:ind w:left="0" w:right="0" w:firstLine="366"/>
        <w:jc w:val="both"/>
        <w:textAlignment w:val="baseline"/>
        <w:rPr>
          <w:rFonts w:ascii="Times New Roman" w:cs="Times New Roman" w:hAnsi="Times New Roman"/>
          <w:sz w:val="31"/>
          <w:szCs w:val="31"/>
        </w:rPr>
      </w:pPr>
      <w:r>
        <w:rPr>
          <w:rFonts w:ascii="Times New Roman" w:eastAsia="楷体" w:cs="Times New Roman" w:hAnsi="Times New Roman"/>
          <w:b/>
          <w:bCs/>
          <w:spacing w:val="5"/>
          <w:sz w:val="31"/>
          <w:szCs w:val="31"/>
        </w:rPr>
        <w:t>（十二）“三公”经费</w:t>
      </w:r>
      <w:r>
        <w:rPr>
          <w:rFonts w:ascii="Times New Roman" w:eastAsia="楷体" w:cs="Times New Roman" w:hAnsi="Times New Roman"/>
          <w:spacing w:val="5"/>
          <w:sz w:val="31"/>
          <w:szCs w:val="31"/>
        </w:rPr>
        <w:t>：</w:t>
      </w:r>
      <w:r>
        <w:rPr>
          <w:rFonts w:ascii="Times New Roman" w:cs="Times New Roman" w:hAnsi="Times New Roman"/>
          <w:spacing w:val="5"/>
          <w:sz w:val="31"/>
          <w:szCs w:val="31"/>
        </w:rPr>
        <w:t>指用一般公共预算财政拨款安排</w:t>
      </w:r>
      <w:r>
        <w:rPr>
          <w:rFonts w:ascii="Times New Roman" w:cs="Times New Roman" w:hAnsi="Times New Roman"/>
          <w:spacing w:val="10"/>
          <w:sz w:val="31"/>
          <w:szCs w:val="31"/>
        </w:rPr>
        <w:t>的因公出国（境）费、公务用车购置及运行维护费、公务接</w:t>
      </w:r>
      <w:r>
        <w:rPr>
          <w:rFonts w:ascii="Times New Roman" w:cs="Times New Roman" w:hAnsi="Times New Roman"/>
          <w:spacing w:val="5"/>
          <w:sz w:val="31"/>
          <w:szCs w:val="31"/>
        </w:rPr>
        <w:t>待费。其中，因公出国（境）费反映单位公务出国（境）的</w:t>
      </w:r>
      <w:r>
        <w:rPr>
          <w:rFonts w:ascii="Times New Roman" w:cs="Times New Roman" w:hAnsi="Times New Roman"/>
          <w:spacing w:val="8"/>
          <w:sz w:val="31"/>
          <w:szCs w:val="31"/>
        </w:rPr>
        <w:t>国际旅费、国外城市间交通费、住宿费、伙食</w:t>
      </w:r>
      <w:r>
        <w:rPr>
          <w:rFonts w:ascii="Times New Roman" w:cs="Times New Roman" w:hAnsi="Times New Roman"/>
          <w:spacing w:val="7"/>
          <w:sz w:val="31"/>
          <w:szCs w:val="31"/>
        </w:rPr>
        <w:t>费、培训费、</w:t>
      </w:r>
      <w:r>
        <w:rPr>
          <w:rFonts w:ascii="Times New Roman" w:cs="Times New Roman" w:hAnsi="Times New Roman"/>
          <w:spacing w:val="10"/>
          <w:sz w:val="31"/>
          <w:szCs w:val="31"/>
        </w:rPr>
        <w:t>公杂费等支出；公务用车购置费反映单位公务用车购置支出</w:t>
      </w:r>
      <w:r>
        <w:rPr>
          <w:rFonts w:ascii="Times New Roman" w:cs="Times New Roman" w:hAnsi="Times New Roman"/>
          <w:spacing w:val="9"/>
          <w:sz w:val="31"/>
          <w:szCs w:val="31"/>
        </w:rPr>
        <w:t>（含车辆购置税</w:t>
      </w:r>
      <w:r>
        <w:rPr>
          <w:rFonts w:ascii="Times New Roman" w:cs="Times New Roman" w:hAnsi="Times New Roman"/>
          <w:spacing w:val="22"/>
          <w:sz w:val="31"/>
          <w:szCs w:val="31"/>
        </w:rPr>
        <w:t>）；</w:t>
      </w:r>
      <w:r>
        <w:rPr>
          <w:rFonts w:ascii="Times New Roman" w:cs="Times New Roman" w:hAnsi="Times New Roman"/>
          <w:spacing w:val="9"/>
          <w:sz w:val="31"/>
          <w:szCs w:val="31"/>
        </w:rPr>
        <w:t>公务用车运行维护费反映单位按规定保</w:t>
      </w:r>
      <w:r>
        <w:rPr>
          <w:rFonts w:ascii="Times New Roman" w:cs="Times New Roman" w:hAnsi="Times New Roman"/>
          <w:spacing w:val="10"/>
          <w:sz w:val="31"/>
          <w:szCs w:val="31"/>
        </w:rPr>
        <w:t>留的公务用车燃料费、维修费、过路过桥费、保险费、安全奖励费用等支出；公务接待费反映单位按规定开支的各类公</w:t>
      </w:r>
      <w:r>
        <w:rPr>
          <w:rFonts w:ascii="Times New Roman" w:cs="Times New Roman" w:hAnsi="Times New Roman"/>
          <w:spacing w:val="9"/>
          <w:sz w:val="31"/>
          <w:szCs w:val="31"/>
        </w:rPr>
        <w:t>务接待（含外宾接待）支出。</w:t>
      </w:r>
    </w:p>
    <w:p>
      <w:pPr>
        <w:pStyle w:val="15"/>
        <w:keepNext w:val="0"/>
        <w:keepLines w:val="0"/>
        <w:pageBreakBefore w:val="0"/>
        <w:widowControl/>
        <w:kinsoku/>
        <w:wordWrap/>
        <w:overflowPunct/>
        <w:topLinePunct w:val="0"/>
        <w:autoSpaceDE/>
        <w:autoSpaceDN/>
        <w:bidi w:val="0"/>
        <w:adjustRightInd w:val="0"/>
        <w:snapToGrid w:val="0"/>
        <w:spacing w:line="370" w:lineRule="auto"/>
        <w:ind w:left="0" w:right="0" w:firstLine="338"/>
        <w:jc w:val="both"/>
        <w:textAlignment w:val="baseline"/>
        <w:rPr>
          <w:rFonts w:ascii="Times New Roman" w:cs="Times New Roman" w:hAnsi="Times New Roman"/>
          <w:sz w:val="31"/>
          <w:szCs w:val="31"/>
        </w:rPr>
      </w:pPr>
      <w:r>
        <w:rPr>
          <w:rFonts w:ascii="Times New Roman" w:eastAsia="楷体" w:cs="Times New Roman" w:hAnsi="Times New Roman"/>
          <w:b/>
          <w:bCs/>
          <w:spacing w:val="7"/>
          <w:sz w:val="31"/>
          <w:szCs w:val="31"/>
        </w:rPr>
        <w:t>（十三）机关运行经费</w:t>
      </w:r>
      <w:r>
        <w:rPr>
          <w:rFonts w:ascii="Times New Roman" w:eastAsia="楷体" w:cs="Times New Roman" w:hAnsi="Times New Roman"/>
          <w:spacing w:val="7"/>
          <w:sz w:val="31"/>
          <w:szCs w:val="31"/>
        </w:rPr>
        <w:t>：</w:t>
      </w:r>
      <w:r>
        <w:rPr>
          <w:rFonts w:ascii="Times New Roman" w:cs="Times New Roman" w:hAnsi="Times New Roman"/>
          <w:spacing w:val="7"/>
          <w:sz w:val="31"/>
          <w:szCs w:val="31"/>
        </w:rPr>
        <w:t>为保障行政单位（含参照公务员</w:t>
      </w:r>
      <w:r>
        <w:rPr>
          <w:rFonts w:ascii="Times New Roman" w:cs="Times New Roman" w:hAnsi="Times New Roman"/>
          <w:spacing w:val="9"/>
          <w:sz w:val="31"/>
          <w:szCs w:val="31"/>
        </w:rPr>
        <w:t>法管理的事业单位）运行用于购买货物和服务等的各项公用经费，包括办公及印刷费、邮电费、差旅费、会议费、福利</w:t>
      </w:r>
      <w:r>
        <w:rPr>
          <w:rFonts w:ascii="Times New Roman" w:cs="Times New Roman" w:hAnsi="Times New Roman"/>
          <w:spacing w:val="5"/>
          <w:sz w:val="31"/>
          <w:szCs w:val="31"/>
        </w:rPr>
        <w:t>费、日常维护费、专用材料及一般设备购置费、办公用房水</w:t>
      </w:r>
      <w:r>
        <w:rPr>
          <w:rFonts w:ascii="Times New Roman" w:cs="Times New Roman" w:hAnsi="Times New Roman"/>
          <w:spacing w:val="9"/>
          <w:sz w:val="31"/>
          <w:szCs w:val="31"/>
        </w:rPr>
        <w:t>电费、办公用房取暖费、办公用房物业管理费、公务</w:t>
      </w:r>
      <w:r>
        <w:rPr>
          <w:rFonts w:ascii="Times New Roman" w:cs="Times New Roman" w:hAnsi="Times New Roman"/>
          <w:spacing w:val="8"/>
          <w:sz w:val="31"/>
          <w:szCs w:val="31"/>
        </w:rPr>
        <w:t>用车运</w:t>
      </w:r>
      <w:r>
        <w:rPr>
          <w:rFonts w:ascii="Times New Roman" w:cs="Times New Roman" w:hAnsi="Times New Roman"/>
          <w:spacing w:val="7"/>
          <w:sz w:val="31"/>
          <w:szCs w:val="31"/>
        </w:rPr>
        <w:t>行维护费以及其他费用。</w:t>
      </w:r>
    </w:p>
    <w:p>
      <w:pPr>
        <w:keepNext w:val="0"/>
        <w:keepLines w:val="0"/>
        <w:pageBreakBefore w:val="0"/>
        <w:widowControl/>
        <w:kinsoku/>
        <w:wordWrap/>
        <w:overflowPunct/>
        <w:topLinePunct w:val="0"/>
        <w:autoSpaceDE/>
        <w:autoSpaceDN/>
        <w:bidi w:val="0"/>
        <w:adjustRightInd w:val="0"/>
        <w:snapToGrid w:val="0"/>
        <w:spacing w:line="370" w:lineRule="auto"/>
        <w:ind w:left="0" w:right="0"/>
        <w:jc w:val="both"/>
        <w:textAlignment w:val="baseline"/>
        <w:rPr>
          <w:rFonts w:ascii="Times New Roman" w:cs="Times New Roman" w:hAnsi="Times New Roman"/>
          <w:sz w:val="31"/>
          <w:szCs w:val="31"/>
        </w:rPr>
        <w:sectPr>
          <w:footerReference w:type="default" r:id="rId13"/>
          <w:pgSz w:w="11915" w:h="16840"/>
          <w:pgMar w:top="1984" w:right="1446" w:bottom="1644" w:left="1446" w:header="0" w:footer="987" w:gutter="0"/>
          <w:docGrid w:linePitch="312" w:charSpace="0"/>
        </w:sectPr>
      </w:pPr>
    </w:p>
    <w:p>
      <w:pPr>
        <w:pStyle w:val="15"/>
        <w:keepNext w:val="0"/>
        <w:keepLines w:val="0"/>
        <w:pageBreakBefore w:val="0"/>
        <w:widowControl/>
        <w:kinsoku/>
        <w:wordWrap/>
        <w:overflowPunct/>
        <w:topLinePunct w:val="0"/>
        <w:autoSpaceDE/>
        <w:autoSpaceDN/>
        <w:bidi w:val="0"/>
        <w:adjustRightInd w:val="0"/>
        <w:snapToGrid w:val="0"/>
        <w:spacing w:line="367" w:lineRule="auto"/>
        <w:ind w:left="0" w:right="0" w:firstLine="85"/>
        <w:jc w:val="both"/>
        <w:textAlignment w:val="baseline"/>
        <w:rPr>
          <w:rFonts w:ascii="Times New Roman" w:cs="Times New Roman" w:hAnsi="Times New Roman"/>
          <w:sz w:val="31"/>
          <w:szCs w:val="31"/>
        </w:rPr>
      </w:pPr>
      <w:r>
        <w:rPr>
          <w:rFonts w:ascii="Times New Roman" w:eastAsia="楷体" w:cs="Times New Roman" w:hAnsi="Times New Roman"/>
          <w:b/>
          <w:bCs/>
          <w:spacing w:val="3"/>
          <w:sz w:val="31"/>
          <w:szCs w:val="31"/>
        </w:rPr>
        <w:t>（十四）工资福利支出（支出经济分类科目类级</w:t>
      </w:r>
      <w:r>
        <w:rPr>
          <w:rFonts w:ascii="Times New Roman" w:eastAsia="楷体" w:cs="Times New Roman" w:hAnsi="Times New Roman"/>
          <w:b/>
          <w:bCs/>
          <w:spacing w:val="4"/>
          <w:sz w:val="31"/>
          <w:szCs w:val="31"/>
        </w:rPr>
        <w:t>）</w:t>
      </w:r>
      <w:r>
        <w:rPr>
          <w:rFonts w:ascii="Times New Roman" w:eastAsia="楷体" w:cs="Times New Roman" w:hAnsi="Times New Roman"/>
          <w:spacing w:val="4"/>
          <w:sz w:val="31"/>
          <w:szCs w:val="31"/>
        </w:rPr>
        <w:t>：</w:t>
      </w:r>
      <w:r>
        <w:rPr>
          <w:rFonts w:ascii="Times New Roman" w:cs="Times New Roman" w:hAnsi="Times New Roman"/>
          <w:spacing w:val="3"/>
          <w:sz w:val="31"/>
          <w:szCs w:val="31"/>
        </w:rPr>
        <w:t>反映单</w:t>
      </w:r>
      <w:r>
        <w:rPr>
          <w:rFonts w:ascii="Times New Roman" w:cs="Times New Roman" w:hAnsi="Times New Roman"/>
          <w:spacing w:val="9"/>
          <w:sz w:val="31"/>
          <w:szCs w:val="31"/>
        </w:rPr>
        <w:t>位开支的在职职工和编制外长期聘用人员的各类劳动报酬，</w:t>
      </w:r>
      <w:r>
        <w:rPr>
          <w:rFonts w:ascii="Times New Roman" w:cs="Times New Roman" w:hAnsi="Times New Roman"/>
          <w:spacing w:val="8"/>
          <w:sz w:val="31"/>
          <w:szCs w:val="31"/>
        </w:rPr>
        <w:t>以及为上述人员缴纳的各项社会保险费等。</w:t>
      </w:r>
    </w:p>
    <w:p>
      <w:pPr>
        <w:pStyle w:val="15"/>
        <w:keepNext w:val="0"/>
        <w:keepLines w:val="0"/>
        <w:pageBreakBefore w:val="0"/>
        <w:widowControl/>
        <w:kinsoku/>
        <w:wordWrap/>
        <w:overflowPunct/>
        <w:topLinePunct w:val="0"/>
        <w:autoSpaceDE/>
        <w:autoSpaceDN/>
        <w:bidi w:val="0"/>
        <w:adjustRightInd w:val="0"/>
        <w:snapToGrid w:val="0"/>
        <w:spacing w:line="365" w:lineRule="auto"/>
        <w:ind w:left="0" w:right="0" w:firstLine="77"/>
        <w:jc w:val="both"/>
        <w:textAlignment w:val="baseline"/>
        <w:rPr>
          <w:rFonts w:ascii="Times New Roman" w:cs="Times New Roman" w:hAnsi="Times New Roman"/>
          <w:sz w:val="31"/>
          <w:szCs w:val="31"/>
        </w:rPr>
      </w:pPr>
      <w:r>
        <w:rPr>
          <w:rFonts w:ascii="Times New Roman" w:eastAsia="楷体" w:cs="Times New Roman" w:hAnsi="Times New Roman"/>
          <w:b/>
          <w:bCs/>
          <w:spacing w:val="3"/>
          <w:sz w:val="31"/>
          <w:szCs w:val="31"/>
        </w:rPr>
        <w:t>（十五）商品和服务支出（支出经济分类科目类级</w:t>
      </w:r>
      <w:r>
        <w:rPr>
          <w:rFonts w:ascii="Times New Roman" w:eastAsia="楷体" w:cs="Times New Roman" w:hAnsi="Times New Roman"/>
          <w:b/>
          <w:bCs/>
          <w:spacing w:val="1"/>
          <w:sz w:val="31"/>
          <w:szCs w:val="31"/>
        </w:rPr>
        <w:t>）</w:t>
      </w:r>
      <w:r>
        <w:rPr>
          <w:rFonts w:ascii="Times New Roman" w:eastAsia="楷体" w:cs="Times New Roman" w:hAnsi="Times New Roman"/>
          <w:spacing w:val="1"/>
          <w:sz w:val="31"/>
          <w:szCs w:val="31"/>
        </w:rPr>
        <w:t>：</w:t>
      </w:r>
      <w:r>
        <w:rPr>
          <w:rFonts w:ascii="Times New Roman" w:cs="Times New Roman" w:hAnsi="Times New Roman"/>
          <w:spacing w:val="3"/>
          <w:sz w:val="31"/>
          <w:szCs w:val="31"/>
        </w:rPr>
        <w:t>反映</w:t>
      </w:r>
      <w:r>
        <w:rPr>
          <w:rFonts w:ascii="Times New Roman" w:cs="Times New Roman" w:hAnsi="Times New Roman"/>
          <w:spacing w:val="9"/>
          <w:sz w:val="31"/>
          <w:szCs w:val="31"/>
        </w:rPr>
        <w:t>单位购买商品和服务的支出（不包括用于购</w:t>
      </w:r>
      <w:r>
        <w:rPr>
          <w:rFonts w:ascii="Times New Roman" w:cs="Times New Roman" w:hAnsi="Times New Roman"/>
          <w:spacing w:val="8"/>
          <w:sz w:val="31"/>
          <w:szCs w:val="31"/>
        </w:rPr>
        <w:t>置固定资产的支</w:t>
      </w:r>
      <w:r>
        <w:rPr>
          <w:rFonts w:ascii="Times New Roman" w:cs="Times New Roman" w:hAnsi="Times New Roman"/>
          <w:spacing w:val="6"/>
          <w:sz w:val="31"/>
          <w:szCs w:val="31"/>
        </w:rPr>
        <w:t>出、战略性和应急储备支出）。</w:t>
      </w:r>
    </w:p>
    <w:p>
      <w:pPr>
        <w:pStyle w:val="15"/>
        <w:keepNext w:val="0"/>
        <w:keepLines w:val="0"/>
        <w:pageBreakBefore w:val="0"/>
        <w:widowControl/>
        <w:kinsoku/>
        <w:wordWrap/>
        <w:overflowPunct/>
        <w:topLinePunct w:val="0"/>
        <w:autoSpaceDE/>
        <w:autoSpaceDN/>
        <w:bidi w:val="0"/>
        <w:adjustRightInd w:val="0"/>
        <w:snapToGrid w:val="0"/>
        <w:spacing w:line="358" w:lineRule="auto"/>
        <w:ind w:left="0" w:right="0" w:firstLine="334"/>
        <w:jc w:val="both"/>
        <w:textAlignment w:val="baseline"/>
        <w:rPr>
          <w:rFonts w:ascii="Times New Roman" w:cs="Times New Roman" w:hAnsi="Times New Roman"/>
          <w:sz w:val="31"/>
          <w:szCs w:val="31"/>
        </w:rPr>
      </w:pPr>
      <w:r>
        <w:rPr>
          <w:rFonts w:ascii="Times New Roman" w:eastAsia="楷体" w:cs="Times New Roman" w:hAnsi="Times New Roman"/>
          <w:b/>
          <w:bCs/>
          <w:spacing w:val="1"/>
          <w:sz w:val="31"/>
          <w:szCs w:val="31"/>
        </w:rPr>
        <w:t>（十六）对个人和家庭的补助（支出经济分类科目类级</w:t>
      </w:r>
      <w:r>
        <w:rPr>
          <w:rFonts w:ascii="Times New Roman" w:eastAsia="楷体" w:cs="Times New Roman" w:hAnsi="Times New Roman"/>
          <w:b/>
          <w:bCs/>
          <w:spacing w:val="-57"/>
          <w:sz w:val="31"/>
          <w:szCs w:val="31"/>
        </w:rPr>
        <w:t>）</w:t>
      </w:r>
      <w:r>
        <w:rPr>
          <w:rFonts w:ascii="Times New Roman" w:eastAsia="楷体" w:cs="Times New Roman" w:hAnsi="Times New Roman"/>
          <w:spacing w:val="-57"/>
          <w:sz w:val="31"/>
          <w:szCs w:val="31"/>
        </w:rPr>
        <w:t>：</w:t>
      </w:r>
      <w:r>
        <w:rPr>
          <w:rFonts w:ascii="Times New Roman" w:cs="Times New Roman" w:hAnsi="Times New Roman"/>
          <w:spacing w:val="7"/>
          <w:sz w:val="31"/>
          <w:szCs w:val="31"/>
        </w:rPr>
        <w:t>反映用于对个人和家庭的补助支出。</w:t>
      </w:r>
    </w:p>
    <w:p>
      <w:pPr>
        <w:pStyle w:val="15"/>
        <w:keepNext w:val="0"/>
        <w:keepLines w:val="0"/>
        <w:pageBreakBefore w:val="0"/>
        <w:widowControl/>
        <w:kinsoku/>
        <w:wordWrap/>
        <w:overflowPunct/>
        <w:topLinePunct w:val="0"/>
        <w:autoSpaceDE/>
        <w:autoSpaceDN/>
        <w:bidi w:val="0"/>
        <w:adjustRightInd w:val="0"/>
        <w:snapToGrid w:val="0"/>
        <w:spacing w:line="367" w:lineRule="auto"/>
        <w:ind w:left="0" w:right="0" w:firstLine="328"/>
        <w:jc w:val="both"/>
        <w:textAlignment w:val="baseline"/>
        <w:rPr>
          <w:rFonts w:ascii="Times New Roman" w:cs="Times New Roman" w:hAnsi="Times New Roman"/>
          <w:sz w:val="31"/>
          <w:szCs w:val="31"/>
        </w:rPr>
      </w:pPr>
      <w:r>
        <w:rPr>
          <w:rFonts w:ascii="Times New Roman" w:eastAsia="楷体" w:cs="Times New Roman" w:hAnsi="Times New Roman"/>
          <w:b/>
          <w:bCs/>
          <w:spacing w:val="4"/>
          <w:sz w:val="31"/>
          <w:szCs w:val="31"/>
        </w:rPr>
        <w:t>（十七）其他资本性支出（支出经济分类科目类级</w:t>
      </w:r>
      <w:r>
        <w:rPr>
          <w:rFonts w:ascii="Times New Roman" w:eastAsia="楷体" w:cs="Times New Roman" w:hAnsi="Times New Roman"/>
          <w:b/>
          <w:bCs/>
          <w:spacing w:val="19"/>
          <w:sz w:val="31"/>
          <w:szCs w:val="31"/>
        </w:rPr>
        <w:t>）</w:t>
      </w:r>
      <w:r>
        <w:rPr>
          <w:rFonts w:ascii="Times New Roman" w:eastAsia="楷体" w:cs="Times New Roman" w:hAnsi="Times New Roman"/>
          <w:spacing w:val="19"/>
          <w:sz w:val="31"/>
          <w:szCs w:val="31"/>
        </w:rPr>
        <w:t>：</w:t>
      </w:r>
      <w:r>
        <w:rPr>
          <w:rFonts w:ascii="Times New Roman" w:cs="Times New Roman" w:hAnsi="Times New Roman"/>
          <w:spacing w:val="4"/>
          <w:sz w:val="31"/>
          <w:szCs w:val="31"/>
        </w:rPr>
        <w:t>反</w:t>
      </w:r>
      <w:r>
        <w:rPr>
          <w:rFonts w:ascii="Times New Roman" w:cs="Times New Roman" w:hAnsi="Times New Roman"/>
          <w:spacing w:val="8"/>
          <w:sz w:val="31"/>
          <w:szCs w:val="31"/>
        </w:rPr>
        <w:t>映非各级发展与改革部门集中安排的用于购置固定资产、战</w:t>
      </w:r>
      <w:r>
        <w:rPr>
          <w:rFonts w:ascii="Times New Roman" w:cs="Times New Roman" w:hAnsi="Times New Roman"/>
          <w:spacing w:val="6"/>
          <w:sz w:val="31"/>
          <w:szCs w:val="31"/>
        </w:rPr>
        <w:t>略性和应急性储备、土地和无形资产，以及构建基础设施、</w:t>
      </w:r>
      <w:r>
        <w:rPr>
          <w:rFonts w:ascii="Times New Roman" w:cs="Times New Roman" w:hAnsi="Times New Roman"/>
          <w:spacing w:val="8"/>
          <w:sz w:val="31"/>
          <w:szCs w:val="31"/>
        </w:rPr>
        <w:t>大型修缮和财政支持企业更新改造所发生的支出。</w:t>
      </w:r>
    </w:p>
    <w:p>
      <w:pPr>
        <w:keepNext w:val="0"/>
        <w:keepLines w:val="0"/>
        <w:pageBreakBefore w:val="0"/>
        <w:widowControl/>
        <w:kinsoku/>
        <w:wordWrap/>
        <w:overflowPunct/>
        <w:topLinePunct w:val="0"/>
        <w:autoSpaceDE/>
        <w:autoSpaceDN/>
        <w:bidi w:val="0"/>
        <w:adjustRightInd w:val="0"/>
        <w:snapToGrid w:val="0"/>
        <w:spacing w:line="226" w:lineRule="auto"/>
        <w:ind w:left="0" w:right="0"/>
        <w:jc w:val="both"/>
        <w:textAlignment w:val="baseline"/>
        <w:outlineLvl w:val="0"/>
        <w:rPr>
          <w:rFonts w:ascii="Times New Roman" w:eastAsia="黑体" w:cs="Times New Roman" w:hAnsi="Times New Roman"/>
          <w:sz w:val="31"/>
          <w:szCs w:val="31"/>
        </w:rPr>
      </w:pPr>
      <w:r>
        <w:rPr>
          <w:rFonts w:ascii="Times New Roman" w:eastAsia="黑体" w:cs="Times New Roman" w:hAnsi="Times New Roman"/>
          <w:b/>
          <w:bCs/>
          <w:spacing w:val="7"/>
          <w:sz w:val="31"/>
          <w:szCs w:val="31"/>
        </w:rPr>
        <w:t>七、决算公开联系方式及信息反馈渠道</w:t>
      </w:r>
    </w:p>
    <w:p>
      <w:pPr>
        <w:pStyle w:val="15"/>
        <w:keepNext w:val="0"/>
        <w:keepLines w:val="0"/>
        <w:pageBreakBefore w:val="0"/>
        <w:widowControl/>
        <w:kinsoku/>
        <w:wordWrap/>
        <w:overflowPunct/>
        <w:topLinePunct w:val="0"/>
        <w:autoSpaceDE/>
        <w:autoSpaceDN/>
        <w:bidi w:val="0"/>
        <w:adjustRightInd w:val="0"/>
        <w:snapToGrid w:val="0"/>
        <w:spacing w:line="317" w:lineRule="auto"/>
        <w:ind w:left="0" w:right="0" w:firstLine="622"/>
        <w:jc w:val="both"/>
        <w:textAlignment w:val="baseline"/>
        <w:rPr>
          <w:rFonts w:ascii="Times New Roman" w:eastAsia="宋体" w:cs="Times New Roman" w:hAnsi="Times New Roman"/>
          <w:sz w:val="20"/>
          <w:szCs w:val="20"/>
        </w:rPr>
      </w:pPr>
      <w:r>
        <w:rPr>
          <w:rFonts w:ascii="Times New Roman" w:cs="Times New Roman" w:hAnsi="Times New Roman"/>
          <w:spacing w:val="9"/>
          <w:sz w:val="31"/>
          <w:szCs w:val="31"/>
        </w:rPr>
        <w:t>本单位决算公开信息反馈和联系方式：重庆市渝</w:t>
      </w:r>
      <w:r>
        <w:rPr>
          <w:rFonts w:ascii="Times New Roman" w:cs="Times New Roman" w:hAnsi="Times New Roman"/>
          <w:spacing w:val="8"/>
          <w:sz w:val="31"/>
          <w:szCs w:val="31"/>
        </w:rPr>
        <w:t>中区卫</w:t>
      </w:r>
      <w:r>
        <w:rPr>
          <w:rFonts w:ascii="Times New Roman" w:cs="Times New Roman" w:hAnsi="Times New Roman"/>
          <w:spacing w:val="6"/>
          <w:sz w:val="31"/>
          <w:szCs w:val="31"/>
        </w:rPr>
        <w:t>生健康综合行政执法支队，联系电话：</w:t>
      </w:r>
      <w:r>
        <w:rPr>
          <w:rFonts w:ascii="Times New Roman" w:cs="Times New Roman" w:hAnsi="Times New Roman"/>
          <w:spacing w:val="6"/>
          <w:sz w:val="31"/>
          <w:szCs w:val="31"/>
          <w:lang w:val="en-US" w:eastAsia="zh-CN"/>
        </w:rPr>
        <w:t>023-</w:t>
      </w:r>
      <w:r>
        <w:rPr>
          <w:rFonts w:ascii="Times New Roman" w:cs="Times New Roman" w:hAnsi="Times New Roman"/>
          <w:spacing w:val="6"/>
          <w:sz w:val="31"/>
          <w:szCs w:val="31"/>
        </w:rPr>
        <w:t>63310662。</w:t>
      </w:r>
    </w:p>
    <w:sectPr>
      <w:footerReference w:type="default" r:id="rId14"/>
      <w:pgSz w:w="11906" w:h="16838"/>
      <w:pgMar w:top="1984" w:right="1446" w:bottom="1644" w:left="1446" w:header="0" w:footer="277" w:gutter="0"/>
      <w:docGrid w:linePitch="312" w:charSpace="0"/>
    </w:sectPr>
  </w:body>
</w:document>
</file>

<file path=word/fontTable.xml><?xml version="1.0" encoding="utf-8"?>
<w:fonts xmlns:w="http://schemas.openxmlformats.org/wordprocessingml/2006/main" xmlns:r="http://schemas.openxmlformats.org/officeDocument/2006/relationships">
  <w:font w:name="宋体">
    <w:panose1 w:val="02010600030101010101"/>
    <w:charset w:val="86"/>
    <w:family w:val="auto"/>
    <w:pitch w:val="variable"/>
    <w:sig w:usb0="00000003" w:usb1="288F0000" w:usb2="00000006" w:usb3="00000000" w:csb0="00040001" w:csb1="00000000"/>
  </w:font>
  <w:font w:name="方正小标宋_GBK">
    <w:panose1 w:val="03000509000000000000"/>
    <w:charset w:val="86"/>
    <w:family w:val="auto"/>
    <w:pitch w:val="variable"/>
    <w:sig w:usb0="00000001" w:usb1="080E0000" w:usb2="00000000" w:usb3="00000000" w:csb0="00040000" w:csb1="00000000"/>
  </w:font>
  <w:font w:name="Times New Roman">
    <w:altName w:val="DejaVu Sans"/>
    <w:panose1 w:val="02020603050405020304"/>
    <w:charset w:val="00"/>
    <w:family w:val="roman"/>
    <w:pitch w:val="variable"/>
    <w:sig w:usb0="20007A87" w:usb1="80000000" w:usb2="00000008" w:usb3="00000000" w:csb0="000001FF" w:csb1="00000000"/>
  </w:font>
  <w:font w:name="楷体">
    <w:panose1 w:val="02010609060101010101"/>
    <w:charset w:val="86"/>
    <w:family w:val="auto"/>
    <w:pitch w:val="variable"/>
    <w:sig w:usb0="800002BF" w:usb1="38CF7CFA" w:usb2="00000016" w:usb3="00000000" w:csb0="00040001" w:csb1="00000000"/>
  </w:font>
  <w:font w:name="黑体">
    <w:panose1 w:val="02010609060101010101"/>
    <w:charset w:val="86"/>
    <w:family w:val="auto"/>
    <w:pitch w:val="variable"/>
    <w:sig w:usb0="800002BF" w:usb1="38CF7CFA" w:usb2="00000016" w:usb3="00000000" w:csb0="00040001" w:csb1="00000000"/>
  </w:font>
  <w:font w:name="Arial">
    <w:altName w:val="DejaVu Sans"/>
    <w:panose1 w:val="020B0604020202020204"/>
    <w:charset w:val="01"/>
    <w:family w:val="swiss"/>
    <w:pitch w:val="variable"/>
    <w:sig w:usb0="E0002AFF" w:usb1="C0007843" w:usb2="00000009" w:usb3="00000000" w:csb0="400001FF" w:csb1="FFFF0000"/>
  </w:font>
  <w:font w:name="方正仿宋_GBK">
    <w:altName w:val="永中宋体"/>
    <w:panose1 w:val="03000509000000000000"/>
    <w:charset w:val="86"/>
    <w:family w:val="auto"/>
    <w:pitch w:val="variable"/>
    <w:sig w:usb0="00000001" w:usb1="080E0000" w:usb2="00000000" w:usb3="00000000" w:csb0="00040000"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3949"/>
      <w:rPr>
        <w:rFonts w:ascii="宋体" w:eastAsia="宋体" w:cs="宋体"/>
        <w:sz w:val="18"/>
        <w:szCs w:val="18"/>
      </w:rPr>
    </w:pPr>
    <w:r>
      <w:rPr>
        <w:rFonts w:ascii="宋体" w:eastAsia="宋体" w:cs="宋体"/>
        <w:spacing w:val="-9"/>
        <w:sz w:val="18"/>
        <w:szCs w:val="18"/>
      </w:rPr>
      <w:t>-1-</w:t>
    </w:r>
  </w:p>
</w:ftr>
</file>

<file path=word/footer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3949"/>
      <w:rPr>
        <w:rFonts w:ascii="宋体" w:eastAsia="宋体" w:cs="宋体"/>
        <w:sz w:val="18"/>
        <w:szCs w:val="18"/>
      </w:rPr>
    </w:pPr>
    <w:r>
      <w:rPr>
        <w:rFonts w:ascii="宋体" w:eastAsia="宋体" w:cs="宋体"/>
        <w:spacing w:val="-5"/>
        <w:sz w:val="18"/>
        <w:szCs w:val="18"/>
      </w:rPr>
      <w:t>-2-</w:t>
    </w:r>
  </w:p>
</w:ftr>
</file>

<file path=word/footer3.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3949"/>
      <w:rPr>
        <w:rFonts w:ascii="宋体" w:eastAsia="宋体" w:cs="宋体"/>
        <w:sz w:val="18"/>
        <w:szCs w:val="18"/>
      </w:rPr>
    </w:pPr>
    <w:r>
      <w:rPr>
        <w:rFonts w:ascii="宋体" w:eastAsia="宋体" w:cs="宋体"/>
        <w:spacing w:val="-6"/>
        <w:sz w:val="18"/>
        <w:szCs w:val="18"/>
      </w:rPr>
      <w:t>-3-</w:t>
    </w:r>
  </w:p>
</w:ftr>
</file>

<file path=word/footer4.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3949"/>
      <w:rPr>
        <w:rFonts w:ascii="宋体" w:eastAsia="宋体" w:cs="宋体"/>
        <w:sz w:val="18"/>
        <w:szCs w:val="18"/>
      </w:rPr>
    </w:pPr>
    <w:r>
      <w:rPr>
        <w:rFonts w:ascii="宋体" w:eastAsia="宋体" w:cs="宋体"/>
        <w:spacing w:val="-4"/>
        <w:sz w:val="18"/>
        <w:szCs w:val="18"/>
      </w:rPr>
      <w:t>-4-</w:t>
    </w:r>
  </w:p>
</w:ftr>
</file>

<file path=word/footer5.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0" w:lineRule="auto"/>
      <w:ind w:left="3949"/>
      <w:rPr>
        <w:rFonts w:ascii="宋体" w:eastAsia="宋体" w:cs="宋体"/>
        <w:sz w:val="18"/>
        <w:szCs w:val="18"/>
      </w:rPr>
    </w:pPr>
    <w:r>
      <w:rPr>
        <w:rFonts w:ascii="宋体" w:eastAsia="宋体" w:cs="宋体"/>
        <w:spacing w:val="-6"/>
        <w:sz w:val="18"/>
        <w:szCs w:val="18"/>
      </w:rPr>
      <w:t>-5-</w:t>
    </w:r>
  </w:p>
</w:ftr>
</file>

<file path=word/footer6.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3949"/>
      <w:rPr>
        <w:rFonts w:ascii="宋体" w:eastAsia="宋体" w:cs="宋体"/>
        <w:sz w:val="18"/>
        <w:szCs w:val="18"/>
      </w:rPr>
    </w:pPr>
    <w:r>
      <w:rPr>
        <w:rFonts w:ascii="宋体" w:eastAsia="宋体" w:cs="宋体"/>
        <w:spacing w:val="-5"/>
        <w:sz w:val="18"/>
        <w:szCs w:val="18"/>
      </w:rPr>
      <w:t>-6-</w:t>
    </w:r>
  </w:p>
</w:ftr>
</file>

<file path=word/footer7.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0" w:lineRule="auto"/>
      <w:ind w:left="3949"/>
      <w:rPr>
        <w:rFonts w:ascii="宋体" w:eastAsia="宋体" w:cs="宋体"/>
        <w:sz w:val="18"/>
        <w:szCs w:val="18"/>
      </w:rPr>
    </w:pPr>
    <w:r>
      <w:rPr>
        <w:rFonts w:ascii="宋体" w:eastAsia="宋体" w:cs="宋体"/>
        <w:spacing w:val="-6"/>
        <w:sz w:val="18"/>
        <w:szCs w:val="18"/>
      </w:rPr>
      <w:t>-7-</w:t>
    </w:r>
  </w:p>
</w:ftr>
</file>

<file path=word/footer8.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3949"/>
      <w:rPr>
        <w:rFonts w:ascii="宋体" w:eastAsia="宋体" w:cs="宋体"/>
        <w:sz w:val="18"/>
        <w:szCs w:val="18"/>
      </w:rPr>
    </w:pPr>
    <w:r>
      <w:rPr>
        <w:rFonts w:ascii="宋体" w:eastAsia="宋体" w:cs="宋体"/>
        <w:spacing w:val="-5"/>
        <w:sz w:val="18"/>
        <w:szCs w:val="18"/>
      </w:rPr>
      <w:t>-8-</w:t>
    </w:r>
  </w:p>
</w:ftr>
</file>

<file path=word/footer9.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3949"/>
      <w:rPr>
        <w:rFonts w:ascii="宋体" w:eastAsia="宋体" w:cs="宋体"/>
        <w:sz w:val="18"/>
        <w:szCs w:val="18"/>
      </w:rPr>
    </w:pPr>
    <w:r>
      <w:rPr>
        <w:rFonts w:ascii="宋体" w:eastAsia="宋体" w:cs="宋体"/>
        <w:spacing w:val="-5"/>
        <w:sz w:val="18"/>
        <w:szCs w:val="18"/>
      </w:rPr>
      <w:t>-9-</w:t>
    </w:r>
  </w:p>
</w:ftr>
</file>

<file path=word/footer10.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3906"/>
      <w:rPr>
        <w:rFonts w:ascii="宋体" w:eastAsia="宋体" w:cs="宋体"/>
        <w:sz w:val="18"/>
        <w:szCs w:val="18"/>
      </w:rPr>
    </w:pPr>
    <w:r>
      <w:rPr>
        <w:rFonts w:ascii="宋体" w:eastAsia="宋体" w:cs="宋体"/>
        <w:spacing w:val="-7"/>
        <w:sz w:val="18"/>
        <w:szCs w:val="18"/>
      </w:rPr>
      <w:t>-10-</w:t>
    </w:r>
  </w:p>
</w:ftr>
</file>

<file path=word/footer1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3906"/>
      <w:rPr>
        <w:rFonts w:ascii="宋体" w:eastAsia="宋体" w:cs="宋体"/>
        <w:sz w:val="18"/>
        <w:szCs w:val="18"/>
      </w:rPr>
    </w:pPr>
    <w:r>
      <w:rPr>
        <w:rFonts w:ascii="宋体" w:eastAsia="宋体" w:cs="宋体"/>
        <w:spacing w:val="-7"/>
        <w:sz w:val="18"/>
        <w:szCs w:val="18"/>
      </w:rPr>
      <w:t>-11-</w:t>
    </w:r>
  </w:p>
</w:ftr>
</file>

<file path=word/footer1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3906"/>
      <w:rPr>
        <w:rFonts w:ascii="宋体" w:eastAsia="宋体" w:cs="宋体"/>
        <w:sz w:val="18"/>
        <w:szCs w:val="18"/>
      </w:rPr>
    </w:pPr>
    <w:r>
      <w:rPr>
        <w:rFonts w:ascii="宋体" w:eastAsia="宋体" w:cs="宋体"/>
        <w:spacing w:val="-7"/>
        <w:sz w:val="18"/>
        <w:szCs w:val="18"/>
      </w:rPr>
      <w:t>-12-</w:t>
    </w:r>
  </w:p>
</w:ftr>
</file>

<file path=word/footer13.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spacing w:line="173" w:lineRule="auto"/>
      <w:ind w:left="10959"/>
      <w:rPr>
        <w:rFonts w:ascii="宋体" w:eastAsia="宋体" w:cs="宋体"/>
        <w:sz w:val="18"/>
        <w:szCs w:val="18"/>
      </w:rPr>
    </w:pPr>
    <w:r>
      <w:rPr>
        <w:rFonts w:ascii="宋体" w:eastAsia="宋体" w:cs="宋体"/>
        <w:spacing w:val="-4"/>
        <w:sz w:val="18"/>
        <w:szCs w:val="18"/>
      </w:rPr>
      <w:t>-24-</w:t>
    </w:r>
  </w:p>
</w:ftr>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displayBackgroundShape/>
  <w:bordersDoNotSurroundHeader/>
  <w:bordersDoNotSurroundFooter/>
  <w:defaultTabStop w:val="420"/>
  <w:drawingGridHorizontalSpacing w:val="105"/>
  <w:drawingGridVerticalSpacing w:val="156"/>
  <w:displayHorizontalDrawingGridEvery w:val="0"/>
  <w:displayVerticalDrawingGridEvery w:val="1"/>
  <w:compat>
    <w:spaceForUL/>
    <w:ulTrailSpace/>
    <w:growAutofit/>
    <w:compatSetting w:name="compatibilityMode" w:uri="http://schemas.microsoft.com/office/word" w:val="14"/>
  </w:compat>
  <w:docVars>
    <w:docVar w:name="commondata" w:val="eyJoZGlkIjoiMmUzOWE4MWNiMTQ5NGY3ZDA4OWU3MDE3NTUzMzU2ZDkifQ=="/>
  </w:docVar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pPr>
      <w:kinsoku w:val="0"/>
      <w:autoSpaceDE w:val="0"/>
      <w:autoSpaceDN w:val="0"/>
      <w:adjustRightInd w:val="0"/>
      <w:snapToGrid w:val="0"/>
      <w:spacing w:line="240" w:lineRule="auto"/>
      <w:jc w:val="left"/>
      <w:textAlignment w:val="baseline"/>
    </w:pPr>
    <w:rPr>
      <w:rFonts w:ascii="Arial" w:eastAsia="Arial" w:cs="Arial" w:hAnsi="Arial"/>
      <w:snapToGrid w:val="0"/>
      <w:color w:val="000000"/>
      <w:kern w:val="0"/>
      <w:sz w:val="21"/>
      <w:szCs w:val="21"/>
      <w:lang w:val="en-US" w:eastAsia="en-US" w:bidi="ar-SA"/>
    </w:rPr>
  </w:style>
  <w:style w:type="character" w:default="1" w:styleId="10">
    <w:name w:val="Default Paragraph Font"/>
  </w:style>
  <w:style w:type="paragraph" w:styleId="15">
    <w:name w:val="Body Text"/>
    <w:basedOn w:val="0"/>
    <w:rPr>
      <w:rFonts w:ascii="方正仿宋_GBK" w:eastAsia="方正仿宋_GBK" w:cs="方正仿宋_GBK"/>
      <w:sz w:val="30"/>
      <w:szCs w:val="30"/>
      <w:lang w:val="en-US" w:eastAsia="en-US" w:bidi="ar-SA"/>
    </w:rPr>
  </w:style>
  <w:style w:type="paragraph" w:customStyle="1" w:styleId="16">
    <w:name w:val="Table Text"/>
    <w:basedOn w:val="0"/>
    <w:rPr>
      <w:rFonts w:ascii="Arial" w:eastAsia="Arial" w:cs="Arial" w:hAnsi="Arial"/>
      <w:sz w:val="21"/>
      <w:szCs w:val="21"/>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er" Target="footer3.xml"/><Relationship Id="rId5" Type="http://schemas.openxmlformats.org/officeDocument/2006/relationships/footer" Target="footer4.xml"/><Relationship Id="rId6" Type="http://schemas.openxmlformats.org/officeDocument/2006/relationships/footer" Target="footer5.xml"/><Relationship Id="rId7" Type="http://schemas.openxmlformats.org/officeDocument/2006/relationships/footer" Target="footer6.xml"/><Relationship Id="rId8" Type="http://schemas.openxmlformats.org/officeDocument/2006/relationships/footer" Target="footer7.xml"/><Relationship Id="rId9" Type="http://schemas.openxmlformats.org/officeDocument/2006/relationships/footer" Target="footer8.xml"/><Relationship Id="rId10" Type="http://schemas.openxmlformats.org/officeDocument/2006/relationships/footer" Target="footer9.xml"/><Relationship Id="rId11" Type="http://schemas.openxmlformats.org/officeDocument/2006/relationships/footer" Target="footer10.xml"/><Relationship Id="rId12" Type="http://schemas.openxmlformats.org/officeDocument/2006/relationships/footer" Target="footer11.xml"/><Relationship Id="rId13" Type="http://schemas.openxmlformats.org/officeDocument/2006/relationships/footer" Target="footer12.xml"/><Relationship Id="rId14" Type="http://schemas.openxmlformats.org/officeDocument/2006/relationships/footer" Target="footer13.xml"/><Relationship Id="rId15" Type="http://schemas.openxmlformats.org/officeDocument/2006/relationships/styles" Target="styles.xml"/><Relationship Id="rId16" Type="http://schemas.openxmlformats.org/officeDocument/2006/relationships/fontTable" Target="fontTable.xml"/></Relationships>
</file>

<file path=docProps/app.xml><?xml version="1.0" encoding="utf-8"?>
<Properties xmlns="http://schemas.openxmlformats.org/officeDocument/2006/extended-properties">
  <Template>Normal.eit</Template>
  <TotalTime>1</TotalTime>
  <Application>Yozo_Office</Application>
  <Pages>13</Pages>
  <Words>5831</Words>
  <Characters>6874</Characters>
  <Lines>276</Lines>
  <Paragraphs>83</Paragraphs>
  <CharactersWithSpaces>6863</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creator>Administrator</dc:creator>
  <cp:lastModifiedBy>xg</cp:lastModifiedBy>
  <cp:revision>0</cp:revision>
  <dcterms:created xsi:type="dcterms:W3CDTF">2024-09-05T10:07:00Z</dcterms:created>
  <dcterms:modified xsi:type="dcterms:W3CDTF">2024-10-25T03:36:36Z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CRO">
    <vt:lpwstr>wqlLaW5nc29mdCBQREYgdG8gV1BTIDEwMA</vt:lpwstr>
  </property>
  <property fmtid="{D5CDD505-2E9C-101B-9397-08002B2CF9AE}" pid="3" name="Created">
    <vt:filetime>2024-10-24T16:00:00Z</vt:filetime>
  </property>
  <property fmtid="{D5CDD505-2E9C-101B-9397-08002B2CF9AE}" pid="4" name="KSOProductBuildVer">
    <vt:lpwstr>2052-12.1.0.18276</vt:lpwstr>
  </property>
  <property fmtid="{D5CDD505-2E9C-101B-9397-08002B2CF9AE}" pid="5" name="ICV">
    <vt:lpwstr>CDE56EA049954B299FB2EB4FF5773909_12</vt:lpwstr>
  </property>
</Properties>
</file>