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ascii="方正小标宋_GBK" w:eastAsia="方正小标宋_GBK" w:cs="方正小标宋_GBK" w:hint="eastAsia"/>
          <w:sz w:val="44"/>
          <w:szCs w:val="44"/>
        </w:rPr>
      </w:pPr>
      <w:r>
        <w:rPr>
          <w:rFonts w:ascii="方正小标宋_GBK" w:eastAsia="方正小标宋_GBK" w:cs="方正小标宋_GBK" w:hint="eastAsia"/>
          <w:sz w:val="44"/>
          <w:szCs w:val="44"/>
        </w:rPr>
        <w:t>重庆市渝中区疾病预防控制中心</w:t>
      </w:r>
    </w:p>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ascii="方正小标宋_GBK" w:eastAsia="方正小标宋_GBK" w:cs="方正小标宋_GBK" w:hint="eastAsia"/>
          <w:sz w:val="44"/>
          <w:szCs w:val="44"/>
        </w:rPr>
      </w:pPr>
      <w:r>
        <w:rPr>
          <w:rFonts w:ascii="方正小标宋_GBK" w:eastAsia="方正小标宋_GBK" w:cs="方正小标宋_GBK" w:hint="eastAsia"/>
          <w:sz w:val="44"/>
          <w:szCs w:val="44"/>
        </w:rPr>
        <w:t>2023年度决算公开说明</w:t>
      </w:r>
    </w:p>
    <w:p>
      <w:pPr>
        <w:keepNext w:val="0"/>
        <w:keepLines w:val="0"/>
        <w:pageBreakBefore w:val="0"/>
        <w:widowControl/>
        <w:kinsoku w:val="0"/>
        <w:wordWrap/>
        <w:overflowPunct/>
        <w:topLinePunct w:val="0"/>
        <w:autoSpaceDE w:val="0"/>
        <w:autoSpaceDN w:val="0"/>
        <w:bidi w:val="0"/>
        <w:adjustRightInd w:val="0"/>
        <w:snapToGrid w:val="0"/>
        <w:spacing w:line="594" w:lineRule="exact"/>
        <w:jc w:val="both"/>
        <w:textAlignment w:val="baseline"/>
        <w:rPr>
          <w:rFonts w:ascii="Times New Roman" w:eastAsia="方正仿宋_GBK" w:cs="Times New Roman" w:hAnsi="Times New Roman"/>
          <w:sz w:val="32"/>
          <w:szCs w:val="32"/>
        </w:rPr>
      </w:pP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一、部门基本情况</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（一）职能职责</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重庆市渝中区疾病预防控制中心为全额拨款事业单位，主要职责是：1、实施免疫规划。2、承担突发公共卫生事件预防控制任务。3、疫情及健康相关因素信息管理。4、健康危害因素监测与控制。5、食品安全风险监测与食源性疾病控制工作。6、实验室检验检测与评价。7、健康教育与健康促进。8、业务技术培训指导与应用性研究。9、提供其他社会公益性公共卫生服务。10、内部运行管理。</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（二）机构设置</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本部门内设9个科室，包括：办公室、财务科、结艾科、传防科、慢病科、公卫一科、公卫二科、检验科、技管科。</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二、部门决算情况说明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（一）收入支出决算总体情况说明。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1.总体情况。2023年度收入总计15441.99万元，支出总计15441.99万元。收支较上年决算数增加1787.02万元，增长13.09%，主要原因一是本年新进人员5人及人员卫生防疫津贴政策性调整所致，二是本年退休人员死亡4人发放抚恤金44.35万元，三是22年及23年重大传染病项目经费及基本公共卫生项目拨款增加444.44万元，另外由于中心二类疫苗收入高价苗用量增加（特别是九价宫颈癌疫苗）所致。</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收入情况。2023年度收入合计14964.94万元，较上年决算数增加4693.49万元，增长45.69%，主要原因是22年及23年重大传染病项目经费及基本公共卫生项目拨款增加444.44万元以及中心二类疫苗收入高价苗用量增加（特别是九价宫颈癌疫苗）所致。收入增加3733.41万元。其中：财政拨款收入3629.44万元，占24.25%；事业收入11335.50万元，占75.75%；经营收入0.00万元，占0.00%；其他收入0.00万元，占0.00%。此外，使用非财政拨款结余和专用结余0.00万元，年初结转和结余477.05万元。</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3.支出情况。2023年度支出合计15034.09万元，较上年决算数增加2005.53万元，增长15.39%，主要原因是其中：补发20年—23年卫生防疫津贴及一次性增和绩效工资143.70万元，本年结核病、艾滋病、慢性病等重大传染病项目及基公项目经费支出增加，另外由于二类疫苗高价苗销量增加致使支付疫苗成本增幅大增。基本支出1927.53万元，占12.82%；项目支出13106.56万元，占87.18%；经营支出0.00万元，占0.00%。此外，结余分配352.09万元。</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4.结转结余情况。2023年度年末结转和结余55.81万元，较上年决算数减少421.24万元，下降88.30%，主要原因是对社区工作量及绩效指标考核后及时按工作进度拨付给社区项目工作经费。</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（二）财政拨款收入支出决算总体情况说明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2023年度财政拨款收、支总计4106.49万元。与2022年相比，财政拨款收、支总计各减少1973.39万元，下降32.46%。主要原因是本部门2023年度无地方政府专项债拨款收支。</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1.收入情况。2023年度一般公共预算财政拨款收入3629.44万元，较上年决算数增加1193.33万元，增长48.99%。主要原因是项目经费拨款增加，较年初预算数增加1728.36万元，增长90.91%。主要原因是本年人员增加及政策性津补贴调标，23年结核病、艾滋病、慢性病等重大传染病项目及基公项目经费拨款增加所致</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支出情况。2023年度一般公共预算财政拨款支出4050.68万元，较上年决算数增加970.34万元，增长31.50%。主要原因是人员经费支出增加及重大传染病项目支出增加所致。较年初预算数增加2149.60万元，增长113.07%。主要原因是本部门2023年度重大传染病及基本公共卫生项目收支增加所致。</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3.结转结余情况。2023年度年末一般公共预算财政拨款结转和结余55.81万元，较上年决算数减少421.24万元，下降88.30%，主要原因是对社区工作量及绩效指标考核后及时按工作进度拨付给社区项目工作经费。</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4.比较情况。本部门2023年度一般公共预算财政拨款支出主要用于以下几个方面：</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（1）一般公共服务支出10.00万元，占0.25%，较年初预算数增加10.00万元，增长100.00%，主要原因是本部门2023年度新增疾控中心综合业务大楼整体迁建项目工作经费</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（2）社会保障与就业支出357.11万元，占8.82%，较年初预算数增加45.30万元，增长14.53%，主要原因是本年人员增加及人员职称变动调整缴费基数所致</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（3）国防支出0.37万元，占0.01%，较年初预算数增加0.37万元，增长100.00%，主要原因是本部门2023年度新增民兵编制工作经费。</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hint="eastAsia"/>
          <w:sz w:val="32"/>
          <w:szCs w:val="32"/>
          <w:lang w:eastAsia="zh-CN"/>
        </w:rPr>
      </w:pPr>
      <w:r>
        <w:rPr>
          <w:rFonts w:ascii="Times New Roman" w:eastAsia="方正仿宋_GBK" w:cs="Times New Roman" w:hAnsi="Times New Roman"/>
          <w:sz w:val="32"/>
          <w:szCs w:val="32"/>
        </w:rPr>
        <w:t>（4）卫生健康支出3575.22万元，占88.26%，较年初预算数增加2076.39万元，增长138.53%，主要原因是本年度增加结核病、艾滋病、慢性病等重大传染病项目及基本公共卫生项目支出</w:t>
      </w:r>
      <w:r>
        <w:rPr>
          <w:rFonts w:ascii="Times New Roman" w:eastAsia="方正仿宋_GBK" w:cs="Times New Roman" w:hAnsi="Times New Roman" w:hint="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（5）农林水支出3.21万元，占0.08%，较年初预算数增加3.21万元，增长100.00%，主要原因是本部门2023年度新增动物防疫项目工作经费</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hint="eastAsia"/>
          <w:sz w:val="32"/>
          <w:szCs w:val="32"/>
          <w:lang w:eastAsia="zh-CN"/>
        </w:rPr>
      </w:pPr>
      <w:r>
        <w:rPr>
          <w:rFonts w:ascii="Times New Roman" w:eastAsia="方正仿宋_GBK" w:cs="Times New Roman" w:hAnsi="Times New Roman"/>
          <w:sz w:val="32"/>
          <w:szCs w:val="32"/>
        </w:rPr>
        <w:t>（6）商业服务业等支出2.10万元，占0.05%，较年初预算数增加2.10万元，增长100.00%，主要原因是本部门2023年度新增人才政策岗位津贴及人才服务奖经费</w:t>
      </w:r>
      <w:r>
        <w:rPr>
          <w:rFonts w:ascii="Times New Roman" w:eastAsia="方正仿宋_GBK" w:cs="Times New Roman" w:hAnsi="Times New Roman" w:hint="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（7）住房保障支出102.66万元，占2.53%，较年初预算数增加12.22万元，增长13.51%，主要原因是本年度人员增加及人员职称变动标准调整所致。</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度一般公共财政拨款基本支出1927.53万元。其中：人员经费1726.18万元，较上年决算数增加320.79万元，增长22.83%，主要原因是补发20年—23年人员政策性津补贴调标及一次性增核绩效工资。人员经费用途主要包括人员工资、津补贴、绩效工资及社会保经费等公用经费201.35万元，较上年决算数减少21.67万元，下降9.72%，主要原因是本年办公费减少。公用经费用途主要包括中心办公费、大楼水电、维修、物业等运转费用。</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（五）政府性基金预算收支决算情况说明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2023年度政府性基金预算财政拨款年初结转结余0.00万元，年末结转结余0.00万元。本年收入0.00万元，较上年决算数减少260.24万元，下降100.00%，主要原因是本部门2023年度无政府性基金预算财政拨款收支。</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本年支出0.00万元，较上年决算数减少2522.49万元，下降100.00%，主要原因是本部门2023年度无政府性基金预算财政拨款收支。</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2023年度国有资本经营预算财政拨本年支出0.00万元，基本支出0.00万元，项目支出0.00万元，主要用途用于本部门2023年度无国有资本经营预算财政拨款支出</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三、“三公”经费情况说明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（一）“三公”经费支出总体情况说明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2023年度“三公”经费支出共计9.20万元，较年初预算数无增减，主要原因是严格按照年初预算执行。较上年支出数增加0.20万元，增长2.22%，主要原因是根据工作需要公务招待费增加了。</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（二）“三公”经费分项支出情况</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2023年度本部门因公出国（境）费用0.00万元，主要是用于本单位2023年度无此费用。费用支出较年初预算数无增减，主要原因是本单位2023年度无此费用。较上年支出数无增减，主要原因是本单位2023年度无此费用</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公务车购置费0.00万元，主要用于.....(由部门根据实际情况补充车辆用途)。费用支出较年初预算数无增减，主要原因是本单位2023年度无此费用。较上年支出数无增减，主要原因是本单位2023年度无此费用。</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公务车运行维护费8.63万元，主要用于本单位车辆维修、汽油、保险等。费用支出较年初预算数减少0.37万元，下降4.11%，主要原因是调剂到公务招待费较上年支出数减少0.37万元，下降4.11%，主要原因是严格按年初预算执行。</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公务接待费0.57万元，主要用于接待成渝专家团来渝及本部门等级评审接待市级及外审专家。费用支出较年初预算数增加0.37万元，增长185.00%，主要原因是本部门2023年度等级评审接待市级专家18人，较上年支出数增加0.57万元，增长100.00%，主要原因是本部门2023年度等级评审接待市级专家18人。</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（三）“三公”经费实物量情况</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度本部门因公出国（境）共计0个团组，0人；公务用车购置0辆，公务车保有量为3辆；国内公务接待2批次29人，其中：国内外事接待0批次，0人；国（境）外公务接待0批次，0人。2023年本部门人均接待费198.00元，车均购置费0万元，车均维护费2.88万元。</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四、其他需要说明的事项</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（一）财政拨款会议费和培训费情况说明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本年度会议费支出0.09万元，较上年决算数减少1.95万元，下降95.59%，主要原因是严格控制会议支出。本年度培训费支出3.81万元，较上年决算数增加0.68万元，增长21.73%，主要原因是用于本部门2023年度职工继教学习、公需科目以及党员远程教育支出。</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（二）机关运行经费情况说明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我单位为财政全额拨款事业单位，无机关运行经费。</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（三）国有资产占用情况说明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截至2023年12月31日，本部门共有车辆3辆，其中，副部（省）级及以上领导用车0辆、主要负责人用车0辆、机要通信用车0辆、应急保障用车3辆、执法执勤用车0辆，特种专业技术用车0辆，离退休干部用车0辆。单价100万元（含）以上专用设备9台（套）。</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（四）政府采购支出情况说明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度本部门政府采购支出总额228.34万元，其中：政府采购货物支出228.34万元、政府采购工程支出0.00万元、政府采购服务支出0.00万元。授予中小企业合同金额74.58万元，占政府采购支出总额的32.66%，其中：授予小微企业合同金额69.68万元，占政府采购支出总额的30.52%。主要用于采购X射线机质控检测仪、甲醛测定仪、生物安全柜、立式自动压力蒸汽灭菌器等专用设备</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五、预算绩效管理情况说明</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（一）单位自评情况</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根据预算绩效管理要求，根据预算绩效管理要求，我中心对本单位的18个二级项目（传染病监测预警、职业卫生和放射卫生危害因素监测项目、疾控公共卫生项目、实验室能力技术维持和发展项目、基本公共卫生服务项目、重大疾病预防控制经费等）开展了绩效自评，涉及财政拨款项目支出资金1694.50万元。</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（二）单位绩效评价情况</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我中心对本部门18个项目开展了绩效自评，其中，以填报目标自评表形式开展自评项，涉及资金1694.50万元。从评价情况来看，本部门2023年各项目各项指标任务完成较好，达到预期目标，服务能力不断提升，居民获得感不断增强，群众满意度不断提高。项目资金在支出使用、资金管理、资金产出效益、各项相关指标都达到了预期目标。</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（三）财政绩效评价情况</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hint="eastAsia"/>
          <w:sz w:val="32"/>
          <w:szCs w:val="32"/>
          <w:lang w:eastAsia="zh-CN"/>
        </w:rPr>
      </w:pPr>
      <w:r>
        <w:rPr>
          <w:rFonts w:ascii="Times New Roman" w:eastAsia="方正仿宋_GBK" w:cs="Times New Roman" w:hAnsi="Times New Roman"/>
          <w:sz w:val="32"/>
          <w:szCs w:val="32"/>
        </w:rPr>
        <w:t>市财政局未委托第三方对我单位开展了绩效评价</w:t>
      </w:r>
      <w:r>
        <w:rPr>
          <w:rFonts w:ascii="Times New Roman" w:eastAsia="方正仿宋_GBK" w:cs="Times New Roman" w:hAnsi="Times New Roman" w:hint="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六、专业名词解释</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以下为常见专业名词解释目录，仅供参考，</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（六）年初结转和结余：指单位上年结转本年使用的基本支出结转、项目支出结转和结余、经营结余。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（七）结余分配：指单位按照国家有关规定，缴纳所得税、提取专用基金、转入非财政拨款结余等当年结余的分配情况。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（八）年末结转和结余：指单位结转下年的基本支出结转、项目支出结转和结余、经营结余。</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（十六）对个人和家庭的补助（支出经济分类科目类级）：反映用于对个人和家庭的补助支出。</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七、决算公开联系方式及信息反馈渠道</w:t>
      </w:r>
    </w:p>
    <w:p>
      <w:pPr>
        <w:keepNext w:val="0"/>
        <w:keepLines w:val="0"/>
        <w:pageBreakBefore w:val="0"/>
        <w:widowControl/>
        <w:kinsoku/>
        <w:wordWrap/>
        <w:overflowPunct/>
        <w:topLinePunct w:val="0"/>
        <w:autoSpaceDE/>
        <w:autoSpaceDN/>
        <w:bidi w:val="0"/>
        <w:adjustRightInd w:val="0"/>
        <w:snapToGrid w:val="0"/>
        <w:spacing w:line="594" w:lineRule="exact"/>
        <w:ind w:firstLineChars="200" w:firstLine="640"/>
        <w:jc w:val="both"/>
        <w:textAlignment w:val="baseline"/>
        <w:rPr>
          <w:rFonts w:ascii="Times New Roman" w:eastAsia="方正仿宋_GBK" w:cs="Times New Roman" w:hAnsi="Times New Roman"/>
          <w:sz w:val="32"/>
          <w:szCs w:val="32"/>
        </w:rPr>
      </w:pPr>
      <w:r>
        <w:rPr>
          <w:rFonts w:ascii="Times New Roman" w:eastAsia="方正仿宋_GBK" w:cs="Times New Roman" w:hAnsi="Times New Roman"/>
          <w:sz w:val="32"/>
          <w:szCs w:val="32"/>
        </w:rPr>
        <w:t>本单位决算公开信息反馈和联系方式：重庆市渝中区疾病预防控制中心023-89035631</w:t>
      </w:r>
      <w:r>
        <w:rPr>
          <w:rFonts w:ascii="Times New Roman" w:eastAsia="方正仿宋_GBK" w:cs="Times New Roman" w:hAnsi="Times New Roman"/>
          <w:sz w:val="32"/>
          <w:szCs w:val="32"/>
          <w:lang w:eastAsia="zh-CN"/>
        </w:rPr>
        <w:t>。</w:t>
      </w:r>
    </w:p>
    <w:sectPr>
      <w:footerReference w:type="default" r:id="rId2"/>
      <w:pgSz w:w="11905" w:h="16838"/>
      <w:pgMar w:top="1984" w:right="1446" w:bottom="1644" w:left="1446" w:header="0" w:footer="283" w:gutter="0"/>
      <w:docGrid w:linePitch="285"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方正仿宋_GBK">
    <w:altName w:val="永中宋体"/>
    <w:panose1 w:val="03000509000000000000"/>
    <w:charset w:val="86"/>
    <w:family w:val="auto"/>
    <w:pitch w:val="variable"/>
    <w:sig w:usb0="00000001" w:usb1="080E0000" w:usb2="0000000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73" w:lineRule="auto"/>
      <w:ind w:left="10916"/>
      <w:rPr>
        <w:rFonts w:ascii="宋体" w:eastAsia="宋体" w:cs="宋体"/>
        <w:sz w:val="18"/>
        <w:szCs w:val="18"/>
      </w:rPr>
    </w:pPr>
    <w:r>
      <w:rPr>
        <w:rFonts w:ascii="宋体" w:eastAsia="宋体" w:cs="宋体"/>
        <w:spacing w:val="-4"/>
        <w:sz w:val="18"/>
        <w:szCs w:val="18"/>
      </w:rPr>
      <w:t>-28-</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ompat>
    <w:spaceForUL/>
    <w:ulTrailSpace/>
    <w:growAutofit/>
    <w:compatSetting w:name="compatibilityMode" w:uri="http://schemas.microsoft.com/office/word" w:val="14"/>
  </w:compat>
  <w:docVars>
    <w:docVar w:name="commondata" w:val="eyJoZGlkIjoiMmUzOWE4MWNiMTQ5NGY3ZDA4OWU3MDE3NTUzMzU2ZD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en-US" w:bidi="ar-SA"/>
    </w:rPr>
  </w:style>
  <w:style w:type="character" w:default="1" w:styleId="10">
    <w:name w:val="Default Paragraph Font"/>
  </w:style>
  <w:style w:type="paragraph" w:styleId="15">
    <w:name w:val="Body Text"/>
    <w:basedOn w:val="0"/>
    <w:rPr>
      <w:rFonts w:ascii="方正仿宋_GBK" w:eastAsia="方正仿宋_GBK" w:cs="方正仿宋_GBK"/>
      <w:sz w:val="31"/>
      <w:szCs w:val="31"/>
      <w:lang w:val="en-US" w:eastAsia="en-US" w:bidi="ar-SA"/>
    </w:rPr>
  </w:style>
  <w:style w:type="paragraph" w:customStyle="1" w:styleId="16">
    <w:name w:val="Table Text"/>
    <w:basedOn w:val="0"/>
    <w:rPr>
      <w:rFonts w:ascii="Arial" w:eastAsia="Arial" w:cs="Arial" w:hAnsi="Arial"/>
      <w:sz w:val="21"/>
      <w:szCs w:val="21"/>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Application>
  <Pages>1</Pages>
  <Words>2</Words>
  <Characters>2</Characters>
  <Lines>1</Lines>
  <Paragraphs>0</Paragraphs>
  <CharactersWithSpaces>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0</cp:revision>
  <dcterms:created xsi:type="dcterms:W3CDTF">2024-08-30T15:58:00Z</dcterms:created>
  <dcterms:modified xsi:type="dcterms:W3CDTF">2025-04-16T02:55:34Z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wqlLaW5nc29mdCBQREYgdG8gV1BTIDEwMA</vt:lpwstr>
  </property>
  <property fmtid="{D5CDD505-2E9C-101B-9397-08002B2CF9AE}" pid="3" name="Created">
    <vt:filetime>2024-10-24T16:00:00Z</vt:filetime>
  </property>
  <property fmtid="{D5CDD505-2E9C-101B-9397-08002B2CF9AE}" pid="4" name="KSOProductBuildVer">
    <vt:lpwstr>2052-12.1.0.18276</vt:lpwstr>
  </property>
  <property fmtid="{D5CDD505-2E9C-101B-9397-08002B2CF9AE}" pid="5" name="ICV">
    <vt:lpwstr>FFAB68B8CE74469FBDDB0CFDFE27D19D_12</vt:lpwstr>
  </property>
</Properties>
</file>