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5E67387">
      <w:pPr>
        <w:pStyle w:val="10"/>
      </w:pPr>
      <w:bookmarkStart w:id="1" w:name="_GoBack"/>
      <w:bookmarkEnd w:id="1"/>
      <w:r>
        <w:rPr>
          <w:rFonts w:hint="eastAsia"/>
        </w:rPr>
        <w:t>重庆市渝中区七星岗街道</w:t>
      </w:r>
      <w:r>
        <w:t>社区卫生</w:t>
      </w:r>
      <w:r>
        <w:rPr>
          <w:rFonts w:hint="eastAsia"/>
        </w:rPr>
        <w:t>服务</w:t>
      </w:r>
      <w:r>
        <w:t>中心</w:t>
      </w:r>
      <w:r>
        <w:rPr>
          <w:rFonts w:hint="eastAsia"/>
        </w:rPr>
        <w:t>20</w:t>
      </w:r>
      <w:r>
        <w:t>2</w:t>
      </w:r>
      <w:r>
        <w:rPr>
          <w:rFonts w:hint="eastAsia"/>
        </w:rPr>
        <w:t>6年单位预算公开说明</w:t>
      </w:r>
    </w:p>
    <w:p w14:paraId="0C709DED">
      <w:pPr>
        <w:ind w:firstLine="640"/>
      </w:pPr>
    </w:p>
    <w:p w14:paraId="218C5B41">
      <w:pPr>
        <w:pStyle w:val="2"/>
        <w:numPr>
          <w:ilvl w:val="0"/>
          <w:numId w:val="1"/>
        </w:numPr>
        <w:ind w:firstLineChars="0"/>
      </w:pPr>
      <w:r>
        <w:rPr>
          <w:rFonts w:hint="eastAsia"/>
        </w:rPr>
        <w:t>单位基本情况</w:t>
      </w:r>
    </w:p>
    <w:p w14:paraId="33F1F627">
      <w:pPr>
        <w:pStyle w:val="3"/>
        <w:ind w:firstLine="640"/>
      </w:pPr>
      <w:r>
        <w:rPr>
          <w:rFonts w:hint="eastAsia"/>
        </w:rPr>
        <w:t>（一）职能职责</w:t>
      </w:r>
    </w:p>
    <w:p w14:paraId="3DCD5949">
      <w:pPr>
        <w:ind w:firstLine="640"/>
      </w:pPr>
      <w:r>
        <w:rPr>
          <w:rFonts w:hint="eastAsia" w:ascii="Times New Roman" w:hAnsi="Times New Roman" w:eastAsia="方正仿宋_GBK" w:cs="仿宋_GB2312"/>
          <w:sz w:val="32"/>
          <w:lang w:eastAsia="zh-CN"/>
        </w:rPr>
        <w:t>重庆市渝中区七星岗街道社区卫生服务中心为重庆市渝中区卫生健康委员会直属事业单位，是政府主办的集医疗、预防、保健、康复、养老、教学为一体的非盈利性基层医疗卫生机构，是重庆市示范社区卫生服务中心。主要职责是：1.贯彻执行国民健康和卫生健康事业发展的法规、规章、政策、标准；2.负责辖区内预防服务：包括传染病、非传染病和突发事件的防控。一是传染病的预防即社区一般病因预防、二级五早预防和三级预后康复预防。二是非传染病预防即一般危险因素预防、二级早期疾病干预、三级防残预防。三是突发事件的预防，是指隐藏在“健康人群”内的，且能突发严重卫生问题的监测预防；3.负责辖区内医疗服务：除在医院开展门诊和住院服务外，如中西医全科、康复科、妇科、儿童保健科、药剂科等医疗临床业务外，重要的是根据社区居民的需要，开展家庭治疗、家庭康复、临终关怀等医疗服务；4.负责辖区内保健服务：对社区居民进行保健合同制的管理，并定期进行健康保健管理；5.负责辖区内公共卫生服务：如65岁老年人健康体检、孕产妇随访、新生儿上门随访、儿童预防保健、家庭医生等项目；6.负责辖区内健康教育：卫生知识普及，个体和群体的健康服务，重点人员与重点场所健康教育，宣传健康行为和生活方式等；7.组织协调落实应对人口老龄化改革措施，负责推进辖区老年健康服务体系建设和医养结合工作，为辖区6万余人提供社区养老服务；8.完成上级单位交办的其他任务。</w:t>
      </w:r>
    </w:p>
    <w:p w14:paraId="0AEAB252">
      <w:pPr>
        <w:pStyle w:val="3"/>
        <w:ind w:firstLine="640"/>
      </w:pPr>
      <w:r>
        <w:rPr>
          <w:rFonts w:hint="eastAsia"/>
        </w:rPr>
        <w:t>（二）单位</w:t>
      </w:r>
      <w:r>
        <w:t>构成</w:t>
      </w:r>
    </w:p>
    <w:p w14:paraId="1556534E">
      <w:pPr>
        <w:ind w:firstLine="640"/>
      </w:pPr>
      <w:r>
        <w:rPr>
          <w:rFonts w:hint="eastAsia"/>
        </w:rPr>
        <w:t>中心内设1</w:t>
      </w:r>
      <w:r>
        <w:t>6</w:t>
      </w:r>
      <w:r>
        <w:rPr>
          <w:rFonts w:hint="eastAsia"/>
        </w:rPr>
        <w:t>个职能科室，包括行政办公室、护理部、公卫科、财务科、总务科、门诊治疗室、药剂科、保健科、检验科、住院部、医务科、B超室、中医康复科、妇科、放射科、儿科。</w:t>
      </w:r>
    </w:p>
    <w:p w14:paraId="7535448A">
      <w:pPr>
        <w:pStyle w:val="2"/>
        <w:numPr>
          <w:ilvl w:val="0"/>
          <w:numId w:val="1"/>
        </w:numPr>
        <w:ind w:firstLineChars="0"/>
        <w:rPr>
          <w:rFonts w:hint="eastAsia" w:ascii="Times New Roman" w:hAnsi="Times New Roman" w:eastAsia="方正黑体_GBK" w:cs="仿宋_GB2312"/>
          <w:bCs w:val="0"/>
          <w:kern w:val="2"/>
          <w:sz w:val="32"/>
          <w:szCs w:val="22"/>
          <w:lang w:val="en-US" w:eastAsia="zh-CN" w:bidi="ar-SA"/>
        </w:rPr>
      </w:pPr>
      <w:r>
        <w:rPr>
          <w:rFonts w:hint="eastAsia" w:ascii="Times New Roman" w:hAnsi="Times New Roman" w:eastAsia="方正黑体_GBK" w:cs="仿宋_GB2312"/>
          <w:bCs w:val="0"/>
          <w:kern w:val="2"/>
          <w:sz w:val="32"/>
          <w:szCs w:val="22"/>
          <w:lang w:val="en-US" w:eastAsia="zh-CN" w:bidi="ar-SA"/>
        </w:rPr>
        <w:t>单位收支总体情况</w:t>
      </w:r>
    </w:p>
    <w:p w14:paraId="0C15230B">
      <w:pPr>
        <w:ind w:firstLine="643"/>
        <w:rPr>
          <w:rFonts w:hint="eastAsia" w:ascii="Times New Roman" w:hAnsi="Times New Roman" w:eastAsia="方正仿宋_GBK" w:cs="仿宋_GB2312"/>
          <w:sz w:val="32"/>
          <w:lang w:eastAsia="zh-CN"/>
        </w:rPr>
      </w:pPr>
      <w:r>
        <w:rPr>
          <w:rFonts w:hint="eastAsia" w:ascii="方正楷体_GBK" w:hAnsi="方正楷体_GBK" w:eastAsia="方正楷体_GBK" w:cs="方正楷体_GBK"/>
          <w:sz w:val="32"/>
        </w:rPr>
        <w:t>（一）收入预算：</w:t>
      </w:r>
      <w:r>
        <w:rPr>
          <w:rFonts w:hint="eastAsia" w:ascii="Times New Roman" w:hAnsi="Times New Roman" w:eastAsia="方正仿宋_GBK" w:cs="仿宋_GB2312"/>
          <w:sz w:val="32"/>
          <w:lang w:eastAsia="zh-CN"/>
        </w:rPr>
        <w:t>2026年年初预算数3603.5万元。其中：一般公共预算拨款603.5万元，政府性基金预算拨款0万元，国有资本经营预算收入0万元，事业收入3000</w:t>
      </w:r>
      <w:r>
        <w:rPr>
          <w:rFonts w:hint="eastAsia" w:ascii="Times New Roman" w:hAnsi="Times New Roman" w:eastAsia="方正仿宋_GBK" w:cs="仿宋_GB2312"/>
          <w:sz w:val="32"/>
          <w:lang w:val="en-US" w:eastAsia="zh-CN"/>
        </w:rPr>
        <w:t>.0</w:t>
      </w:r>
      <w:r>
        <w:rPr>
          <w:rFonts w:hint="eastAsia" w:ascii="Times New Roman" w:hAnsi="Times New Roman" w:eastAsia="方正仿宋_GBK" w:cs="仿宋_GB2312"/>
          <w:sz w:val="32"/>
          <w:lang w:eastAsia="zh-CN"/>
        </w:rPr>
        <w:t>万元，事业单位经营收入0万元，其他收入0万元。本年收入较2025年减少852.72万元，主要原因是一般公共预算拨款增加147.28万元、事业收入减少1000</w:t>
      </w:r>
      <w:r>
        <w:rPr>
          <w:rFonts w:hint="eastAsia" w:cs="仿宋_GB2312"/>
          <w:sz w:val="32"/>
          <w:lang w:val="en-US" w:eastAsia="zh-CN"/>
        </w:rPr>
        <w:t>.0</w:t>
      </w:r>
      <w:r>
        <w:rPr>
          <w:rFonts w:hint="eastAsia" w:ascii="Times New Roman" w:hAnsi="Times New Roman" w:eastAsia="方正仿宋_GBK" w:cs="仿宋_GB2312"/>
          <w:sz w:val="32"/>
          <w:lang w:eastAsia="zh-CN"/>
        </w:rPr>
        <w:t>万元。</w:t>
      </w:r>
    </w:p>
    <w:p w14:paraId="142D1C33">
      <w:pPr>
        <w:ind w:firstLine="643"/>
        <w:rPr>
          <w:rFonts w:hint="eastAsia" w:ascii="仿宋_GB2312" w:hAnsi="仿宋_GB2312" w:eastAsia="仿宋_GB2312" w:cs="仿宋_GB2312"/>
          <w:color w:val="000000" w:themeColor="text1"/>
          <w14:textFill>
            <w14:solidFill>
              <w14:schemeClr w14:val="tx1"/>
            </w14:solidFill>
          </w14:textFill>
        </w:rPr>
      </w:pPr>
      <w:r>
        <w:rPr>
          <w:rFonts w:hint="eastAsia" w:ascii="方正楷体_GBK" w:hAnsi="方正楷体_GBK" w:eastAsia="方正楷体_GBK" w:cs="方正楷体_GBK"/>
          <w:sz w:val="32"/>
        </w:rPr>
        <w:t>（二）支出预算：</w:t>
      </w:r>
      <w:r>
        <w:rPr>
          <w:rFonts w:hint="eastAsia" w:ascii="Times New Roman" w:hAnsi="Times New Roman" w:eastAsia="方正仿宋_GBK" w:cs="仿宋_GB2312"/>
          <w:sz w:val="32"/>
          <w:lang w:eastAsia="zh-CN"/>
        </w:rPr>
        <w:t>2026年年初预算数3603.5万元。其中：社会保障和就业支出265.76万元，卫生健康支出3333.61万元，住房保障支出4.14万元。本年支出较2025年减少852.72万元，主要原因是卫生健康支出减少865.28万元。</w:t>
      </w:r>
    </w:p>
    <w:p w14:paraId="05F6B825">
      <w:pPr>
        <w:pStyle w:val="2"/>
        <w:numPr>
          <w:ilvl w:val="0"/>
          <w:numId w:val="1"/>
        </w:numPr>
        <w:ind w:firstLineChars="0"/>
      </w:pPr>
      <w:r>
        <w:rPr>
          <w:rFonts w:hint="eastAsia"/>
        </w:rPr>
        <w:t>单位预算情况说明</w:t>
      </w:r>
    </w:p>
    <w:p w14:paraId="69A005D5">
      <w:pPr>
        <w:ind w:firstLine="640"/>
        <w:rPr>
          <w:color w:val="000000" w:themeColor="text1"/>
          <w14:textFill>
            <w14:solidFill>
              <w14:schemeClr w14:val="tx1"/>
            </w14:solidFill>
          </w14:textFill>
        </w:rPr>
      </w:pPr>
      <w:r>
        <w:rPr>
          <w:rFonts w:hint="eastAsia"/>
          <w:color w:val="000000" w:themeColor="text1"/>
          <w14:textFill>
            <w14:solidFill>
              <w14:schemeClr w14:val="tx1"/>
            </w14:solidFill>
          </w14:textFill>
        </w:rPr>
        <w:t>2026年一般公共预算财政拨款收入、支出均为603.50万元，较2025年增加147.28万元。其中：基本支出</w:t>
      </w:r>
      <w:r>
        <w:rPr>
          <w:color w:val="000000" w:themeColor="text1"/>
          <w14:textFill>
            <w14:solidFill>
              <w14:schemeClr w14:val="tx1"/>
            </w14:solidFill>
          </w14:textFill>
        </w:rPr>
        <w:t>597.0</w:t>
      </w:r>
      <w:r>
        <w:rPr>
          <w:rFonts w:hint="eastAsia"/>
          <w:color w:val="000000" w:themeColor="text1"/>
          <w14:textFill>
            <w14:solidFill>
              <w14:schemeClr w14:val="tx1"/>
            </w14:solidFill>
          </w14:textFill>
        </w:rPr>
        <w:t>万元，较2025年</w:t>
      </w:r>
      <w:bookmarkStart w:id="0" w:name="_Hlk128644060"/>
      <w:r>
        <w:rPr>
          <w:rFonts w:hint="eastAsia"/>
          <w:color w:val="000000" w:themeColor="text1"/>
          <w14:textFill>
            <w14:solidFill>
              <w14:schemeClr w14:val="tx1"/>
            </w14:solidFill>
          </w14:textFill>
        </w:rPr>
        <w:t>增加</w:t>
      </w:r>
      <w:r>
        <w:rPr>
          <w:color w:val="000000" w:themeColor="text1"/>
          <w14:textFill>
            <w14:solidFill>
              <w14:schemeClr w14:val="tx1"/>
            </w14:solidFill>
          </w14:textFill>
        </w:rPr>
        <w:t>147.28</w:t>
      </w:r>
      <w:r>
        <w:rPr>
          <w:rFonts w:hint="eastAsia"/>
          <w:color w:val="000000" w:themeColor="text1"/>
          <w14:textFill>
            <w14:solidFill>
              <w14:schemeClr w14:val="tx1"/>
            </w14:solidFill>
          </w14:textFill>
        </w:rPr>
        <w:t>万元</w:t>
      </w:r>
      <w:bookmarkEnd w:id="0"/>
      <w:r>
        <w:rPr>
          <w:rFonts w:hint="eastAsia"/>
          <w:color w:val="000000" w:themeColor="text1"/>
          <w14:textFill>
            <w14:solidFill>
              <w14:schemeClr w14:val="tx1"/>
            </w14:solidFill>
          </w14:textFill>
        </w:rPr>
        <w:t>，主要因人员变动，用于保障在职人员工资福利、社会保险缴费及退休人员相关待遇等；项目支出</w:t>
      </w:r>
      <w:r>
        <w:rPr>
          <w:color w:val="000000" w:themeColor="text1"/>
          <w14:textFill>
            <w14:solidFill>
              <w14:schemeClr w14:val="tx1"/>
            </w14:solidFill>
          </w14:textFill>
        </w:rPr>
        <w:t>6.5</w:t>
      </w:r>
      <w:r>
        <w:rPr>
          <w:rFonts w:hint="eastAsia"/>
          <w:color w:val="000000" w:themeColor="text1"/>
          <w14:textFill>
            <w14:solidFill>
              <w14:schemeClr w14:val="tx1"/>
            </w14:solidFill>
          </w14:textFill>
        </w:rPr>
        <w:t>万元，较2025年增加6.5万元，主要为新增残疾人康复项目经费。</w:t>
      </w:r>
    </w:p>
    <w:p w14:paraId="423D01FA">
      <w:pPr>
        <w:ind w:firstLine="640"/>
      </w:pPr>
      <w:r>
        <w:rPr>
          <w:rFonts w:hint="eastAsia"/>
        </w:rPr>
        <w:t>重庆市渝中区七星岗街道社区卫生服务中心2026年无使用政府性基金预算拨款安排的支出</w:t>
      </w:r>
      <w:r>
        <w:t>。</w:t>
      </w:r>
    </w:p>
    <w:p w14:paraId="5E3FB8CF">
      <w:pPr>
        <w:pStyle w:val="2"/>
        <w:numPr>
          <w:ilvl w:val="0"/>
          <w:numId w:val="1"/>
        </w:numPr>
        <w:ind w:firstLineChars="0"/>
      </w:pPr>
      <w:r>
        <w:rPr>
          <w:rFonts w:hint="eastAsia"/>
        </w:rPr>
        <w:t>“三公”经费情况说明</w:t>
      </w:r>
    </w:p>
    <w:p w14:paraId="284EF98C">
      <w:pPr>
        <w:ind w:firstLine="640"/>
      </w:pPr>
      <w:r>
        <w:rPr>
          <w:rFonts w:hint="eastAsia"/>
        </w:rPr>
        <w:t>2026年“三公”经费预算</w:t>
      </w:r>
      <w:r>
        <w:t>0</w:t>
      </w:r>
      <w:r>
        <w:rPr>
          <w:rFonts w:hint="eastAsia"/>
        </w:rPr>
        <w:t>万元，比2025年减少</w:t>
      </w:r>
      <w:r>
        <w:t>0</w:t>
      </w:r>
      <w:r>
        <w:rPr>
          <w:rFonts w:hint="eastAsia"/>
        </w:rPr>
        <w:t>万元。其中：因公出国（境）费用0万元，与2025年持平；公务接待费</w:t>
      </w:r>
      <w:r>
        <w:t>0</w:t>
      </w:r>
      <w:r>
        <w:rPr>
          <w:rFonts w:hint="eastAsia"/>
        </w:rPr>
        <w:t>万元，与2025年持平；公务用车运行维护费</w:t>
      </w:r>
      <w:r>
        <w:t>0</w:t>
      </w:r>
      <w:r>
        <w:rPr>
          <w:rFonts w:hint="eastAsia"/>
        </w:rPr>
        <w:t>万元，与2025年持平；公务用车购置费0万元，与2025年持平。</w:t>
      </w:r>
    </w:p>
    <w:p w14:paraId="6DAFE1B3">
      <w:pPr>
        <w:pStyle w:val="2"/>
        <w:numPr>
          <w:ilvl w:val="0"/>
          <w:numId w:val="1"/>
        </w:numPr>
        <w:ind w:firstLineChars="0"/>
      </w:pPr>
      <w:r>
        <w:rPr>
          <w:rFonts w:hint="eastAsia"/>
        </w:rPr>
        <w:t>其他重要</w:t>
      </w:r>
      <w:r>
        <w:t>事项的情况说明</w:t>
      </w:r>
    </w:p>
    <w:p w14:paraId="547D65FC">
      <w:pPr>
        <w:ind w:firstLine="640"/>
      </w:pPr>
      <w:r>
        <w:rPr>
          <w:rFonts w:hint="eastAsia" w:ascii="方正楷体_GBK" w:hAnsi="方正楷体_GBK" w:eastAsia="方正楷体_GBK" w:cs="方正楷体_GBK"/>
        </w:rPr>
        <w:t>（一）机关运行经费</w:t>
      </w:r>
      <w:r>
        <w:rPr>
          <w:rFonts w:hint="eastAsia"/>
        </w:rPr>
        <w:t>。我单位不在机关运行经费统计范围之内。</w:t>
      </w:r>
    </w:p>
    <w:p w14:paraId="271A726E">
      <w:pPr>
        <w:ind w:firstLine="640"/>
      </w:pPr>
      <w:r>
        <w:rPr>
          <w:rFonts w:hint="eastAsia" w:ascii="方正楷体_GBK" w:hAnsi="方正楷体_GBK" w:eastAsia="方正楷体_GBK" w:cs="方正楷体_GBK"/>
        </w:rPr>
        <w:t>（二）政府采购情况</w:t>
      </w:r>
      <w:r>
        <w:rPr>
          <w:rFonts w:hint="eastAsia"/>
        </w:rPr>
        <w:t>。</w:t>
      </w:r>
      <w:r>
        <w:t>政府采购预</w:t>
      </w:r>
      <w:r>
        <w:rPr>
          <w:rFonts w:hint="eastAsia"/>
        </w:rPr>
        <w:t>算</w:t>
      </w:r>
      <w:r>
        <w:t>总额</w:t>
      </w:r>
      <w:r>
        <w:rPr>
          <w:rFonts w:hint="eastAsia"/>
        </w:rPr>
        <w:t>15.6万元：政府采购货物预算</w:t>
      </w:r>
      <w:r>
        <w:t>15.6</w:t>
      </w:r>
      <w:r>
        <w:rPr>
          <w:rFonts w:hint="eastAsia"/>
        </w:rPr>
        <w:t>万元、政府采购工程预算</w:t>
      </w:r>
      <w:r>
        <w:t>0</w:t>
      </w:r>
      <w:r>
        <w:rPr>
          <w:rFonts w:hint="eastAsia"/>
        </w:rPr>
        <w:t>万元、政府采购服务预算</w:t>
      </w:r>
      <w:r>
        <w:t>0</w:t>
      </w:r>
      <w:r>
        <w:rPr>
          <w:rFonts w:hint="eastAsia"/>
        </w:rPr>
        <w:t>万元；其中一般</w:t>
      </w:r>
      <w:r>
        <w:t>公</w:t>
      </w:r>
      <w:r>
        <w:rPr>
          <w:rFonts w:hint="eastAsia"/>
        </w:rPr>
        <w:t>共预算</w:t>
      </w:r>
      <w:r>
        <w:t>拨款政府采购0</w:t>
      </w:r>
      <w:r>
        <w:rPr>
          <w:rFonts w:hint="eastAsia"/>
        </w:rPr>
        <w:t>万元：政府采购货物预算</w:t>
      </w:r>
      <w:r>
        <w:t>0</w:t>
      </w:r>
      <w:r>
        <w:rPr>
          <w:rFonts w:hint="eastAsia"/>
        </w:rPr>
        <w:t>万元、政府采购工程预算</w:t>
      </w:r>
      <w:r>
        <w:t>0</w:t>
      </w:r>
      <w:r>
        <w:rPr>
          <w:rFonts w:hint="eastAsia"/>
        </w:rPr>
        <w:t>万元、政府采购服务预算</w:t>
      </w:r>
      <w:r>
        <w:t>0</w:t>
      </w:r>
      <w:r>
        <w:rPr>
          <w:rFonts w:hint="eastAsia"/>
        </w:rPr>
        <w:t>万元。</w:t>
      </w:r>
    </w:p>
    <w:p w14:paraId="410D34EB">
      <w:pPr>
        <w:ind w:left="0" w:leftChars="0" w:firstLine="640" w:firstLineChars="200"/>
      </w:pPr>
      <w:r>
        <w:rPr>
          <w:rFonts w:hint="eastAsia" w:ascii="方正楷体_GBK" w:hAnsi="方正楷体_GBK" w:eastAsia="方正楷体_GBK" w:cs="方正楷体_GBK"/>
        </w:rPr>
        <w:t>（三）绩效目标设置情况</w:t>
      </w:r>
      <w:r>
        <w:rPr>
          <w:rFonts w:hint="eastAsia"/>
        </w:rPr>
        <w:t>。2026年项目支出均实行了绩效目标管理，涉及一般公共预算财政拨款</w:t>
      </w:r>
      <w:r>
        <w:rPr>
          <w:rFonts w:hint="eastAsia"/>
          <w:lang w:val="en-US" w:eastAsia="zh-CN"/>
        </w:rPr>
        <w:t>6.5</w:t>
      </w:r>
      <w:r>
        <w:rPr>
          <w:rFonts w:hint="eastAsia"/>
        </w:rPr>
        <w:t>万元。</w:t>
      </w:r>
    </w:p>
    <w:p w14:paraId="1B23067D">
      <w:pPr>
        <w:ind w:firstLine="640"/>
      </w:pPr>
      <w:r>
        <w:rPr>
          <w:rFonts w:hint="eastAsia" w:ascii="方正楷体_GBK" w:hAnsi="方正楷体_GBK" w:eastAsia="方正楷体_GBK" w:cs="方正楷体_GBK"/>
        </w:rPr>
        <w:t>（四）国有资产占有使用情况</w:t>
      </w:r>
      <w:r>
        <w:rPr>
          <w:rFonts w:hint="eastAsia"/>
        </w:rPr>
        <w:t>。</w:t>
      </w:r>
      <w:r>
        <w:rPr>
          <w:rFonts w:hint="eastAsia"/>
          <w:lang w:eastAsia="zh-CN"/>
        </w:rPr>
        <w:t>截至</w:t>
      </w:r>
      <w:r>
        <w:rPr>
          <w:rFonts w:hint="eastAsia"/>
        </w:rPr>
        <w:t>2025年12月，单位共有车辆</w:t>
      </w:r>
      <w:r>
        <w:t>1</w:t>
      </w:r>
      <w:r>
        <w:rPr>
          <w:rFonts w:hint="eastAsia"/>
        </w:rPr>
        <w:t>辆，其中其中一般公务用车0辆、执勤执法用车0辆。2026年一般公共预算安排购置车辆0辆，其中一般公务用车0辆、执勤执法用车0辆。</w:t>
      </w:r>
    </w:p>
    <w:p w14:paraId="2118BAE6">
      <w:pPr>
        <w:pStyle w:val="2"/>
        <w:numPr>
          <w:ilvl w:val="0"/>
          <w:numId w:val="1"/>
        </w:numPr>
        <w:ind w:firstLineChars="0"/>
      </w:pPr>
      <w:r>
        <w:rPr>
          <w:rFonts w:hint="eastAsia"/>
        </w:rPr>
        <w:t>专业性名词解释</w:t>
      </w:r>
    </w:p>
    <w:p w14:paraId="121A6A2C">
      <w:pPr>
        <w:ind w:firstLine="640"/>
      </w:pPr>
      <w:r>
        <w:rPr>
          <w:rFonts w:hint="eastAsia" w:ascii="方正楷体_GBK" w:hAnsi="方正楷体_GBK" w:eastAsia="方正楷体_GBK" w:cs="方正楷体_GBK"/>
        </w:rPr>
        <w:t>（一）财政拨款收入</w:t>
      </w:r>
      <w:r>
        <w:rPr>
          <w:rFonts w:hint="eastAsia"/>
        </w:rPr>
        <w:t>：指本年度从本级财政部门取得的财政拨款，包括一般公共预算财政拨款和政府性基金预算财政拨款。</w:t>
      </w:r>
    </w:p>
    <w:p w14:paraId="6D0A2C7B">
      <w:pPr>
        <w:ind w:firstLine="640"/>
      </w:pPr>
      <w:r>
        <w:rPr>
          <w:rFonts w:hint="eastAsia" w:ascii="方正楷体_GBK" w:hAnsi="方正楷体_GBK" w:eastAsia="方正楷体_GBK" w:cs="方正楷体_GBK"/>
        </w:rPr>
        <w:t>（二）其他收入</w:t>
      </w:r>
      <w:r>
        <w:rPr>
          <w:rFonts w:hint="eastAsia"/>
        </w:rPr>
        <w:t>：指单位取得的除“财政拨款收入”、“事业收入”、“经营收入”等以外的收入。</w:t>
      </w:r>
    </w:p>
    <w:p w14:paraId="2401CB7F">
      <w:pPr>
        <w:ind w:firstLine="640"/>
      </w:pPr>
      <w:r>
        <w:rPr>
          <w:rFonts w:hint="eastAsia" w:ascii="方正楷体_GBK" w:hAnsi="方正楷体_GBK" w:eastAsia="方正楷体_GBK" w:cs="方正楷体_GBK"/>
        </w:rPr>
        <w:t>（三）基本支出</w:t>
      </w:r>
      <w:r>
        <w:rPr>
          <w:rFonts w:hint="eastAsia"/>
        </w:rPr>
        <w:t>：指为保障机构正常运转、完成日常工作任务而发生的人员经费和公用经费。</w:t>
      </w:r>
    </w:p>
    <w:p w14:paraId="059594D8">
      <w:pPr>
        <w:ind w:firstLine="640"/>
      </w:pPr>
      <w:r>
        <w:rPr>
          <w:rFonts w:hint="eastAsia" w:ascii="方正楷体_GBK" w:hAnsi="方正楷体_GBK" w:eastAsia="方正楷体_GBK" w:cs="方正楷体_GBK"/>
        </w:rPr>
        <w:t>（四）项目支出</w:t>
      </w:r>
      <w:r>
        <w:rPr>
          <w:rFonts w:hint="eastAsia"/>
        </w:rPr>
        <w:t>：指在基本支出之外为完成特定行政任务和事业发展目标所发生的支出。</w:t>
      </w:r>
    </w:p>
    <w:p w14:paraId="51A15ED7">
      <w:pPr>
        <w:ind w:firstLine="640"/>
      </w:pPr>
      <w:r>
        <w:rPr>
          <w:rFonts w:hint="eastAsia" w:ascii="方正楷体_GBK" w:hAnsi="方正楷体_GBK" w:eastAsia="方正楷体_GBK" w:cs="方正楷体_GBK"/>
        </w:rPr>
        <w:t>（五）“三公”经费</w:t>
      </w:r>
      <w:r>
        <w:rPr>
          <w:rFonts w:hint="eastAsia"/>
        </w:rPr>
        <w:t>：指用一般公共预算财政拨款安排的因公出国（境）费、公务用车购置及运行维护费、公务接待费。其中，因公出国（境）费反映单位公务出国（境）的国际旅费、国外城市间交通费、住宿费、伙食费、培训费、公杂费等支出；公务用车购置费反映单位公务用车购置支出（含车辆购置税）；公务用车运行维护费反映单位按规定保留的公务用车燃料费、维修费、过路过桥费、保险费、安全奖励费用等支出；公务接待费反映单位按规定开支的各类公务接待（含外宾接待）支出。</w:t>
      </w:r>
    </w:p>
    <w:p w14:paraId="007D2A6E">
      <w:pPr>
        <w:ind w:firstLine="643"/>
        <w:rPr>
          <w:rFonts w:cs="仿宋_GB2312"/>
          <w:b/>
        </w:rPr>
      </w:pPr>
      <w:r>
        <w:rPr>
          <w:rFonts w:hint="eastAsia" w:cs="仿宋_GB2312"/>
          <w:b/>
        </w:rPr>
        <w:t>单位预算公开联系人</w:t>
      </w:r>
      <w:r>
        <w:rPr>
          <w:rFonts w:cs="仿宋_GB2312"/>
          <w:b/>
        </w:rPr>
        <w:t>：</w:t>
      </w:r>
      <w:r>
        <w:rPr>
          <w:rFonts w:hint="eastAsia" w:cs="仿宋_GB2312"/>
          <w:b/>
        </w:rPr>
        <w:t>汪星</w:t>
      </w:r>
      <w:r>
        <w:rPr>
          <w:rFonts w:hint="eastAsia" w:cs="仿宋_GB2312"/>
          <w:b/>
          <w:lang w:val="en-US" w:eastAsia="zh-CN"/>
        </w:rPr>
        <w:t xml:space="preserve"> </w:t>
      </w:r>
      <w:r>
        <w:rPr>
          <w:rFonts w:hint="eastAsia" w:cs="仿宋_GB2312"/>
          <w:b/>
        </w:rPr>
        <w:t>联系方式</w:t>
      </w:r>
      <w:r>
        <w:rPr>
          <w:rFonts w:cs="仿宋_GB2312"/>
          <w:b/>
        </w:rPr>
        <w:t>：</w:t>
      </w:r>
      <w:r>
        <w:rPr>
          <w:rFonts w:hint="eastAsia" w:cs="仿宋_GB2312"/>
          <w:b/>
        </w:rPr>
        <w:t>023-</w:t>
      </w:r>
      <w:r>
        <w:rPr>
          <w:rFonts w:cs="仿宋_GB2312"/>
          <w:b/>
        </w:rPr>
        <w:t>63526982</w:t>
      </w:r>
    </w:p>
    <w:p w14:paraId="61BA1F1B">
      <w:pPr>
        <w:ind w:firstLine="643"/>
        <w:rPr>
          <w:rFonts w:ascii="方正仿宋_GBK"/>
          <w:b/>
        </w:rPr>
      </w:pPr>
    </w:p>
    <w:p w14:paraId="5FC3A3F4">
      <w:pPr>
        <w:ind w:firstLine="643"/>
        <w:rPr>
          <w:rFonts w:ascii="方正仿宋_GBK"/>
          <w:b/>
        </w:rPr>
      </w:pPr>
    </w:p>
    <w:p w14:paraId="2985F5D9">
      <w:pPr>
        <w:ind w:firstLine="643"/>
        <w:rPr>
          <w:rFonts w:ascii="方正仿宋_GBK"/>
          <w:b/>
        </w:rPr>
      </w:pPr>
    </w:p>
    <w:p w14:paraId="6B587ED8">
      <w:pPr>
        <w:ind w:firstLine="643"/>
        <w:rPr>
          <w:rFonts w:hint="eastAsia" w:ascii="仿宋_GB2312" w:hAnsi="仿宋_GB2312" w:eastAsia="仿宋_GB2312" w:cs="仿宋_GB2312"/>
          <w:b/>
        </w:rPr>
      </w:pPr>
    </w:p>
    <w:p w14:paraId="2100C551">
      <w:pPr>
        <w:ind w:firstLine="640"/>
      </w:pPr>
    </w:p>
    <w:sectPr>
      <w:headerReference r:id="rId5" w:type="first"/>
      <w:footerReference r:id="rId8" w:type="first"/>
      <w:footerReference r:id="rId6" w:type="default"/>
      <w:footerReference r:id="rId7" w:type="even"/>
      <w:pgSz w:w="11906" w:h="16838"/>
      <w:pgMar w:top="1985" w:right="1446" w:bottom="1644" w:left="1446" w:header="851" w:footer="1474" w:gutter="0"/>
      <w:pgNumType w:fmt="numberInDash"/>
      <w:cols w:space="425" w:num="1"/>
      <w:docGrid w:type="lines" w:linePitch="435"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panose1 w:val="03000509000000000000"/>
    <w:charset w:val="86"/>
    <w:family w:val="script"/>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仿宋_GB2312">
    <w:altName w:val="仿宋"/>
    <w:panose1 w:val="00000000000000000000"/>
    <w:charset w:val="86"/>
    <w:family w:val="auto"/>
    <w:pitch w:val="default"/>
    <w:sig w:usb0="00000000" w:usb1="00000000" w:usb2="00000000"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130544929"/>
    </w:sdtPr>
    <w:sdtEndPr>
      <w:rPr>
        <w:rFonts w:cs="Times New Roman" w:asciiTheme="minorEastAsia" w:hAnsiTheme="minorEastAsia" w:eastAsiaTheme="minorEastAsia"/>
        <w:sz w:val="28"/>
        <w:szCs w:val="28"/>
      </w:rPr>
    </w:sdtEndPr>
    <w:sdtContent>
      <w:p w14:paraId="56BF98D5">
        <w:pPr>
          <w:pStyle w:val="7"/>
          <w:ind w:firstLine="360"/>
          <w:jc w:val="right"/>
          <w:rPr>
            <w:rFonts w:hint="eastAsia" w:cs="Times New Roman" w:asciiTheme="minorEastAsia" w:hAnsiTheme="minorEastAsia" w:eastAsiaTheme="minorEastAsia"/>
            <w:sz w:val="28"/>
            <w:szCs w:val="28"/>
          </w:rPr>
        </w:pPr>
        <w:r>
          <w:rPr>
            <w:rFonts w:cs="Times New Roman" w:asciiTheme="minorEastAsia" w:hAnsiTheme="minorEastAsia" w:eastAsiaTheme="minorEastAsia"/>
            <w:sz w:val="28"/>
            <w:szCs w:val="28"/>
          </w:rPr>
          <w:fldChar w:fldCharType="begin"/>
        </w:r>
        <w:r>
          <w:rPr>
            <w:rFonts w:cs="Times New Roman" w:asciiTheme="minorEastAsia" w:hAnsiTheme="minorEastAsia" w:eastAsiaTheme="minorEastAsia"/>
            <w:sz w:val="28"/>
            <w:szCs w:val="28"/>
          </w:rPr>
          <w:instrText xml:space="preserve">PAGE   \* MERGEFORMAT</w:instrText>
        </w:r>
        <w:r>
          <w:rPr>
            <w:rFonts w:cs="Times New Roman" w:asciiTheme="minorEastAsia" w:hAnsiTheme="minorEastAsia" w:eastAsiaTheme="minorEastAsia"/>
            <w:sz w:val="28"/>
            <w:szCs w:val="28"/>
          </w:rPr>
          <w:fldChar w:fldCharType="separate"/>
        </w:r>
        <w:r>
          <w:rPr>
            <w:rFonts w:cs="Times New Roman" w:asciiTheme="minorEastAsia" w:hAnsiTheme="minorEastAsia" w:eastAsiaTheme="minorEastAsia"/>
            <w:sz w:val="28"/>
            <w:szCs w:val="28"/>
            <w:lang w:val="zh-CN"/>
          </w:rPr>
          <w:t>2</w:t>
        </w:r>
        <w:r>
          <w:rPr>
            <w:rFonts w:cs="Times New Roman" w:asciiTheme="minorEastAsia" w:hAnsiTheme="minorEastAsia" w:eastAsiaTheme="minorEastAsia"/>
            <w:sz w:val="28"/>
            <w:szCs w:val="28"/>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923104619"/>
    </w:sdtPr>
    <w:sdtEndPr>
      <w:rPr>
        <w:rFonts w:eastAsia="宋体" w:cs="Times New Roman"/>
        <w:sz w:val="28"/>
        <w:szCs w:val="28"/>
      </w:rPr>
    </w:sdtEndPr>
    <w:sdtContent>
      <w:p w14:paraId="1FB2474F">
        <w:pPr>
          <w:pStyle w:val="7"/>
          <w:ind w:firstLine="360"/>
          <w:rPr>
            <w:rFonts w:eastAsia="宋体" w:cs="Times New Roman"/>
            <w:sz w:val="28"/>
            <w:szCs w:val="28"/>
          </w:rPr>
        </w:pPr>
        <w:r>
          <w:rPr>
            <w:rFonts w:cs="Times New Roman" w:asciiTheme="minorEastAsia" w:hAnsiTheme="minorEastAsia" w:eastAsiaTheme="minorEastAsia"/>
            <w:sz w:val="28"/>
            <w:szCs w:val="28"/>
          </w:rPr>
          <w:fldChar w:fldCharType="begin"/>
        </w:r>
        <w:r>
          <w:rPr>
            <w:rFonts w:cs="Times New Roman" w:asciiTheme="minorEastAsia" w:hAnsiTheme="minorEastAsia" w:eastAsiaTheme="minorEastAsia"/>
            <w:sz w:val="28"/>
            <w:szCs w:val="28"/>
          </w:rPr>
          <w:instrText xml:space="preserve">PAGE   \* MERGEFORMAT</w:instrText>
        </w:r>
        <w:r>
          <w:rPr>
            <w:rFonts w:cs="Times New Roman" w:asciiTheme="minorEastAsia" w:hAnsiTheme="minorEastAsia" w:eastAsiaTheme="minorEastAsia"/>
            <w:sz w:val="28"/>
            <w:szCs w:val="28"/>
          </w:rPr>
          <w:fldChar w:fldCharType="separate"/>
        </w:r>
        <w:r>
          <w:rPr>
            <w:rFonts w:cs="Times New Roman" w:asciiTheme="minorEastAsia" w:hAnsiTheme="minorEastAsia" w:eastAsiaTheme="minorEastAsia"/>
            <w:sz w:val="28"/>
            <w:szCs w:val="28"/>
            <w:lang w:val="zh-CN"/>
          </w:rPr>
          <w:t>2</w:t>
        </w:r>
        <w:r>
          <w:rPr>
            <w:rFonts w:cs="Times New Roman" w:asciiTheme="minorEastAsia" w:hAnsiTheme="minorEastAsia" w:eastAsiaTheme="minorEastAsia"/>
            <w:sz w:val="28"/>
            <w:szCs w:val="28"/>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9B47AE">
    <w:pPr>
      <w:pStyle w:val="7"/>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8B817E">
    <w:pPr>
      <w:pStyle w:val="8"/>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78E3B18"/>
    <w:multiLevelType w:val="multilevel"/>
    <w:tmpl w:val="278E3B18"/>
    <w:lvl w:ilvl="0" w:tentative="0">
      <w:start w:val="1"/>
      <w:numFmt w:val="chineseCountingThousand"/>
      <w:suff w:val="nothing"/>
      <w:lvlText w:val="%1、"/>
      <w:lvlJc w:val="left"/>
      <w:pPr>
        <w:ind w:left="1060" w:hanging="420"/>
      </w:pPr>
      <w:rPr>
        <w:rFonts w:hint="eastAsia"/>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1"/>
  <w:bordersDoNotSurroundFooter w:val="1"/>
  <w:documentProtection w:enforcement="0"/>
  <w:defaultTabStop w:val="420"/>
  <w:evenAndOddHeaders w:val="1"/>
  <w:drawingGridHorizontalSpacing w:val="160"/>
  <w:drawingGridVerticalSpacing w:val="435"/>
  <w:displayHorizontalDrawingGridEvery w:val="0"/>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WJkYzEyOGY1NzhhYmVkNDc0ZmU2MzM3MjQ1MDQ1MTAifQ=="/>
  </w:docVars>
  <w:rsids>
    <w:rsidRoot w:val="002A2242"/>
    <w:rsid w:val="00010480"/>
    <w:rsid w:val="0001197D"/>
    <w:rsid w:val="00014A5E"/>
    <w:rsid w:val="000211ED"/>
    <w:rsid w:val="00086278"/>
    <w:rsid w:val="00090138"/>
    <w:rsid w:val="000A245E"/>
    <w:rsid w:val="000B5E6F"/>
    <w:rsid w:val="000C05ED"/>
    <w:rsid w:val="000E3A54"/>
    <w:rsid w:val="000E50D3"/>
    <w:rsid w:val="001044EA"/>
    <w:rsid w:val="00107E3A"/>
    <w:rsid w:val="0018297C"/>
    <w:rsid w:val="00184D7B"/>
    <w:rsid w:val="00190E2E"/>
    <w:rsid w:val="001A7595"/>
    <w:rsid w:val="001B3F52"/>
    <w:rsid w:val="001C6105"/>
    <w:rsid w:val="001C66C9"/>
    <w:rsid w:val="001E2764"/>
    <w:rsid w:val="001F6A27"/>
    <w:rsid w:val="00205316"/>
    <w:rsid w:val="0023700E"/>
    <w:rsid w:val="0024094C"/>
    <w:rsid w:val="00243E3D"/>
    <w:rsid w:val="00244B0E"/>
    <w:rsid w:val="00253772"/>
    <w:rsid w:val="00256238"/>
    <w:rsid w:val="00260483"/>
    <w:rsid w:val="002733A7"/>
    <w:rsid w:val="00281394"/>
    <w:rsid w:val="00291BD0"/>
    <w:rsid w:val="00292099"/>
    <w:rsid w:val="002A06FA"/>
    <w:rsid w:val="002A2242"/>
    <w:rsid w:val="002A59EB"/>
    <w:rsid w:val="002C53BA"/>
    <w:rsid w:val="002C6148"/>
    <w:rsid w:val="002E45B6"/>
    <w:rsid w:val="00300C56"/>
    <w:rsid w:val="00303651"/>
    <w:rsid w:val="00306BE5"/>
    <w:rsid w:val="00307E66"/>
    <w:rsid w:val="00317B2F"/>
    <w:rsid w:val="003355A2"/>
    <w:rsid w:val="00351496"/>
    <w:rsid w:val="00365ADD"/>
    <w:rsid w:val="003741D9"/>
    <w:rsid w:val="0037505E"/>
    <w:rsid w:val="0038441B"/>
    <w:rsid w:val="00396E8A"/>
    <w:rsid w:val="003A19D7"/>
    <w:rsid w:val="003B11E5"/>
    <w:rsid w:val="003E5A10"/>
    <w:rsid w:val="003F6D06"/>
    <w:rsid w:val="00482E73"/>
    <w:rsid w:val="004B0578"/>
    <w:rsid w:val="004B3A36"/>
    <w:rsid w:val="004E389B"/>
    <w:rsid w:val="004F44FE"/>
    <w:rsid w:val="004F6AE0"/>
    <w:rsid w:val="00504BC7"/>
    <w:rsid w:val="00515DA5"/>
    <w:rsid w:val="00522B7A"/>
    <w:rsid w:val="00526767"/>
    <w:rsid w:val="005411C8"/>
    <w:rsid w:val="005418DA"/>
    <w:rsid w:val="0055781B"/>
    <w:rsid w:val="0056131E"/>
    <w:rsid w:val="00563FE7"/>
    <w:rsid w:val="00564CD1"/>
    <w:rsid w:val="00574DFE"/>
    <w:rsid w:val="00577C15"/>
    <w:rsid w:val="00580759"/>
    <w:rsid w:val="00583671"/>
    <w:rsid w:val="005C1677"/>
    <w:rsid w:val="00604DD5"/>
    <w:rsid w:val="00606321"/>
    <w:rsid w:val="00612864"/>
    <w:rsid w:val="0061691F"/>
    <w:rsid w:val="00622761"/>
    <w:rsid w:val="00630F9D"/>
    <w:rsid w:val="006412ED"/>
    <w:rsid w:val="0065049A"/>
    <w:rsid w:val="00656E44"/>
    <w:rsid w:val="006605B6"/>
    <w:rsid w:val="006664F4"/>
    <w:rsid w:val="00684480"/>
    <w:rsid w:val="00691C30"/>
    <w:rsid w:val="00697FF1"/>
    <w:rsid w:val="006B4B01"/>
    <w:rsid w:val="006C3E9F"/>
    <w:rsid w:val="006D1E2F"/>
    <w:rsid w:val="006D57C0"/>
    <w:rsid w:val="006E0CB9"/>
    <w:rsid w:val="00740EAC"/>
    <w:rsid w:val="00755E1D"/>
    <w:rsid w:val="0077080E"/>
    <w:rsid w:val="00784043"/>
    <w:rsid w:val="007A3DF8"/>
    <w:rsid w:val="007B1696"/>
    <w:rsid w:val="007C0AB8"/>
    <w:rsid w:val="007D29CD"/>
    <w:rsid w:val="007F3C9E"/>
    <w:rsid w:val="00802C2F"/>
    <w:rsid w:val="00804FB2"/>
    <w:rsid w:val="008078F1"/>
    <w:rsid w:val="0082485D"/>
    <w:rsid w:val="00825871"/>
    <w:rsid w:val="008334AC"/>
    <w:rsid w:val="00841E07"/>
    <w:rsid w:val="00842AF3"/>
    <w:rsid w:val="00852933"/>
    <w:rsid w:val="00862E86"/>
    <w:rsid w:val="00877AF2"/>
    <w:rsid w:val="0088531C"/>
    <w:rsid w:val="00891475"/>
    <w:rsid w:val="00892506"/>
    <w:rsid w:val="008A46C9"/>
    <w:rsid w:val="008A6D33"/>
    <w:rsid w:val="008A7020"/>
    <w:rsid w:val="008A76EC"/>
    <w:rsid w:val="008A7AA0"/>
    <w:rsid w:val="008B1AA9"/>
    <w:rsid w:val="008B2CB0"/>
    <w:rsid w:val="008B34A3"/>
    <w:rsid w:val="008D0FBA"/>
    <w:rsid w:val="008D3832"/>
    <w:rsid w:val="008D4F59"/>
    <w:rsid w:val="008E34F1"/>
    <w:rsid w:val="008F34E8"/>
    <w:rsid w:val="008F683C"/>
    <w:rsid w:val="00914AE4"/>
    <w:rsid w:val="009275BC"/>
    <w:rsid w:val="00945E51"/>
    <w:rsid w:val="00952CBF"/>
    <w:rsid w:val="00957192"/>
    <w:rsid w:val="00966A68"/>
    <w:rsid w:val="00992494"/>
    <w:rsid w:val="00996964"/>
    <w:rsid w:val="009A601E"/>
    <w:rsid w:val="009B6638"/>
    <w:rsid w:val="009C6725"/>
    <w:rsid w:val="009C75D0"/>
    <w:rsid w:val="009D6C56"/>
    <w:rsid w:val="00A0557B"/>
    <w:rsid w:val="00A2120A"/>
    <w:rsid w:val="00A2232B"/>
    <w:rsid w:val="00A4633F"/>
    <w:rsid w:val="00A558E9"/>
    <w:rsid w:val="00A66D8D"/>
    <w:rsid w:val="00A70A9C"/>
    <w:rsid w:val="00A73A84"/>
    <w:rsid w:val="00A82215"/>
    <w:rsid w:val="00A91AF4"/>
    <w:rsid w:val="00AA26EC"/>
    <w:rsid w:val="00AB02B0"/>
    <w:rsid w:val="00AC746B"/>
    <w:rsid w:val="00AE2343"/>
    <w:rsid w:val="00AF2E9A"/>
    <w:rsid w:val="00AF61EC"/>
    <w:rsid w:val="00B07E9E"/>
    <w:rsid w:val="00B50B21"/>
    <w:rsid w:val="00B566B1"/>
    <w:rsid w:val="00B573B7"/>
    <w:rsid w:val="00B57CF7"/>
    <w:rsid w:val="00B837A5"/>
    <w:rsid w:val="00B8743E"/>
    <w:rsid w:val="00B9279D"/>
    <w:rsid w:val="00B932AC"/>
    <w:rsid w:val="00B95BA9"/>
    <w:rsid w:val="00BB010C"/>
    <w:rsid w:val="00BC0020"/>
    <w:rsid w:val="00BC1777"/>
    <w:rsid w:val="00BC3382"/>
    <w:rsid w:val="00BC7A4D"/>
    <w:rsid w:val="00BE6DAD"/>
    <w:rsid w:val="00BF1495"/>
    <w:rsid w:val="00BF1867"/>
    <w:rsid w:val="00BF3A96"/>
    <w:rsid w:val="00C24A20"/>
    <w:rsid w:val="00C32DED"/>
    <w:rsid w:val="00C43142"/>
    <w:rsid w:val="00C44AEF"/>
    <w:rsid w:val="00C5745C"/>
    <w:rsid w:val="00C625DD"/>
    <w:rsid w:val="00C65045"/>
    <w:rsid w:val="00C82EE2"/>
    <w:rsid w:val="00C90936"/>
    <w:rsid w:val="00CC2AF3"/>
    <w:rsid w:val="00CC573B"/>
    <w:rsid w:val="00D30266"/>
    <w:rsid w:val="00D305DB"/>
    <w:rsid w:val="00D32219"/>
    <w:rsid w:val="00D64D08"/>
    <w:rsid w:val="00D82BA5"/>
    <w:rsid w:val="00D90F6F"/>
    <w:rsid w:val="00DD3D1A"/>
    <w:rsid w:val="00DD7E15"/>
    <w:rsid w:val="00E716FC"/>
    <w:rsid w:val="00E71F2C"/>
    <w:rsid w:val="00E73C0D"/>
    <w:rsid w:val="00E83282"/>
    <w:rsid w:val="00E86443"/>
    <w:rsid w:val="00EA6086"/>
    <w:rsid w:val="00EB1511"/>
    <w:rsid w:val="00EB57D4"/>
    <w:rsid w:val="00EC4FBF"/>
    <w:rsid w:val="00EC7A4E"/>
    <w:rsid w:val="00EF0651"/>
    <w:rsid w:val="00F044C0"/>
    <w:rsid w:val="00F11525"/>
    <w:rsid w:val="00F323A7"/>
    <w:rsid w:val="00F43640"/>
    <w:rsid w:val="00F57D3D"/>
    <w:rsid w:val="00F71977"/>
    <w:rsid w:val="00F827D9"/>
    <w:rsid w:val="00F90F9B"/>
    <w:rsid w:val="00FC36CB"/>
    <w:rsid w:val="00FD1851"/>
    <w:rsid w:val="00FE20EA"/>
    <w:rsid w:val="00FF0E83"/>
    <w:rsid w:val="00FF4599"/>
    <w:rsid w:val="471C04E2"/>
    <w:rsid w:val="47A11414"/>
    <w:rsid w:val="5FA8658E"/>
    <w:rsid w:val="5FFC1791"/>
    <w:rsid w:val="6AE84F10"/>
    <w:rsid w:val="7103100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594" w:lineRule="exact"/>
      <w:ind w:firstLine="200" w:firstLineChars="200"/>
      <w:jc w:val="both"/>
    </w:pPr>
    <w:rPr>
      <w:rFonts w:ascii="Times New Roman" w:hAnsi="Times New Roman" w:eastAsia="方正仿宋_GBK" w:cstheme="minorBidi"/>
      <w:kern w:val="2"/>
      <w:sz w:val="32"/>
      <w:szCs w:val="22"/>
      <w:lang w:val="en-US" w:eastAsia="zh-CN" w:bidi="ar-SA"/>
    </w:rPr>
  </w:style>
  <w:style w:type="paragraph" w:styleId="2">
    <w:name w:val="heading 1"/>
    <w:basedOn w:val="1"/>
    <w:next w:val="1"/>
    <w:link w:val="19"/>
    <w:qFormat/>
    <w:uiPriority w:val="9"/>
    <w:pPr>
      <w:keepNext/>
      <w:keepLines/>
      <w:jc w:val="left"/>
      <w:outlineLvl w:val="0"/>
    </w:pPr>
    <w:rPr>
      <w:rFonts w:eastAsia="方正黑体_GBK"/>
      <w:bCs/>
      <w:kern w:val="44"/>
      <w:szCs w:val="44"/>
    </w:rPr>
  </w:style>
  <w:style w:type="paragraph" w:styleId="3">
    <w:name w:val="heading 2"/>
    <w:basedOn w:val="1"/>
    <w:next w:val="1"/>
    <w:link w:val="16"/>
    <w:autoRedefine/>
    <w:unhideWhenUsed/>
    <w:qFormat/>
    <w:uiPriority w:val="9"/>
    <w:pPr>
      <w:keepNext/>
      <w:keepLines/>
      <w:outlineLvl w:val="1"/>
    </w:pPr>
    <w:rPr>
      <w:rFonts w:eastAsia="方正楷体_GBK" w:cstheme="majorBidi"/>
      <w:bCs/>
      <w:szCs w:val="32"/>
    </w:rPr>
  </w:style>
  <w:style w:type="paragraph" w:styleId="4">
    <w:name w:val="heading 3"/>
    <w:basedOn w:val="1"/>
    <w:next w:val="1"/>
    <w:link w:val="17"/>
    <w:unhideWhenUsed/>
    <w:qFormat/>
    <w:uiPriority w:val="9"/>
    <w:pPr>
      <w:keepNext/>
      <w:keepLines/>
      <w:outlineLvl w:val="2"/>
    </w:pPr>
    <w:rPr>
      <w:b/>
      <w:bCs/>
      <w:szCs w:val="32"/>
    </w:rPr>
  </w:style>
  <w:style w:type="paragraph" w:styleId="5">
    <w:name w:val="heading 4"/>
    <w:basedOn w:val="1"/>
    <w:next w:val="1"/>
    <w:link w:val="22"/>
    <w:semiHidden/>
    <w:unhideWhenUsed/>
    <w:qFormat/>
    <w:uiPriority w:val="9"/>
    <w:pPr>
      <w:keepNext/>
      <w:keepLines/>
      <w:outlineLvl w:val="3"/>
    </w:pPr>
    <w:rPr>
      <w:rFonts w:cstheme="majorBidi"/>
      <w:b/>
      <w:bCs/>
      <w:szCs w:val="28"/>
    </w:rPr>
  </w:style>
  <w:style w:type="character" w:default="1" w:styleId="12">
    <w:name w:val="Default Paragraph Font"/>
    <w:semiHidden/>
    <w:unhideWhenUsed/>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6">
    <w:name w:val="Date"/>
    <w:basedOn w:val="1"/>
    <w:next w:val="1"/>
    <w:link w:val="20"/>
    <w:autoRedefine/>
    <w:semiHidden/>
    <w:unhideWhenUsed/>
    <w:uiPriority w:val="99"/>
    <w:pPr>
      <w:ind w:left="100" w:leftChars="2500"/>
    </w:pPr>
  </w:style>
  <w:style w:type="paragraph" w:styleId="7">
    <w:name w:val="footer"/>
    <w:basedOn w:val="1"/>
    <w:link w:val="15"/>
    <w:autoRedefine/>
    <w:unhideWhenUsed/>
    <w:qFormat/>
    <w:uiPriority w:val="99"/>
    <w:pPr>
      <w:tabs>
        <w:tab w:val="center" w:pos="4153"/>
        <w:tab w:val="right" w:pos="8306"/>
      </w:tabs>
      <w:snapToGrid w:val="0"/>
      <w:jc w:val="left"/>
    </w:pPr>
    <w:rPr>
      <w:sz w:val="18"/>
      <w:szCs w:val="18"/>
    </w:rPr>
  </w:style>
  <w:style w:type="paragraph" w:styleId="8">
    <w:name w:val="header"/>
    <w:link w:val="14"/>
    <w:unhideWhenUsed/>
    <w:qFormat/>
    <w:uiPriority w:val="99"/>
    <w:pPr>
      <w:pBdr>
        <w:bottom w:val="single" w:color="auto" w:sz="6" w:space="1"/>
      </w:pBdr>
      <w:tabs>
        <w:tab w:val="center" w:pos="4153"/>
        <w:tab w:val="right" w:pos="8306"/>
      </w:tabs>
      <w:snapToGrid w:val="0"/>
      <w:jc w:val="center"/>
    </w:pPr>
    <w:rPr>
      <w:rFonts w:ascii="Times New Roman" w:hAnsi="Times New Roman" w:eastAsia="方正仿宋_GBK" w:cstheme="minorBidi"/>
      <w:kern w:val="2"/>
      <w:sz w:val="18"/>
      <w:szCs w:val="18"/>
      <w:lang w:val="en-US" w:eastAsia="zh-CN" w:bidi="ar-SA"/>
    </w:rPr>
  </w:style>
  <w:style w:type="paragraph" w:styleId="9">
    <w:name w:val="Normal (Web)"/>
    <w:basedOn w:val="1"/>
    <w:autoRedefine/>
    <w:unhideWhenUsed/>
    <w:qFormat/>
    <w:uiPriority w:val="99"/>
    <w:pPr>
      <w:widowControl/>
      <w:spacing w:before="100" w:beforeAutospacing="1" w:after="100" w:afterAutospacing="1" w:line="240" w:lineRule="auto"/>
      <w:ind w:firstLine="0" w:firstLineChars="0"/>
      <w:jc w:val="left"/>
    </w:pPr>
    <w:rPr>
      <w:rFonts w:ascii="宋体" w:hAnsi="宋体" w:eastAsia="宋体" w:cs="宋体"/>
      <w:kern w:val="0"/>
      <w:sz w:val="24"/>
      <w:szCs w:val="24"/>
    </w:rPr>
  </w:style>
  <w:style w:type="paragraph" w:styleId="10">
    <w:name w:val="Title"/>
    <w:basedOn w:val="1"/>
    <w:next w:val="1"/>
    <w:link w:val="23"/>
    <w:autoRedefine/>
    <w:qFormat/>
    <w:uiPriority w:val="10"/>
    <w:pPr>
      <w:ind w:firstLine="0" w:firstLineChars="0"/>
      <w:jc w:val="center"/>
      <w:outlineLvl w:val="0"/>
    </w:pPr>
    <w:rPr>
      <w:rFonts w:eastAsia="方正小标宋_GBK" w:cstheme="majorBidi"/>
      <w:bCs/>
      <w:sz w:val="44"/>
      <w:szCs w:val="32"/>
    </w:rPr>
  </w:style>
  <w:style w:type="character" w:styleId="13">
    <w:name w:val="Hyperlink"/>
    <w:basedOn w:val="12"/>
    <w:unhideWhenUsed/>
    <w:qFormat/>
    <w:uiPriority w:val="99"/>
    <w:rPr>
      <w:color w:val="0000FF" w:themeColor="hyperlink"/>
      <w:u w:val="single"/>
      <w14:textFill>
        <w14:solidFill>
          <w14:schemeClr w14:val="hlink"/>
        </w14:solidFill>
      </w14:textFill>
    </w:rPr>
  </w:style>
  <w:style w:type="character" w:customStyle="1" w:styleId="14">
    <w:name w:val="页眉 字符"/>
    <w:basedOn w:val="12"/>
    <w:link w:val="8"/>
    <w:qFormat/>
    <w:uiPriority w:val="99"/>
    <w:rPr>
      <w:rFonts w:ascii="Times New Roman" w:hAnsi="Times New Roman" w:eastAsia="方正仿宋_GBK"/>
      <w:sz w:val="18"/>
      <w:szCs w:val="18"/>
    </w:rPr>
  </w:style>
  <w:style w:type="character" w:customStyle="1" w:styleId="15">
    <w:name w:val="页脚 字符"/>
    <w:basedOn w:val="12"/>
    <w:link w:val="7"/>
    <w:autoRedefine/>
    <w:qFormat/>
    <w:uiPriority w:val="99"/>
    <w:rPr>
      <w:sz w:val="18"/>
      <w:szCs w:val="18"/>
    </w:rPr>
  </w:style>
  <w:style w:type="character" w:customStyle="1" w:styleId="16">
    <w:name w:val="标题 2 字符"/>
    <w:basedOn w:val="12"/>
    <w:link w:val="3"/>
    <w:qFormat/>
    <w:uiPriority w:val="9"/>
    <w:rPr>
      <w:rFonts w:ascii="Times New Roman" w:hAnsi="Times New Roman" w:eastAsia="方正楷体_GBK" w:cstheme="majorBidi"/>
      <w:bCs/>
      <w:sz w:val="32"/>
      <w:szCs w:val="32"/>
    </w:rPr>
  </w:style>
  <w:style w:type="character" w:customStyle="1" w:styleId="17">
    <w:name w:val="标题 3 字符"/>
    <w:basedOn w:val="12"/>
    <w:link w:val="4"/>
    <w:uiPriority w:val="9"/>
    <w:rPr>
      <w:rFonts w:ascii="Times New Roman" w:hAnsi="Times New Roman" w:eastAsia="方正仿宋_GBK"/>
      <w:b/>
      <w:bCs/>
      <w:sz w:val="32"/>
      <w:szCs w:val="32"/>
    </w:rPr>
  </w:style>
  <w:style w:type="paragraph" w:styleId="18">
    <w:name w:val="List Paragraph"/>
    <w:basedOn w:val="1"/>
    <w:autoRedefine/>
    <w:qFormat/>
    <w:uiPriority w:val="34"/>
    <w:pPr>
      <w:ind w:firstLine="420"/>
    </w:pPr>
  </w:style>
  <w:style w:type="character" w:customStyle="1" w:styleId="19">
    <w:name w:val="标题 1 字符"/>
    <w:basedOn w:val="12"/>
    <w:link w:val="2"/>
    <w:qFormat/>
    <w:uiPriority w:val="9"/>
    <w:rPr>
      <w:rFonts w:ascii="Times New Roman" w:hAnsi="Times New Roman" w:eastAsia="方正黑体_GBK"/>
      <w:bCs/>
      <w:kern w:val="44"/>
      <w:sz w:val="32"/>
      <w:szCs w:val="44"/>
    </w:rPr>
  </w:style>
  <w:style w:type="character" w:customStyle="1" w:styleId="20">
    <w:name w:val="日期 字符"/>
    <w:basedOn w:val="12"/>
    <w:link w:val="6"/>
    <w:semiHidden/>
    <w:uiPriority w:val="99"/>
    <w:rPr>
      <w:rFonts w:eastAsia="方正仿宋_GBK"/>
      <w:sz w:val="32"/>
    </w:rPr>
  </w:style>
  <w:style w:type="character" w:customStyle="1" w:styleId="21">
    <w:name w:val="未处理的提及1"/>
    <w:basedOn w:val="12"/>
    <w:autoRedefine/>
    <w:semiHidden/>
    <w:unhideWhenUsed/>
    <w:qFormat/>
    <w:uiPriority w:val="99"/>
    <w:rPr>
      <w:color w:val="605E5C"/>
      <w:shd w:val="clear" w:color="auto" w:fill="E1DFDD"/>
    </w:rPr>
  </w:style>
  <w:style w:type="character" w:customStyle="1" w:styleId="22">
    <w:name w:val="标题 4 字符"/>
    <w:basedOn w:val="12"/>
    <w:link w:val="5"/>
    <w:autoRedefine/>
    <w:semiHidden/>
    <w:qFormat/>
    <w:uiPriority w:val="9"/>
    <w:rPr>
      <w:rFonts w:ascii="Times New Roman" w:hAnsi="Times New Roman" w:eastAsia="方正仿宋_GBK" w:cstheme="majorBidi"/>
      <w:b/>
      <w:bCs/>
      <w:sz w:val="32"/>
      <w:szCs w:val="28"/>
    </w:rPr>
  </w:style>
  <w:style w:type="character" w:customStyle="1" w:styleId="23">
    <w:name w:val="标题 字符"/>
    <w:basedOn w:val="12"/>
    <w:link w:val="10"/>
    <w:autoRedefine/>
    <w:qFormat/>
    <w:uiPriority w:val="10"/>
    <w:rPr>
      <w:rFonts w:ascii="Times New Roman" w:hAnsi="Times New Roman" w:eastAsia="方正小标宋_GBK" w:cstheme="majorBidi"/>
      <w:bCs/>
      <w:sz w:val="44"/>
      <w:szCs w:val="32"/>
    </w:rPr>
  </w:style>
  <w:style w:type="paragraph" w:customStyle="1" w:styleId="24">
    <w:name w:val="_Style 23"/>
    <w:basedOn w:val="1"/>
    <w:next w:val="18"/>
    <w:autoRedefine/>
    <w:qFormat/>
    <w:uiPriority w:val="34"/>
    <w:pPr>
      <w:spacing w:line="240" w:lineRule="auto"/>
      <w:ind w:firstLine="420"/>
    </w:pPr>
    <w:rPr>
      <w:rFonts w:eastAsia="宋体" w:cs="Times New Roman"/>
      <w:sz w:val="21"/>
    </w:rPr>
  </w:style>
  <w:style w:type="paragraph" w:styleId="25">
    <w:name w:val="No Spacing"/>
    <w:link w:val="26"/>
    <w:autoRedefine/>
    <w:qFormat/>
    <w:uiPriority w:val="1"/>
    <w:rPr>
      <w:rFonts w:asciiTheme="minorHAnsi" w:hAnsiTheme="minorHAnsi" w:eastAsiaTheme="minorEastAsia" w:cstheme="minorBidi"/>
      <w:sz w:val="22"/>
      <w:szCs w:val="22"/>
      <w:lang w:val="en-US" w:eastAsia="zh-CN" w:bidi="ar-SA"/>
    </w:rPr>
  </w:style>
  <w:style w:type="character" w:customStyle="1" w:styleId="26">
    <w:name w:val="无间隔 字符"/>
    <w:basedOn w:val="12"/>
    <w:link w:val="25"/>
    <w:autoRedefine/>
    <w:uiPriority w:val="1"/>
    <w:rPr>
      <w:kern w:val="0"/>
      <w:sz w:val="22"/>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74B9A7-17BB-484E-AA77-AA1465E0D882}">
  <ds:schemaRefs/>
</ds:datastoreItem>
</file>

<file path=docProps/app.xml><?xml version="1.0" encoding="utf-8"?>
<Properties xmlns="http://schemas.openxmlformats.org/officeDocument/2006/extended-properties" xmlns:vt="http://schemas.openxmlformats.org/officeDocument/2006/docPropsVTypes">
  <Template>Normal</Template>
  <Pages>5</Pages>
  <Words>1923</Words>
  <Characters>2091</Characters>
  <Lines>48</Lines>
  <Paragraphs>25</Paragraphs>
  <TotalTime>13</TotalTime>
  <ScaleCrop>false</ScaleCrop>
  <LinksUpToDate>false</LinksUpToDate>
  <CharactersWithSpaces>2092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2026-02-10T09:44:00Z</dcterms:created>
  <dc:creator>User</dc:creator>
  <cp:lastModifiedBy>郝放</cp:lastModifiedBy>
  <dcterms:modified xsi:type="dcterms:W3CDTF">2026-07-06T07:53:02Z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7B864936933E409A8593736A7DC91C54_12</vt:lpwstr>
  </property>
  <property fmtid="{D5CDD505-2E9C-101B-9397-08002B2CF9AE}" pid="4" name="KSOTemplateDocerSaveRecord">
    <vt:lpwstr>eyJoZGlkIjoiNzRmMjFhMGE2MzcwOGNhMGUyZjIwMDRkMGY2YTZmMWIiLCJ1c2VySWQiOiIxNTg3NDY0MjQ2In0=</vt:lpwstr>
  </property>
</Properties>
</file>