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1A289" w14:textId="77777777" w:rsidR="00D400AF" w:rsidRDefault="00D400AF">
      <w:pPr>
        <w:widowControl w:val="0"/>
        <w:spacing w:line="660" w:lineRule="exact"/>
        <w:jc w:val="center"/>
        <w:textAlignment w:val="auto"/>
        <w:rPr>
          <w:rFonts w:eastAsia="方正仿宋_GBK"/>
          <w:sz w:val="32"/>
          <w:szCs w:val="32"/>
        </w:rPr>
      </w:pPr>
    </w:p>
    <w:p w14:paraId="3C151758" w14:textId="77777777" w:rsidR="00D400AF" w:rsidRDefault="00D400AF">
      <w:pPr>
        <w:widowControl w:val="0"/>
        <w:spacing w:line="660" w:lineRule="exact"/>
        <w:jc w:val="center"/>
        <w:textAlignment w:val="auto"/>
        <w:rPr>
          <w:rFonts w:eastAsia="方正仿宋_GBK"/>
          <w:sz w:val="32"/>
          <w:szCs w:val="32"/>
        </w:rPr>
      </w:pPr>
    </w:p>
    <w:p w14:paraId="102D5FF1" w14:textId="77777777" w:rsidR="00D400AF" w:rsidRDefault="00000000">
      <w:pPr>
        <w:widowControl w:val="0"/>
        <w:spacing w:line="660" w:lineRule="exact"/>
        <w:jc w:val="center"/>
        <w:textAlignment w:val="auto"/>
        <w:rPr>
          <w:rFonts w:eastAsia="方正仿宋_GBK"/>
          <w:color w:val="000000" w:themeColor="text1"/>
          <w:sz w:val="32"/>
          <w:szCs w:val="32"/>
        </w:rPr>
      </w:pPr>
      <w:bookmarkStart w:id="0" w:name="fwz"/>
      <w:bookmarkStart w:id="1" w:name="nd"/>
      <w:bookmarkStart w:id="2" w:name="bh"/>
      <w:bookmarkEnd w:id="0"/>
      <w:bookmarkEnd w:id="1"/>
      <w:bookmarkEnd w:id="2"/>
      <w:r>
        <w:rPr>
          <w:rFonts w:eastAsia="方正仿宋_GBK"/>
          <w:color w:val="000000" w:themeColor="text1"/>
          <w:sz w:val="32"/>
          <w:szCs w:val="32"/>
        </w:rPr>
        <w:t>渝中府办〔</w:t>
      </w:r>
      <w:r>
        <w:rPr>
          <w:rFonts w:eastAsia="方正仿宋_GBK"/>
          <w:color w:val="000000" w:themeColor="text1"/>
          <w:sz w:val="32"/>
          <w:szCs w:val="32"/>
        </w:rPr>
        <w:t>202</w:t>
      </w:r>
      <w:r>
        <w:rPr>
          <w:rFonts w:eastAsia="方正仿宋_GBK" w:hint="eastAsia"/>
          <w:color w:val="000000" w:themeColor="text1"/>
          <w:sz w:val="32"/>
          <w:szCs w:val="32"/>
        </w:rPr>
        <w:t>4</w:t>
      </w:r>
      <w:r>
        <w:rPr>
          <w:rFonts w:eastAsia="方正仿宋_GBK"/>
          <w:color w:val="000000" w:themeColor="text1"/>
          <w:sz w:val="32"/>
          <w:szCs w:val="32"/>
        </w:rPr>
        <w:t>〕</w:t>
      </w:r>
      <w:r>
        <w:rPr>
          <w:rFonts w:eastAsia="方正仿宋_GBK" w:hint="eastAsia"/>
          <w:color w:val="000000" w:themeColor="text1"/>
          <w:sz w:val="32"/>
          <w:szCs w:val="32"/>
        </w:rPr>
        <w:t>39</w:t>
      </w:r>
      <w:r>
        <w:rPr>
          <w:rFonts w:eastAsia="方正仿宋_GBK"/>
          <w:color w:val="000000" w:themeColor="text1"/>
          <w:sz w:val="32"/>
          <w:szCs w:val="32"/>
        </w:rPr>
        <w:t>号</w:t>
      </w:r>
    </w:p>
    <w:p w14:paraId="37C65347" w14:textId="77777777" w:rsidR="00D400AF" w:rsidRDefault="00D400AF">
      <w:pPr>
        <w:widowControl w:val="0"/>
        <w:overflowPunct w:val="0"/>
        <w:spacing w:line="660" w:lineRule="exact"/>
        <w:jc w:val="center"/>
        <w:textAlignment w:val="auto"/>
        <w:rPr>
          <w:rFonts w:eastAsia="方正仿宋_GBK"/>
          <w:color w:val="000000" w:themeColor="text1"/>
          <w:sz w:val="32"/>
          <w:szCs w:val="32"/>
        </w:rPr>
      </w:pPr>
    </w:p>
    <w:p w14:paraId="4E75A382" w14:textId="77777777" w:rsidR="00D400AF" w:rsidRDefault="00000000">
      <w:pPr>
        <w:widowControl w:val="0"/>
        <w:spacing w:line="594" w:lineRule="exact"/>
        <w:jc w:val="center"/>
        <w:textAlignment w:val="auto"/>
        <w:rPr>
          <w:rFonts w:eastAsia="方正小标宋_GBK"/>
          <w:sz w:val="44"/>
          <w:szCs w:val="44"/>
        </w:rPr>
      </w:pPr>
      <w:r>
        <w:rPr>
          <w:rFonts w:eastAsia="方正小标宋_GBK"/>
          <w:sz w:val="44"/>
          <w:szCs w:val="44"/>
        </w:rPr>
        <w:t>重庆市渝中区人民政府办公室</w:t>
      </w:r>
    </w:p>
    <w:p w14:paraId="120E8E77" w14:textId="77777777" w:rsidR="00D400AF" w:rsidRDefault="00000000">
      <w:pPr>
        <w:pStyle w:val="1"/>
        <w:widowControl w:val="0"/>
        <w:adjustRightInd/>
        <w:spacing w:line="594" w:lineRule="exact"/>
        <w:textAlignment w:val="auto"/>
      </w:pPr>
      <w:r>
        <w:rPr>
          <w:szCs w:val="44"/>
        </w:rPr>
        <w:t>关于印发</w:t>
      </w:r>
      <w:r>
        <w:t>重庆市渝中区公共卫生能力提升</w:t>
      </w:r>
    </w:p>
    <w:p w14:paraId="537C35B5" w14:textId="77777777" w:rsidR="00D400AF" w:rsidRDefault="00000000">
      <w:pPr>
        <w:pStyle w:val="1"/>
        <w:widowControl w:val="0"/>
        <w:adjustRightInd/>
        <w:spacing w:line="594" w:lineRule="exact"/>
        <w:textAlignment w:val="auto"/>
        <w:rPr>
          <w:szCs w:val="44"/>
        </w:rPr>
      </w:pPr>
      <w:r>
        <w:t>行动计划（</w:t>
      </w:r>
      <w:r>
        <w:t>202</w:t>
      </w:r>
      <w:r>
        <w:rPr>
          <w:rFonts w:hint="eastAsia"/>
        </w:rPr>
        <w:t>4</w:t>
      </w:r>
      <w:r>
        <w:t>—2025</w:t>
      </w:r>
      <w:r>
        <w:t>年）</w:t>
      </w:r>
      <w:r>
        <w:rPr>
          <w:szCs w:val="44"/>
        </w:rPr>
        <w:t>的通知</w:t>
      </w:r>
    </w:p>
    <w:p w14:paraId="5F254FB9" w14:textId="77777777" w:rsidR="00D400AF" w:rsidRDefault="00D400AF">
      <w:pPr>
        <w:pStyle w:val="a9"/>
        <w:widowControl w:val="0"/>
        <w:overflowPunct w:val="0"/>
        <w:spacing w:before="0" w:after="0" w:line="620" w:lineRule="exact"/>
        <w:jc w:val="both"/>
        <w:textAlignment w:val="auto"/>
        <w:rPr>
          <w:rFonts w:ascii="Times New Roman" w:hAnsi="Times New Roman"/>
        </w:rPr>
      </w:pPr>
    </w:p>
    <w:p w14:paraId="3570466C" w14:textId="77777777" w:rsidR="00D400AF" w:rsidRDefault="00000000">
      <w:pPr>
        <w:widowControl w:val="0"/>
        <w:overflowPunct w:val="0"/>
        <w:spacing w:line="620" w:lineRule="exact"/>
        <w:textAlignment w:val="auto"/>
        <w:rPr>
          <w:rFonts w:eastAsia="方正仿宋_GBK"/>
          <w:color w:val="000000" w:themeColor="text1"/>
          <w:sz w:val="32"/>
          <w:szCs w:val="32"/>
        </w:rPr>
      </w:pPr>
      <w:r>
        <w:rPr>
          <w:rFonts w:eastAsia="方正仿宋_GBK"/>
          <w:color w:val="000000" w:themeColor="text1"/>
          <w:sz w:val="32"/>
          <w:szCs w:val="32"/>
        </w:rPr>
        <w:t>区政府各部门、各管委会，各街道办事处，有关单位：</w:t>
      </w:r>
    </w:p>
    <w:p w14:paraId="2F4A6B63" w14:textId="77777777" w:rsidR="00D400AF" w:rsidRDefault="00000000">
      <w:pPr>
        <w:widowControl w:val="0"/>
        <w:spacing w:line="594" w:lineRule="exact"/>
        <w:ind w:firstLineChars="200" w:firstLine="640"/>
        <w:textAlignment w:val="auto"/>
        <w:rPr>
          <w:rFonts w:eastAsia="方正仿宋_GBK"/>
          <w:sz w:val="32"/>
          <w:szCs w:val="32"/>
        </w:rPr>
      </w:pPr>
      <w:r>
        <w:rPr>
          <w:rFonts w:eastAsia="方正仿宋_GBK"/>
          <w:sz w:val="32"/>
          <w:szCs w:val="32"/>
        </w:rPr>
        <w:t>《重庆市渝中区公共卫生能力提升行动计划（</w:t>
      </w:r>
      <w:r>
        <w:rPr>
          <w:rFonts w:eastAsia="方正仿宋_GBK"/>
          <w:sz w:val="32"/>
          <w:szCs w:val="32"/>
        </w:rPr>
        <w:t>2024—2025</w:t>
      </w:r>
      <w:r>
        <w:rPr>
          <w:rFonts w:eastAsia="方正仿宋_GBK"/>
          <w:sz w:val="32"/>
          <w:szCs w:val="32"/>
        </w:rPr>
        <w:t>年）》</w:t>
      </w:r>
      <w:r>
        <w:rPr>
          <w:rFonts w:eastAsia="方正仿宋_GBK"/>
          <w:color w:val="000000"/>
          <w:sz w:val="32"/>
          <w:szCs w:val="32"/>
        </w:rPr>
        <w:t>已</w:t>
      </w:r>
      <w:r>
        <w:rPr>
          <w:rFonts w:eastAsia="方正仿宋_GBK"/>
          <w:sz w:val="32"/>
          <w:szCs w:val="32"/>
        </w:rPr>
        <w:t>经区政府领导同意，现印发给你们，请认真贯彻执行。</w:t>
      </w:r>
    </w:p>
    <w:p w14:paraId="550679C0" w14:textId="77777777" w:rsidR="00D400AF" w:rsidRDefault="00D400AF">
      <w:pPr>
        <w:pStyle w:val="a5"/>
        <w:widowControl w:val="0"/>
        <w:overflowPunct w:val="0"/>
        <w:spacing w:line="620" w:lineRule="exact"/>
        <w:textAlignment w:val="auto"/>
        <w:rPr>
          <w:rFonts w:eastAsia="方正仿宋_GBK"/>
          <w:color w:val="000000" w:themeColor="text1"/>
          <w:sz w:val="32"/>
          <w:szCs w:val="32"/>
        </w:rPr>
      </w:pPr>
    </w:p>
    <w:p w14:paraId="74798AD8" w14:textId="77777777" w:rsidR="00D400AF" w:rsidRDefault="00D400AF">
      <w:pPr>
        <w:pStyle w:val="a5"/>
        <w:widowControl w:val="0"/>
        <w:overflowPunct w:val="0"/>
        <w:spacing w:line="620" w:lineRule="exact"/>
        <w:textAlignment w:val="auto"/>
        <w:rPr>
          <w:rFonts w:eastAsia="方正仿宋_GBK"/>
          <w:color w:val="000000" w:themeColor="text1"/>
          <w:sz w:val="32"/>
          <w:szCs w:val="32"/>
        </w:rPr>
      </w:pPr>
    </w:p>
    <w:p w14:paraId="75D08756" w14:textId="77777777" w:rsidR="00D400AF" w:rsidRDefault="00000000">
      <w:pPr>
        <w:pStyle w:val="a5"/>
        <w:widowControl w:val="0"/>
        <w:overflowPunct w:val="0"/>
        <w:spacing w:line="620" w:lineRule="exact"/>
        <w:ind w:firstLineChars="1300" w:firstLine="4160"/>
        <w:textAlignment w:val="auto"/>
        <w:rPr>
          <w:rFonts w:eastAsia="方正仿宋_GBK"/>
          <w:color w:val="000000" w:themeColor="text1"/>
          <w:sz w:val="32"/>
          <w:szCs w:val="32"/>
        </w:rPr>
      </w:pPr>
      <w:r>
        <w:rPr>
          <w:rFonts w:eastAsia="方正仿宋_GBK"/>
          <w:color w:val="000000" w:themeColor="text1"/>
          <w:sz w:val="32"/>
          <w:szCs w:val="32"/>
        </w:rPr>
        <w:t>重庆市渝中区人民政府办公室</w:t>
      </w:r>
    </w:p>
    <w:p w14:paraId="5BE4ECA5" w14:textId="77777777" w:rsidR="00D400AF" w:rsidRDefault="00000000">
      <w:pPr>
        <w:pStyle w:val="a5"/>
        <w:widowControl w:val="0"/>
        <w:overflowPunct w:val="0"/>
        <w:spacing w:line="620" w:lineRule="exact"/>
        <w:ind w:firstLineChars="1575" w:firstLine="5040"/>
        <w:textAlignment w:val="auto"/>
        <w:rPr>
          <w:rFonts w:eastAsia="方正仿宋_GBK"/>
          <w:color w:val="000000" w:themeColor="text1"/>
          <w:sz w:val="32"/>
          <w:szCs w:val="32"/>
        </w:rPr>
      </w:pPr>
      <w:r>
        <w:rPr>
          <w:rFonts w:eastAsia="方正仿宋_GBK"/>
          <w:color w:val="000000" w:themeColor="text1"/>
          <w:sz w:val="32"/>
          <w:szCs w:val="32"/>
        </w:rPr>
        <w:t>2024</w:t>
      </w:r>
      <w:r>
        <w:rPr>
          <w:rFonts w:eastAsia="方正仿宋_GBK"/>
          <w:color w:val="000000" w:themeColor="text1"/>
          <w:sz w:val="32"/>
          <w:szCs w:val="32"/>
        </w:rPr>
        <w:t>年</w:t>
      </w:r>
      <w:r>
        <w:rPr>
          <w:rFonts w:eastAsia="方正仿宋_GBK"/>
          <w:color w:val="000000" w:themeColor="text1"/>
          <w:sz w:val="32"/>
          <w:szCs w:val="32"/>
        </w:rPr>
        <w:t>8</w:t>
      </w:r>
      <w:r>
        <w:rPr>
          <w:rFonts w:eastAsia="方正仿宋_GBK"/>
          <w:color w:val="000000" w:themeColor="text1"/>
          <w:sz w:val="32"/>
          <w:szCs w:val="32"/>
        </w:rPr>
        <w:t>月</w:t>
      </w:r>
      <w:r>
        <w:rPr>
          <w:rFonts w:eastAsia="方正仿宋_GBK" w:hint="eastAsia"/>
          <w:color w:val="000000" w:themeColor="text1"/>
          <w:sz w:val="32"/>
          <w:szCs w:val="32"/>
        </w:rPr>
        <w:t>12</w:t>
      </w:r>
      <w:r>
        <w:rPr>
          <w:rFonts w:eastAsia="方正仿宋_GBK"/>
          <w:color w:val="000000" w:themeColor="text1"/>
          <w:sz w:val="32"/>
          <w:szCs w:val="32"/>
        </w:rPr>
        <w:t>日</w:t>
      </w:r>
    </w:p>
    <w:p w14:paraId="78576043" w14:textId="77777777" w:rsidR="00D400AF" w:rsidRDefault="00000000">
      <w:pPr>
        <w:widowControl w:val="0"/>
        <w:overflowPunct w:val="0"/>
        <w:spacing w:line="620" w:lineRule="exact"/>
        <w:ind w:firstLineChars="200" w:firstLine="640"/>
        <w:textAlignment w:val="auto"/>
        <w:rPr>
          <w:rFonts w:eastAsia="方正小标宋_GBK"/>
          <w:color w:val="000000" w:themeColor="text1"/>
          <w:sz w:val="44"/>
          <w:szCs w:val="44"/>
        </w:rPr>
      </w:pPr>
      <w:r>
        <w:rPr>
          <w:rFonts w:eastAsia="方正仿宋_GBK"/>
          <w:color w:val="000000" w:themeColor="text1"/>
          <w:sz w:val="32"/>
        </w:rPr>
        <w:t>（此件公开</w:t>
      </w:r>
      <w:r>
        <w:rPr>
          <w:rFonts w:eastAsia="方正仿宋_GBK" w:hint="eastAsia"/>
          <w:color w:val="000000" w:themeColor="text1"/>
          <w:sz w:val="32"/>
        </w:rPr>
        <w:t>发布</w:t>
      </w:r>
      <w:r>
        <w:rPr>
          <w:rFonts w:eastAsia="方正仿宋_GBK"/>
          <w:color w:val="000000" w:themeColor="text1"/>
          <w:sz w:val="32"/>
        </w:rPr>
        <w:t>）</w:t>
      </w:r>
    </w:p>
    <w:p w14:paraId="4B14E0E0" w14:textId="77777777" w:rsidR="00D400AF" w:rsidRDefault="00D400AF">
      <w:pPr>
        <w:widowControl w:val="0"/>
        <w:overflowPunct w:val="0"/>
        <w:spacing w:line="620" w:lineRule="exact"/>
        <w:sectPr w:rsidR="00D400AF">
          <w:footerReference w:type="even" r:id="rId7"/>
          <w:footerReference w:type="default" r:id="rId8"/>
          <w:type w:val="continuous"/>
          <w:pgSz w:w="11906" w:h="16838"/>
          <w:pgMar w:top="1417" w:right="1587" w:bottom="1417" w:left="1587" w:header="851" w:footer="992" w:gutter="0"/>
          <w:cols w:space="0"/>
          <w:docGrid w:type="lines" w:linePitch="312"/>
        </w:sectPr>
      </w:pPr>
    </w:p>
    <w:p w14:paraId="7B03D8FF" w14:textId="77777777" w:rsidR="00D400AF" w:rsidRDefault="00000000">
      <w:pPr>
        <w:pStyle w:val="1"/>
        <w:widowControl w:val="0"/>
        <w:overflowPunct w:val="0"/>
        <w:adjustRightInd/>
        <w:spacing w:line="630" w:lineRule="exact"/>
        <w:textAlignment w:val="auto"/>
      </w:pPr>
      <w:r>
        <w:lastRenderedPageBreak/>
        <w:t>重庆市渝中区公共卫生能力提升行动计划</w:t>
      </w:r>
    </w:p>
    <w:p w14:paraId="5DA8B6DB" w14:textId="77777777" w:rsidR="00D400AF" w:rsidRDefault="00000000">
      <w:pPr>
        <w:pStyle w:val="1"/>
        <w:widowControl w:val="0"/>
        <w:overflowPunct w:val="0"/>
        <w:adjustRightInd/>
        <w:spacing w:line="630" w:lineRule="exact"/>
        <w:textAlignment w:val="auto"/>
      </w:pPr>
      <w:r>
        <w:t>（</w:t>
      </w:r>
      <w:r>
        <w:t>202</w:t>
      </w:r>
      <w:r>
        <w:rPr>
          <w:rFonts w:hint="eastAsia"/>
        </w:rPr>
        <w:t>4</w:t>
      </w:r>
      <w:r>
        <w:t>—2025</w:t>
      </w:r>
      <w:r>
        <w:t>年）</w:t>
      </w:r>
    </w:p>
    <w:p w14:paraId="2C7BD217" w14:textId="77777777" w:rsidR="00D400AF" w:rsidRDefault="00D400AF">
      <w:pPr>
        <w:widowControl w:val="0"/>
        <w:overflowPunct w:val="0"/>
        <w:adjustRightInd w:val="0"/>
        <w:spacing w:line="630" w:lineRule="exact"/>
        <w:rPr>
          <w:rFonts w:eastAsia="方正仿宋_GBK"/>
          <w:kern w:val="0"/>
          <w:sz w:val="32"/>
          <w:szCs w:val="32"/>
        </w:rPr>
      </w:pPr>
    </w:p>
    <w:p w14:paraId="253790BA"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kern w:val="0"/>
          <w:sz w:val="32"/>
          <w:szCs w:val="32"/>
        </w:rPr>
        <w:t>为深入贯彻落实党的二十大精神和习近平总书记关于公共卫生的重要指示批示精神，进一步完善全区公共卫生服务体系，强化</w:t>
      </w:r>
      <w:proofErr w:type="gramStart"/>
      <w:r>
        <w:rPr>
          <w:rFonts w:eastAsia="方正仿宋_GBK"/>
          <w:kern w:val="0"/>
          <w:sz w:val="32"/>
          <w:szCs w:val="32"/>
        </w:rPr>
        <w:t>医</w:t>
      </w:r>
      <w:proofErr w:type="gramEnd"/>
      <w:r>
        <w:rPr>
          <w:rFonts w:eastAsia="方正仿宋_GBK"/>
          <w:kern w:val="0"/>
          <w:sz w:val="32"/>
          <w:szCs w:val="32"/>
        </w:rPr>
        <w:t>防融合发展，按照国家疾病预防控制体系改革要求，根据《重庆市公共卫生能力提升三年行动计划（</w:t>
      </w:r>
      <w:r>
        <w:rPr>
          <w:rFonts w:eastAsia="方正仿宋_GBK"/>
          <w:kern w:val="0"/>
          <w:sz w:val="32"/>
          <w:szCs w:val="32"/>
        </w:rPr>
        <w:t>2023—2025</w:t>
      </w:r>
      <w:r>
        <w:rPr>
          <w:rFonts w:eastAsia="方正仿宋_GBK"/>
          <w:kern w:val="0"/>
          <w:sz w:val="32"/>
          <w:szCs w:val="32"/>
        </w:rPr>
        <w:t>年）》，结合我区实际，制定本行动计划。</w:t>
      </w:r>
    </w:p>
    <w:p w14:paraId="5FB7F746" w14:textId="77777777" w:rsidR="00D400AF" w:rsidRDefault="00000000">
      <w:pPr>
        <w:pStyle w:val="a5"/>
        <w:widowControl w:val="0"/>
        <w:overflowPunct w:val="0"/>
        <w:adjustRightInd w:val="0"/>
        <w:snapToGrid w:val="0"/>
        <w:spacing w:line="630" w:lineRule="exact"/>
        <w:ind w:firstLineChars="200" w:firstLine="640"/>
        <w:rPr>
          <w:rFonts w:eastAsia="方正黑体_GBK"/>
          <w:bCs/>
          <w:color w:val="000000"/>
          <w:sz w:val="32"/>
          <w:szCs w:val="32"/>
        </w:rPr>
      </w:pPr>
      <w:r>
        <w:rPr>
          <w:rFonts w:eastAsia="方正黑体_GBK"/>
          <w:bCs/>
          <w:color w:val="000000"/>
          <w:sz w:val="32"/>
          <w:szCs w:val="32"/>
        </w:rPr>
        <w:t>一、工作目标</w:t>
      </w:r>
    </w:p>
    <w:p w14:paraId="2F96321D" w14:textId="77777777" w:rsidR="00D400AF" w:rsidRDefault="00000000">
      <w:pPr>
        <w:widowControl w:val="0"/>
        <w:overflowPunct w:val="0"/>
        <w:spacing w:line="630" w:lineRule="exact"/>
        <w:ind w:firstLineChars="200" w:firstLine="640"/>
        <w:rPr>
          <w:rFonts w:eastAsia="方正楷体_GBK"/>
          <w:sz w:val="32"/>
          <w:szCs w:val="32"/>
        </w:rPr>
      </w:pPr>
      <w:r>
        <w:rPr>
          <w:rFonts w:eastAsia="方正楷体_GBK"/>
          <w:sz w:val="32"/>
          <w:szCs w:val="32"/>
        </w:rPr>
        <w:t>（一）总体目标</w:t>
      </w:r>
    </w:p>
    <w:p w14:paraId="300D5BC7"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kern w:val="0"/>
          <w:sz w:val="32"/>
          <w:szCs w:val="32"/>
        </w:rPr>
        <w:t>坚持以习近平新时代中国特色社会主义思想为指导，全面贯彻落实党的二十大精神，认真落实市委六届二次、三次、四次、五次全会精神，以改革创新为动力、以体系建设为抓手、以能力提升为目标，通过实施</w:t>
      </w:r>
      <w:r>
        <w:rPr>
          <w:rFonts w:eastAsia="方正仿宋_GBK" w:hint="eastAsia"/>
          <w:kern w:val="0"/>
          <w:sz w:val="32"/>
          <w:szCs w:val="32"/>
        </w:rPr>
        <w:t>“</w:t>
      </w:r>
      <w:r>
        <w:rPr>
          <w:rFonts w:eastAsia="方正仿宋_GBK"/>
          <w:kern w:val="0"/>
          <w:sz w:val="32"/>
          <w:szCs w:val="32"/>
        </w:rPr>
        <w:t>八大行动</w:t>
      </w:r>
      <w:r>
        <w:rPr>
          <w:rFonts w:eastAsia="方正仿宋_GBK" w:hint="eastAsia"/>
          <w:kern w:val="0"/>
          <w:sz w:val="32"/>
          <w:szCs w:val="32"/>
        </w:rPr>
        <w:t>”</w:t>
      </w:r>
      <w:r>
        <w:rPr>
          <w:rFonts w:eastAsia="方正仿宋_GBK"/>
          <w:kern w:val="0"/>
          <w:sz w:val="32"/>
          <w:szCs w:val="32"/>
        </w:rPr>
        <w:t>，不断完善上下联动、</w:t>
      </w:r>
      <w:proofErr w:type="gramStart"/>
      <w:r>
        <w:rPr>
          <w:rFonts w:eastAsia="方正仿宋_GBK"/>
          <w:kern w:val="0"/>
          <w:sz w:val="32"/>
          <w:szCs w:val="32"/>
        </w:rPr>
        <w:t>医</w:t>
      </w:r>
      <w:proofErr w:type="gramEnd"/>
      <w:r>
        <w:rPr>
          <w:rFonts w:eastAsia="方正仿宋_GBK"/>
          <w:kern w:val="0"/>
          <w:sz w:val="32"/>
          <w:szCs w:val="32"/>
        </w:rPr>
        <w:t>防融合、</w:t>
      </w:r>
      <w:proofErr w:type="gramStart"/>
      <w:r>
        <w:rPr>
          <w:rFonts w:eastAsia="方正仿宋_GBK"/>
          <w:kern w:val="0"/>
          <w:sz w:val="32"/>
          <w:szCs w:val="32"/>
        </w:rPr>
        <w:t>平急结合</w:t>
      </w:r>
      <w:proofErr w:type="gramEnd"/>
      <w:r>
        <w:rPr>
          <w:rFonts w:eastAsia="方正仿宋_GBK"/>
          <w:kern w:val="0"/>
          <w:sz w:val="32"/>
          <w:szCs w:val="32"/>
        </w:rPr>
        <w:t>、联防联控的工作机制，逐步健全统一领导、权责匹配、运行高效的指挥体系，全面构建以专业公共卫生机构为骨干、以医疗机构为依托、以基层医疗卫生机构为网底的公共卫生服务体系，以及涵盖全区的重大疫情分层分级分类医疗救治体系。</w:t>
      </w:r>
    </w:p>
    <w:p w14:paraId="0B86A196"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kern w:val="0"/>
          <w:sz w:val="32"/>
          <w:szCs w:val="32"/>
        </w:rPr>
        <w:t>力争到</w:t>
      </w:r>
      <w:r>
        <w:rPr>
          <w:rFonts w:eastAsia="方正仿宋_GBK"/>
          <w:kern w:val="0"/>
          <w:sz w:val="32"/>
          <w:szCs w:val="32"/>
        </w:rPr>
        <w:t>2025</w:t>
      </w:r>
      <w:r>
        <w:rPr>
          <w:rFonts w:eastAsia="方正仿宋_GBK"/>
          <w:kern w:val="0"/>
          <w:sz w:val="32"/>
          <w:szCs w:val="32"/>
        </w:rPr>
        <w:t>年，渝中区建设成为西部公共卫生防控救治首善之区，区级疾病预防控制工作综合评价进入全市前列，公共卫生综合服务能力和居民健康水平达到西部领先水平。</w:t>
      </w:r>
    </w:p>
    <w:p w14:paraId="46F1A520" w14:textId="77777777" w:rsidR="00D400AF" w:rsidRDefault="00000000">
      <w:pPr>
        <w:widowControl w:val="0"/>
        <w:overflowPunct w:val="0"/>
        <w:spacing w:line="620" w:lineRule="exact"/>
        <w:ind w:firstLineChars="200" w:firstLine="640"/>
        <w:rPr>
          <w:rFonts w:eastAsia="方正楷体_GBK"/>
          <w:sz w:val="32"/>
          <w:szCs w:val="32"/>
        </w:rPr>
      </w:pPr>
      <w:r>
        <w:rPr>
          <w:rFonts w:eastAsia="方正楷体_GBK"/>
          <w:sz w:val="32"/>
          <w:szCs w:val="32"/>
        </w:rPr>
        <w:lastRenderedPageBreak/>
        <w:t>（二）具体目标</w:t>
      </w:r>
    </w:p>
    <w:tbl>
      <w:tblPr>
        <w:tblStyle w:val="ab"/>
        <w:tblW w:w="8891" w:type="dxa"/>
        <w:jc w:val="center"/>
        <w:tblInd w:w="0" w:type="dxa"/>
        <w:tblLayout w:type="fixed"/>
        <w:tblLook w:val="04A0" w:firstRow="1" w:lastRow="0" w:firstColumn="1" w:lastColumn="0" w:noHBand="0" w:noVBand="1"/>
      </w:tblPr>
      <w:tblGrid>
        <w:gridCol w:w="752"/>
        <w:gridCol w:w="1449"/>
        <w:gridCol w:w="4881"/>
        <w:gridCol w:w="1809"/>
      </w:tblGrid>
      <w:tr w:rsidR="00D400AF" w14:paraId="220CF9E6" w14:textId="77777777">
        <w:trPr>
          <w:trHeight w:val="454"/>
          <w:jc w:val="center"/>
        </w:trPr>
        <w:tc>
          <w:tcPr>
            <w:tcW w:w="752" w:type="dxa"/>
            <w:vAlign w:val="center"/>
          </w:tcPr>
          <w:p w14:paraId="3F5887DA" w14:textId="77777777" w:rsidR="00D400AF" w:rsidRDefault="00000000">
            <w:pPr>
              <w:pStyle w:val="11"/>
              <w:spacing w:line="0" w:lineRule="atLeast"/>
              <w:ind w:firstLineChars="0" w:firstLine="0"/>
              <w:jc w:val="center"/>
              <w:textAlignment w:val="auto"/>
              <w:rPr>
                <w:rFonts w:eastAsia="方正黑体_GBK"/>
                <w:bCs/>
                <w:color w:val="000000"/>
                <w:sz w:val="24"/>
                <w:szCs w:val="24"/>
              </w:rPr>
            </w:pPr>
            <w:r>
              <w:rPr>
                <w:rFonts w:eastAsia="方正黑体_GBK"/>
                <w:sz w:val="24"/>
                <w:szCs w:val="24"/>
              </w:rPr>
              <w:t>序号</w:t>
            </w:r>
          </w:p>
        </w:tc>
        <w:tc>
          <w:tcPr>
            <w:tcW w:w="1449" w:type="dxa"/>
            <w:vAlign w:val="center"/>
          </w:tcPr>
          <w:p w14:paraId="42609E1F" w14:textId="77777777" w:rsidR="00D400AF" w:rsidRDefault="00000000">
            <w:pPr>
              <w:pStyle w:val="11"/>
              <w:spacing w:line="0" w:lineRule="atLeast"/>
              <w:ind w:firstLineChars="0" w:firstLine="0"/>
              <w:jc w:val="center"/>
              <w:textAlignment w:val="auto"/>
              <w:rPr>
                <w:rFonts w:eastAsia="方正黑体_GBK"/>
                <w:bCs/>
                <w:color w:val="000000"/>
                <w:sz w:val="24"/>
                <w:szCs w:val="24"/>
              </w:rPr>
            </w:pPr>
            <w:r>
              <w:rPr>
                <w:rFonts w:eastAsia="方正黑体_GBK"/>
                <w:sz w:val="24"/>
                <w:szCs w:val="24"/>
              </w:rPr>
              <w:t>指标类型</w:t>
            </w:r>
          </w:p>
        </w:tc>
        <w:tc>
          <w:tcPr>
            <w:tcW w:w="4881" w:type="dxa"/>
            <w:vAlign w:val="center"/>
          </w:tcPr>
          <w:p w14:paraId="0F9EE2A2" w14:textId="77777777" w:rsidR="00D400AF" w:rsidRDefault="00000000">
            <w:pPr>
              <w:pStyle w:val="11"/>
              <w:spacing w:line="0" w:lineRule="atLeast"/>
              <w:ind w:firstLineChars="0" w:firstLine="0"/>
              <w:jc w:val="center"/>
              <w:textAlignment w:val="auto"/>
              <w:rPr>
                <w:rFonts w:eastAsia="方正黑体_GBK"/>
                <w:bCs/>
                <w:color w:val="000000"/>
                <w:sz w:val="24"/>
                <w:szCs w:val="24"/>
              </w:rPr>
            </w:pPr>
            <w:r>
              <w:rPr>
                <w:rFonts w:eastAsia="方正黑体_GBK"/>
                <w:sz w:val="24"/>
                <w:szCs w:val="24"/>
              </w:rPr>
              <w:t>指标名称</w:t>
            </w:r>
          </w:p>
        </w:tc>
        <w:tc>
          <w:tcPr>
            <w:tcW w:w="1809" w:type="dxa"/>
            <w:vAlign w:val="center"/>
          </w:tcPr>
          <w:p w14:paraId="5D690C62" w14:textId="77777777" w:rsidR="00D400AF" w:rsidRDefault="00000000">
            <w:pPr>
              <w:pStyle w:val="11"/>
              <w:spacing w:line="0" w:lineRule="atLeast"/>
              <w:ind w:firstLineChars="0" w:firstLine="0"/>
              <w:jc w:val="center"/>
              <w:textAlignment w:val="auto"/>
              <w:rPr>
                <w:rFonts w:eastAsia="方正黑体_GBK"/>
                <w:bCs/>
                <w:color w:val="000000"/>
                <w:sz w:val="24"/>
                <w:szCs w:val="24"/>
              </w:rPr>
            </w:pPr>
            <w:r>
              <w:rPr>
                <w:rFonts w:eastAsia="方正黑体_GBK"/>
                <w:sz w:val="24"/>
                <w:szCs w:val="24"/>
              </w:rPr>
              <w:t>2025</w:t>
            </w:r>
            <w:r>
              <w:rPr>
                <w:rFonts w:eastAsia="方正黑体_GBK"/>
                <w:sz w:val="24"/>
                <w:szCs w:val="24"/>
              </w:rPr>
              <w:t>年目标</w:t>
            </w:r>
          </w:p>
        </w:tc>
      </w:tr>
      <w:tr w:rsidR="00D400AF" w14:paraId="34A6B414" w14:textId="77777777">
        <w:trPr>
          <w:trHeight w:val="454"/>
          <w:jc w:val="center"/>
        </w:trPr>
        <w:tc>
          <w:tcPr>
            <w:tcW w:w="752" w:type="dxa"/>
            <w:vAlign w:val="center"/>
          </w:tcPr>
          <w:p w14:paraId="66DBAE6A"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w:t>
            </w:r>
          </w:p>
        </w:tc>
        <w:tc>
          <w:tcPr>
            <w:tcW w:w="1449" w:type="dxa"/>
            <w:vMerge w:val="restart"/>
            <w:vAlign w:val="center"/>
          </w:tcPr>
          <w:p w14:paraId="14BF0BC0" w14:textId="77777777" w:rsidR="00D400AF" w:rsidRDefault="00000000">
            <w:pPr>
              <w:adjustRightInd w:val="0"/>
              <w:spacing w:line="0" w:lineRule="atLeast"/>
              <w:jc w:val="center"/>
              <w:rPr>
                <w:rFonts w:eastAsia="方正仿宋_GBK"/>
                <w:bCs/>
                <w:color w:val="000000"/>
                <w:sz w:val="24"/>
                <w:szCs w:val="24"/>
              </w:rPr>
            </w:pPr>
            <w:r>
              <w:rPr>
                <w:rFonts w:eastAsia="方正仿宋_GBK"/>
                <w:sz w:val="24"/>
                <w:szCs w:val="24"/>
              </w:rPr>
              <w:t>体系建设</w:t>
            </w:r>
          </w:p>
        </w:tc>
        <w:tc>
          <w:tcPr>
            <w:tcW w:w="4881" w:type="dxa"/>
            <w:vAlign w:val="center"/>
          </w:tcPr>
          <w:p w14:paraId="0032862B"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二级及</w:t>
            </w:r>
            <w:proofErr w:type="gramStart"/>
            <w:r>
              <w:rPr>
                <w:rFonts w:eastAsia="方正仿宋_GBK"/>
                <w:sz w:val="24"/>
                <w:szCs w:val="24"/>
              </w:rPr>
              <w:t>以上疾控中心</w:t>
            </w:r>
            <w:proofErr w:type="gramEnd"/>
            <w:r>
              <w:rPr>
                <w:rFonts w:eastAsia="方正仿宋_GBK"/>
                <w:sz w:val="24"/>
                <w:szCs w:val="24"/>
              </w:rPr>
              <w:t>（</w:t>
            </w:r>
            <w:proofErr w:type="gramStart"/>
            <w:r>
              <w:rPr>
                <w:rFonts w:eastAsia="方正仿宋_GBK"/>
                <w:sz w:val="24"/>
                <w:szCs w:val="24"/>
              </w:rPr>
              <w:t>个</w:t>
            </w:r>
            <w:proofErr w:type="gramEnd"/>
            <w:r>
              <w:rPr>
                <w:rFonts w:eastAsia="方正仿宋_GBK"/>
                <w:sz w:val="24"/>
                <w:szCs w:val="24"/>
              </w:rPr>
              <w:t>）</w:t>
            </w:r>
          </w:p>
        </w:tc>
        <w:tc>
          <w:tcPr>
            <w:tcW w:w="1809" w:type="dxa"/>
            <w:vAlign w:val="center"/>
          </w:tcPr>
          <w:p w14:paraId="2D51C2B0"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w:t>
            </w:r>
          </w:p>
        </w:tc>
      </w:tr>
      <w:tr w:rsidR="00D400AF" w14:paraId="487C6478" w14:textId="77777777">
        <w:trPr>
          <w:trHeight w:val="454"/>
          <w:jc w:val="center"/>
        </w:trPr>
        <w:tc>
          <w:tcPr>
            <w:tcW w:w="752" w:type="dxa"/>
            <w:vAlign w:val="center"/>
          </w:tcPr>
          <w:p w14:paraId="7A5738D5"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2</w:t>
            </w:r>
          </w:p>
        </w:tc>
        <w:tc>
          <w:tcPr>
            <w:tcW w:w="1449" w:type="dxa"/>
            <w:vMerge/>
            <w:vAlign w:val="center"/>
          </w:tcPr>
          <w:p w14:paraId="7F2C2DD9" w14:textId="77777777" w:rsidR="00D400AF" w:rsidRDefault="00D400AF">
            <w:pPr>
              <w:adjustRightInd w:val="0"/>
              <w:spacing w:line="0" w:lineRule="atLeast"/>
              <w:jc w:val="center"/>
              <w:rPr>
                <w:rFonts w:eastAsia="方正仿宋_GBK"/>
                <w:bCs/>
                <w:color w:val="000000"/>
                <w:sz w:val="24"/>
                <w:szCs w:val="24"/>
              </w:rPr>
            </w:pPr>
          </w:p>
        </w:tc>
        <w:tc>
          <w:tcPr>
            <w:tcW w:w="4881" w:type="dxa"/>
            <w:vAlign w:val="center"/>
          </w:tcPr>
          <w:p w14:paraId="5CE7E261"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pacing w:val="-6"/>
                <w:sz w:val="24"/>
                <w:szCs w:val="24"/>
              </w:rPr>
              <w:t>二级及以上公立医院公共卫生科标准化率（</w:t>
            </w:r>
            <w:r>
              <w:rPr>
                <w:rFonts w:eastAsia="方正仿宋_GBK"/>
                <w:spacing w:val="-6"/>
                <w:sz w:val="24"/>
                <w:szCs w:val="24"/>
              </w:rPr>
              <w:t>%</w:t>
            </w:r>
            <w:r>
              <w:rPr>
                <w:rFonts w:eastAsia="方正仿宋_GBK"/>
                <w:spacing w:val="-6"/>
                <w:sz w:val="24"/>
                <w:szCs w:val="24"/>
              </w:rPr>
              <w:t>）</w:t>
            </w:r>
          </w:p>
        </w:tc>
        <w:tc>
          <w:tcPr>
            <w:tcW w:w="1809" w:type="dxa"/>
            <w:vAlign w:val="center"/>
          </w:tcPr>
          <w:p w14:paraId="46E48984"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100</w:t>
            </w:r>
          </w:p>
        </w:tc>
      </w:tr>
      <w:tr w:rsidR="00D400AF" w14:paraId="789C18D6" w14:textId="77777777">
        <w:trPr>
          <w:trHeight w:val="454"/>
          <w:jc w:val="center"/>
        </w:trPr>
        <w:tc>
          <w:tcPr>
            <w:tcW w:w="752" w:type="dxa"/>
            <w:vAlign w:val="center"/>
          </w:tcPr>
          <w:p w14:paraId="67272F6D"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3</w:t>
            </w:r>
          </w:p>
        </w:tc>
        <w:tc>
          <w:tcPr>
            <w:tcW w:w="1449" w:type="dxa"/>
            <w:vMerge/>
            <w:vAlign w:val="center"/>
          </w:tcPr>
          <w:p w14:paraId="65534EA6" w14:textId="77777777" w:rsidR="00D400AF" w:rsidRDefault="00D400AF">
            <w:pPr>
              <w:adjustRightInd w:val="0"/>
              <w:spacing w:line="0" w:lineRule="atLeast"/>
              <w:jc w:val="center"/>
              <w:rPr>
                <w:rFonts w:eastAsia="方正仿宋_GBK"/>
                <w:bCs/>
                <w:color w:val="000000"/>
                <w:sz w:val="24"/>
                <w:szCs w:val="24"/>
              </w:rPr>
            </w:pPr>
          </w:p>
        </w:tc>
        <w:tc>
          <w:tcPr>
            <w:tcW w:w="4881" w:type="dxa"/>
            <w:vAlign w:val="center"/>
          </w:tcPr>
          <w:p w14:paraId="47FD1F47"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基层医疗卫生机构公共卫生科标准化率（</w:t>
            </w:r>
            <w:r>
              <w:rPr>
                <w:rFonts w:eastAsia="方正仿宋_GBK"/>
                <w:sz w:val="24"/>
                <w:szCs w:val="24"/>
              </w:rPr>
              <w:t>%</w:t>
            </w:r>
            <w:r>
              <w:rPr>
                <w:rFonts w:eastAsia="方正仿宋_GBK"/>
                <w:sz w:val="24"/>
                <w:szCs w:val="24"/>
              </w:rPr>
              <w:t>）</w:t>
            </w:r>
          </w:p>
        </w:tc>
        <w:tc>
          <w:tcPr>
            <w:tcW w:w="1809" w:type="dxa"/>
            <w:vAlign w:val="center"/>
          </w:tcPr>
          <w:p w14:paraId="54A5D2FD"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100</w:t>
            </w:r>
          </w:p>
        </w:tc>
      </w:tr>
      <w:tr w:rsidR="00D400AF" w14:paraId="19F4F1CF" w14:textId="77777777">
        <w:trPr>
          <w:trHeight w:val="454"/>
          <w:jc w:val="center"/>
        </w:trPr>
        <w:tc>
          <w:tcPr>
            <w:tcW w:w="752" w:type="dxa"/>
            <w:vAlign w:val="center"/>
          </w:tcPr>
          <w:p w14:paraId="1771BD49"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4</w:t>
            </w:r>
          </w:p>
        </w:tc>
        <w:tc>
          <w:tcPr>
            <w:tcW w:w="1449" w:type="dxa"/>
            <w:vMerge w:val="restart"/>
            <w:vAlign w:val="center"/>
          </w:tcPr>
          <w:p w14:paraId="01775099" w14:textId="77777777" w:rsidR="00D400AF" w:rsidRDefault="00000000">
            <w:pPr>
              <w:adjustRightInd w:val="0"/>
              <w:spacing w:line="0" w:lineRule="atLeast"/>
              <w:jc w:val="center"/>
              <w:rPr>
                <w:rFonts w:eastAsia="方正仿宋_GBK"/>
                <w:sz w:val="24"/>
                <w:szCs w:val="24"/>
              </w:rPr>
            </w:pPr>
            <w:r>
              <w:rPr>
                <w:rFonts w:eastAsia="方正仿宋_GBK"/>
                <w:sz w:val="24"/>
                <w:szCs w:val="24"/>
              </w:rPr>
              <w:t>人才队伍</w:t>
            </w:r>
          </w:p>
          <w:p w14:paraId="595B9E1A" w14:textId="77777777" w:rsidR="00D400AF" w:rsidRDefault="00000000">
            <w:pPr>
              <w:adjustRightInd w:val="0"/>
              <w:spacing w:line="0" w:lineRule="atLeast"/>
              <w:jc w:val="center"/>
              <w:rPr>
                <w:rFonts w:eastAsia="方正仿宋_GBK"/>
                <w:bCs/>
                <w:color w:val="000000"/>
                <w:sz w:val="24"/>
                <w:szCs w:val="24"/>
              </w:rPr>
            </w:pPr>
            <w:r>
              <w:rPr>
                <w:rFonts w:eastAsia="方正仿宋_GBK"/>
                <w:sz w:val="24"/>
                <w:szCs w:val="24"/>
              </w:rPr>
              <w:t>建设</w:t>
            </w:r>
          </w:p>
        </w:tc>
        <w:tc>
          <w:tcPr>
            <w:tcW w:w="4881" w:type="dxa"/>
            <w:vAlign w:val="center"/>
          </w:tcPr>
          <w:p w14:paraId="2ACD1ED8"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每万常住人口专业公共卫生机构人员数（人）</w:t>
            </w:r>
          </w:p>
        </w:tc>
        <w:tc>
          <w:tcPr>
            <w:tcW w:w="1809" w:type="dxa"/>
            <w:vAlign w:val="center"/>
          </w:tcPr>
          <w:p w14:paraId="1A2509C8"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8.6</w:t>
            </w:r>
          </w:p>
        </w:tc>
      </w:tr>
      <w:tr w:rsidR="00D400AF" w14:paraId="58E89176" w14:textId="77777777">
        <w:trPr>
          <w:trHeight w:val="454"/>
          <w:jc w:val="center"/>
        </w:trPr>
        <w:tc>
          <w:tcPr>
            <w:tcW w:w="752" w:type="dxa"/>
            <w:vAlign w:val="center"/>
          </w:tcPr>
          <w:p w14:paraId="64ED55DC"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5</w:t>
            </w:r>
          </w:p>
        </w:tc>
        <w:tc>
          <w:tcPr>
            <w:tcW w:w="1449" w:type="dxa"/>
            <w:vMerge/>
            <w:vAlign w:val="center"/>
          </w:tcPr>
          <w:p w14:paraId="0003B397" w14:textId="77777777" w:rsidR="00D400AF" w:rsidRDefault="00D400AF">
            <w:pPr>
              <w:adjustRightInd w:val="0"/>
              <w:spacing w:line="0" w:lineRule="atLeast"/>
              <w:jc w:val="center"/>
              <w:rPr>
                <w:rFonts w:eastAsia="方正仿宋_GBK"/>
                <w:bCs/>
                <w:color w:val="000000"/>
                <w:sz w:val="24"/>
                <w:szCs w:val="24"/>
              </w:rPr>
            </w:pPr>
          </w:p>
        </w:tc>
        <w:tc>
          <w:tcPr>
            <w:tcW w:w="4881" w:type="dxa"/>
            <w:vAlign w:val="center"/>
          </w:tcPr>
          <w:p w14:paraId="290D5317"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每万常住人口</w:t>
            </w:r>
            <w:proofErr w:type="gramStart"/>
            <w:r>
              <w:rPr>
                <w:rFonts w:eastAsia="方正仿宋_GBK"/>
                <w:sz w:val="24"/>
                <w:szCs w:val="24"/>
              </w:rPr>
              <w:t>疾控机构</w:t>
            </w:r>
            <w:proofErr w:type="gramEnd"/>
            <w:r>
              <w:rPr>
                <w:rFonts w:eastAsia="方正仿宋_GBK"/>
                <w:sz w:val="24"/>
                <w:szCs w:val="24"/>
              </w:rPr>
              <w:t>人员数（人）</w:t>
            </w:r>
          </w:p>
        </w:tc>
        <w:tc>
          <w:tcPr>
            <w:tcW w:w="1809" w:type="dxa"/>
            <w:vAlign w:val="center"/>
          </w:tcPr>
          <w:p w14:paraId="7F396BC6"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1.8</w:t>
            </w:r>
          </w:p>
        </w:tc>
      </w:tr>
      <w:tr w:rsidR="00D400AF" w14:paraId="0EFF3CC3" w14:textId="77777777">
        <w:trPr>
          <w:trHeight w:val="454"/>
          <w:jc w:val="center"/>
        </w:trPr>
        <w:tc>
          <w:tcPr>
            <w:tcW w:w="752" w:type="dxa"/>
            <w:vAlign w:val="center"/>
          </w:tcPr>
          <w:p w14:paraId="6D214E21"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6</w:t>
            </w:r>
          </w:p>
        </w:tc>
        <w:tc>
          <w:tcPr>
            <w:tcW w:w="1449" w:type="dxa"/>
            <w:vMerge/>
            <w:vAlign w:val="center"/>
          </w:tcPr>
          <w:p w14:paraId="31BF4844" w14:textId="77777777" w:rsidR="00D400AF" w:rsidRDefault="00D400AF">
            <w:pPr>
              <w:adjustRightInd w:val="0"/>
              <w:spacing w:line="0" w:lineRule="atLeast"/>
              <w:jc w:val="center"/>
              <w:rPr>
                <w:rFonts w:eastAsia="方正仿宋_GBK"/>
                <w:bCs/>
                <w:color w:val="000000"/>
                <w:sz w:val="24"/>
                <w:szCs w:val="24"/>
              </w:rPr>
            </w:pPr>
          </w:p>
        </w:tc>
        <w:tc>
          <w:tcPr>
            <w:tcW w:w="4881" w:type="dxa"/>
            <w:vAlign w:val="center"/>
          </w:tcPr>
          <w:p w14:paraId="12443159"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公共卫生及有关领域学术技术带头人</w:t>
            </w:r>
          </w:p>
        </w:tc>
        <w:tc>
          <w:tcPr>
            <w:tcW w:w="1809" w:type="dxa"/>
            <w:vAlign w:val="center"/>
          </w:tcPr>
          <w:p w14:paraId="5D25D23C"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3</w:t>
            </w:r>
          </w:p>
        </w:tc>
      </w:tr>
      <w:tr w:rsidR="00D400AF" w14:paraId="2AECD315" w14:textId="77777777">
        <w:trPr>
          <w:trHeight w:val="454"/>
          <w:jc w:val="center"/>
        </w:trPr>
        <w:tc>
          <w:tcPr>
            <w:tcW w:w="752" w:type="dxa"/>
            <w:vAlign w:val="center"/>
          </w:tcPr>
          <w:p w14:paraId="70CACD11"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7</w:t>
            </w:r>
          </w:p>
        </w:tc>
        <w:tc>
          <w:tcPr>
            <w:tcW w:w="1449" w:type="dxa"/>
            <w:vMerge w:val="restart"/>
            <w:vAlign w:val="center"/>
          </w:tcPr>
          <w:p w14:paraId="2F2A0947" w14:textId="77777777" w:rsidR="00D400AF" w:rsidRDefault="00000000">
            <w:pPr>
              <w:adjustRightInd w:val="0"/>
              <w:spacing w:line="0" w:lineRule="atLeast"/>
              <w:jc w:val="center"/>
              <w:rPr>
                <w:rFonts w:eastAsia="方正仿宋_GBK"/>
                <w:bCs/>
                <w:color w:val="000000"/>
                <w:sz w:val="24"/>
                <w:szCs w:val="24"/>
              </w:rPr>
            </w:pPr>
            <w:r>
              <w:rPr>
                <w:rFonts w:eastAsia="方正仿宋_GBK"/>
                <w:sz w:val="24"/>
                <w:szCs w:val="24"/>
              </w:rPr>
              <w:t>服务能力</w:t>
            </w:r>
          </w:p>
        </w:tc>
        <w:tc>
          <w:tcPr>
            <w:tcW w:w="4881" w:type="dxa"/>
            <w:vAlign w:val="center"/>
          </w:tcPr>
          <w:p w14:paraId="7AB2A542" w14:textId="77777777" w:rsidR="00D400AF" w:rsidRDefault="00000000">
            <w:pPr>
              <w:pStyle w:val="11"/>
              <w:spacing w:line="0" w:lineRule="atLeast"/>
              <w:ind w:firstLineChars="0" w:firstLine="0"/>
              <w:textAlignment w:val="auto"/>
              <w:rPr>
                <w:rFonts w:eastAsia="方正仿宋_GBK"/>
                <w:sz w:val="24"/>
                <w:szCs w:val="24"/>
              </w:rPr>
            </w:pPr>
            <w:proofErr w:type="gramStart"/>
            <w:r>
              <w:rPr>
                <w:rFonts w:eastAsia="方正仿宋_GBK"/>
                <w:color w:val="000000"/>
                <w:sz w:val="24"/>
                <w:szCs w:val="24"/>
              </w:rPr>
              <w:t>区疾控中心</w:t>
            </w:r>
            <w:proofErr w:type="gramEnd"/>
            <w:r>
              <w:rPr>
                <w:rFonts w:eastAsia="方正仿宋_GBK"/>
                <w:color w:val="000000"/>
                <w:sz w:val="24"/>
                <w:szCs w:val="24"/>
              </w:rPr>
              <w:t>实验室检测项目（项）</w:t>
            </w:r>
          </w:p>
        </w:tc>
        <w:tc>
          <w:tcPr>
            <w:tcW w:w="1809" w:type="dxa"/>
            <w:vAlign w:val="center"/>
          </w:tcPr>
          <w:p w14:paraId="327AC538" w14:textId="77777777" w:rsidR="00D400AF" w:rsidRDefault="00000000">
            <w:pPr>
              <w:pStyle w:val="11"/>
              <w:spacing w:line="0" w:lineRule="atLeast"/>
              <w:ind w:firstLineChars="0" w:firstLine="0"/>
              <w:jc w:val="center"/>
              <w:textAlignment w:val="auto"/>
              <w:rPr>
                <w:rFonts w:eastAsia="方正仿宋_GBK"/>
                <w:sz w:val="24"/>
                <w:szCs w:val="24"/>
              </w:rPr>
            </w:pPr>
            <w:r>
              <w:rPr>
                <w:rFonts w:ascii="方正仿宋_GBK" w:eastAsia="方正仿宋_GBK" w:hAnsi="方正仿宋_GBK" w:cs="方正仿宋_GBK" w:hint="eastAsia"/>
                <w:sz w:val="24"/>
                <w:szCs w:val="24"/>
              </w:rPr>
              <w:t>≥</w:t>
            </w:r>
            <w:r>
              <w:rPr>
                <w:rFonts w:eastAsia="方正仿宋_GBK"/>
                <w:sz w:val="24"/>
                <w:szCs w:val="24"/>
              </w:rPr>
              <w:t>1200</w:t>
            </w:r>
          </w:p>
        </w:tc>
      </w:tr>
      <w:tr w:rsidR="00D400AF" w14:paraId="7875DEA6" w14:textId="77777777">
        <w:trPr>
          <w:trHeight w:val="454"/>
          <w:jc w:val="center"/>
        </w:trPr>
        <w:tc>
          <w:tcPr>
            <w:tcW w:w="752" w:type="dxa"/>
            <w:vAlign w:val="center"/>
          </w:tcPr>
          <w:p w14:paraId="5A6A8905"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8</w:t>
            </w:r>
          </w:p>
        </w:tc>
        <w:tc>
          <w:tcPr>
            <w:tcW w:w="1449" w:type="dxa"/>
            <w:vMerge/>
            <w:vAlign w:val="center"/>
          </w:tcPr>
          <w:p w14:paraId="44176E17" w14:textId="77777777" w:rsidR="00D400AF" w:rsidRDefault="00D400AF">
            <w:pPr>
              <w:adjustRightInd w:val="0"/>
              <w:spacing w:line="0" w:lineRule="atLeast"/>
              <w:jc w:val="center"/>
              <w:rPr>
                <w:rFonts w:eastAsia="方正仿宋_GBK"/>
                <w:bCs/>
                <w:color w:val="000000"/>
                <w:sz w:val="24"/>
                <w:szCs w:val="24"/>
              </w:rPr>
            </w:pPr>
          </w:p>
        </w:tc>
        <w:tc>
          <w:tcPr>
            <w:tcW w:w="4881" w:type="dxa"/>
            <w:vAlign w:val="center"/>
          </w:tcPr>
          <w:p w14:paraId="51E74A10"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重点专（学）科（</w:t>
            </w:r>
            <w:proofErr w:type="gramStart"/>
            <w:r>
              <w:rPr>
                <w:rFonts w:eastAsia="方正仿宋_GBK"/>
                <w:sz w:val="24"/>
                <w:szCs w:val="24"/>
              </w:rPr>
              <w:t>个</w:t>
            </w:r>
            <w:proofErr w:type="gramEnd"/>
            <w:r>
              <w:rPr>
                <w:rFonts w:eastAsia="方正仿宋_GBK"/>
                <w:sz w:val="24"/>
                <w:szCs w:val="24"/>
              </w:rPr>
              <w:t>）</w:t>
            </w:r>
          </w:p>
        </w:tc>
        <w:tc>
          <w:tcPr>
            <w:tcW w:w="1809" w:type="dxa"/>
            <w:vAlign w:val="center"/>
          </w:tcPr>
          <w:p w14:paraId="31111C42"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5</w:t>
            </w:r>
          </w:p>
        </w:tc>
      </w:tr>
      <w:tr w:rsidR="00D400AF" w14:paraId="571046A3" w14:textId="77777777">
        <w:trPr>
          <w:trHeight w:val="454"/>
          <w:jc w:val="center"/>
        </w:trPr>
        <w:tc>
          <w:tcPr>
            <w:tcW w:w="752" w:type="dxa"/>
            <w:vAlign w:val="center"/>
          </w:tcPr>
          <w:p w14:paraId="5CEB7BDE"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9</w:t>
            </w:r>
          </w:p>
        </w:tc>
        <w:tc>
          <w:tcPr>
            <w:tcW w:w="1449" w:type="dxa"/>
            <w:vMerge/>
            <w:vAlign w:val="center"/>
          </w:tcPr>
          <w:p w14:paraId="50FBCD56" w14:textId="77777777" w:rsidR="00D400AF" w:rsidRDefault="00D400AF">
            <w:pPr>
              <w:adjustRightInd w:val="0"/>
              <w:spacing w:line="0" w:lineRule="atLeast"/>
              <w:jc w:val="center"/>
              <w:rPr>
                <w:rFonts w:eastAsia="方正仿宋_GBK"/>
                <w:bCs/>
                <w:color w:val="000000"/>
                <w:sz w:val="24"/>
                <w:szCs w:val="24"/>
              </w:rPr>
            </w:pPr>
          </w:p>
        </w:tc>
        <w:tc>
          <w:tcPr>
            <w:tcW w:w="4881" w:type="dxa"/>
            <w:vAlign w:val="center"/>
          </w:tcPr>
          <w:p w14:paraId="67014657"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区级突发急性传染病防控应急队伍（支）</w:t>
            </w:r>
          </w:p>
        </w:tc>
        <w:tc>
          <w:tcPr>
            <w:tcW w:w="1809" w:type="dxa"/>
            <w:vAlign w:val="center"/>
          </w:tcPr>
          <w:p w14:paraId="36F4593D"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w:t>
            </w:r>
          </w:p>
        </w:tc>
      </w:tr>
      <w:tr w:rsidR="00D400AF" w14:paraId="3483AC71" w14:textId="77777777">
        <w:trPr>
          <w:trHeight w:val="454"/>
          <w:jc w:val="center"/>
        </w:trPr>
        <w:tc>
          <w:tcPr>
            <w:tcW w:w="752" w:type="dxa"/>
            <w:vAlign w:val="center"/>
          </w:tcPr>
          <w:p w14:paraId="2672AE03"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10</w:t>
            </w:r>
          </w:p>
        </w:tc>
        <w:tc>
          <w:tcPr>
            <w:tcW w:w="1449" w:type="dxa"/>
            <w:vMerge/>
            <w:vAlign w:val="center"/>
          </w:tcPr>
          <w:p w14:paraId="188A77EB" w14:textId="77777777" w:rsidR="00D400AF" w:rsidRDefault="00D400AF">
            <w:pPr>
              <w:adjustRightInd w:val="0"/>
              <w:spacing w:line="0" w:lineRule="atLeast"/>
              <w:jc w:val="center"/>
              <w:rPr>
                <w:rFonts w:eastAsia="方正仿宋_GBK"/>
                <w:bCs/>
                <w:color w:val="000000"/>
                <w:sz w:val="24"/>
                <w:szCs w:val="24"/>
              </w:rPr>
            </w:pPr>
          </w:p>
        </w:tc>
        <w:tc>
          <w:tcPr>
            <w:tcW w:w="4881" w:type="dxa"/>
            <w:vAlign w:val="center"/>
          </w:tcPr>
          <w:p w14:paraId="13272926"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院前急救平均反应时间（分钟）</w:t>
            </w:r>
          </w:p>
        </w:tc>
        <w:tc>
          <w:tcPr>
            <w:tcW w:w="1809" w:type="dxa"/>
            <w:vAlign w:val="center"/>
          </w:tcPr>
          <w:p w14:paraId="606241D0"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14</w:t>
            </w:r>
            <w:r>
              <w:rPr>
                <w:rFonts w:eastAsia="方正仿宋_GBK"/>
                <w:sz w:val="24"/>
                <w:szCs w:val="24"/>
              </w:rPr>
              <w:t>以内</w:t>
            </w:r>
          </w:p>
        </w:tc>
      </w:tr>
      <w:tr w:rsidR="00D400AF" w14:paraId="21012901" w14:textId="77777777">
        <w:trPr>
          <w:trHeight w:val="454"/>
          <w:jc w:val="center"/>
        </w:trPr>
        <w:tc>
          <w:tcPr>
            <w:tcW w:w="752" w:type="dxa"/>
            <w:vAlign w:val="center"/>
          </w:tcPr>
          <w:p w14:paraId="3A7B49C3"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11</w:t>
            </w:r>
          </w:p>
        </w:tc>
        <w:tc>
          <w:tcPr>
            <w:tcW w:w="1449" w:type="dxa"/>
            <w:vMerge w:val="restart"/>
            <w:vAlign w:val="center"/>
          </w:tcPr>
          <w:p w14:paraId="26C98818" w14:textId="77777777" w:rsidR="00D400AF" w:rsidRDefault="00000000">
            <w:pPr>
              <w:adjustRightInd w:val="0"/>
              <w:spacing w:line="0" w:lineRule="atLeast"/>
              <w:jc w:val="center"/>
              <w:rPr>
                <w:rFonts w:eastAsia="方正仿宋_GBK"/>
                <w:sz w:val="24"/>
                <w:szCs w:val="24"/>
              </w:rPr>
            </w:pPr>
            <w:r>
              <w:rPr>
                <w:rFonts w:eastAsia="方正仿宋_GBK"/>
                <w:sz w:val="24"/>
                <w:szCs w:val="24"/>
              </w:rPr>
              <w:t>健康状况</w:t>
            </w:r>
            <w:proofErr w:type="gramStart"/>
            <w:r>
              <w:rPr>
                <w:rFonts w:eastAsia="方正仿宋_GBK"/>
                <w:sz w:val="24"/>
                <w:szCs w:val="24"/>
              </w:rPr>
              <w:t>和</w:t>
            </w:r>
            <w:proofErr w:type="gramEnd"/>
          </w:p>
          <w:p w14:paraId="1C76DAC9" w14:textId="77777777" w:rsidR="00D400AF" w:rsidRDefault="00000000">
            <w:pPr>
              <w:adjustRightInd w:val="0"/>
              <w:spacing w:line="0" w:lineRule="atLeast"/>
              <w:jc w:val="center"/>
              <w:rPr>
                <w:rFonts w:eastAsia="方正仿宋_GBK"/>
                <w:bCs/>
                <w:color w:val="000000"/>
                <w:sz w:val="24"/>
                <w:szCs w:val="24"/>
              </w:rPr>
            </w:pPr>
            <w:r>
              <w:rPr>
                <w:rFonts w:eastAsia="方正仿宋_GBK"/>
                <w:sz w:val="24"/>
                <w:szCs w:val="24"/>
              </w:rPr>
              <w:t>健康素养</w:t>
            </w:r>
          </w:p>
        </w:tc>
        <w:tc>
          <w:tcPr>
            <w:tcW w:w="4881" w:type="dxa"/>
            <w:vAlign w:val="center"/>
          </w:tcPr>
          <w:p w14:paraId="16B4113C"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65</w:t>
            </w:r>
            <w:r>
              <w:rPr>
                <w:rFonts w:eastAsia="方正仿宋_GBK"/>
                <w:sz w:val="24"/>
                <w:szCs w:val="24"/>
              </w:rPr>
              <w:t>岁以上老年人结核病筛查率（</w:t>
            </w:r>
            <w:r>
              <w:rPr>
                <w:rFonts w:eastAsia="方正仿宋_GBK"/>
                <w:sz w:val="24"/>
                <w:szCs w:val="24"/>
              </w:rPr>
              <w:t>%</w:t>
            </w:r>
            <w:r>
              <w:rPr>
                <w:rFonts w:eastAsia="方正仿宋_GBK"/>
                <w:sz w:val="24"/>
                <w:szCs w:val="24"/>
              </w:rPr>
              <w:t>）</w:t>
            </w:r>
          </w:p>
        </w:tc>
        <w:tc>
          <w:tcPr>
            <w:tcW w:w="1809" w:type="dxa"/>
            <w:vAlign w:val="center"/>
          </w:tcPr>
          <w:p w14:paraId="1505F7D3"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70</w:t>
            </w:r>
          </w:p>
        </w:tc>
      </w:tr>
      <w:tr w:rsidR="00D400AF" w14:paraId="330091D4" w14:textId="77777777">
        <w:trPr>
          <w:trHeight w:val="454"/>
          <w:jc w:val="center"/>
        </w:trPr>
        <w:tc>
          <w:tcPr>
            <w:tcW w:w="752" w:type="dxa"/>
            <w:vAlign w:val="center"/>
          </w:tcPr>
          <w:p w14:paraId="448ECC8D"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12</w:t>
            </w:r>
          </w:p>
        </w:tc>
        <w:tc>
          <w:tcPr>
            <w:tcW w:w="1449" w:type="dxa"/>
            <w:vMerge/>
          </w:tcPr>
          <w:p w14:paraId="354A181D" w14:textId="77777777" w:rsidR="00D400AF" w:rsidRDefault="00D400AF">
            <w:pPr>
              <w:adjustRightInd w:val="0"/>
              <w:spacing w:line="0" w:lineRule="atLeast"/>
              <w:rPr>
                <w:rFonts w:eastAsia="方正仿宋_GBK"/>
                <w:bCs/>
                <w:color w:val="000000"/>
                <w:sz w:val="24"/>
                <w:szCs w:val="24"/>
              </w:rPr>
            </w:pPr>
          </w:p>
        </w:tc>
        <w:tc>
          <w:tcPr>
            <w:tcW w:w="4881" w:type="dxa"/>
            <w:vAlign w:val="center"/>
          </w:tcPr>
          <w:p w14:paraId="768BD0AC"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全人群艾滋病检测覆盖率（</w:t>
            </w:r>
            <w:r>
              <w:rPr>
                <w:rFonts w:eastAsia="方正仿宋_GBK"/>
                <w:sz w:val="24"/>
                <w:szCs w:val="24"/>
              </w:rPr>
              <w:t>%</w:t>
            </w:r>
            <w:r>
              <w:rPr>
                <w:rFonts w:eastAsia="方正仿宋_GBK"/>
                <w:sz w:val="24"/>
                <w:szCs w:val="24"/>
              </w:rPr>
              <w:t>）</w:t>
            </w:r>
          </w:p>
        </w:tc>
        <w:tc>
          <w:tcPr>
            <w:tcW w:w="1809" w:type="dxa"/>
            <w:vAlign w:val="center"/>
          </w:tcPr>
          <w:p w14:paraId="6CD142E7"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维持在</w:t>
            </w:r>
            <w:r>
              <w:rPr>
                <w:rFonts w:eastAsia="方正仿宋_GBK"/>
                <w:sz w:val="24"/>
                <w:szCs w:val="24"/>
              </w:rPr>
              <w:t>45</w:t>
            </w:r>
            <w:r>
              <w:rPr>
                <w:rFonts w:eastAsia="方正仿宋_GBK"/>
                <w:sz w:val="24"/>
                <w:szCs w:val="24"/>
              </w:rPr>
              <w:t>以上</w:t>
            </w:r>
          </w:p>
        </w:tc>
      </w:tr>
      <w:tr w:rsidR="00D400AF" w14:paraId="0DC470EF" w14:textId="77777777">
        <w:trPr>
          <w:trHeight w:val="454"/>
          <w:jc w:val="center"/>
        </w:trPr>
        <w:tc>
          <w:tcPr>
            <w:tcW w:w="752" w:type="dxa"/>
            <w:vAlign w:val="center"/>
          </w:tcPr>
          <w:p w14:paraId="37E739DF"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13</w:t>
            </w:r>
          </w:p>
        </w:tc>
        <w:tc>
          <w:tcPr>
            <w:tcW w:w="1449" w:type="dxa"/>
            <w:vMerge/>
          </w:tcPr>
          <w:p w14:paraId="3CA40145" w14:textId="77777777" w:rsidR="00D400AF" w:rsidRDefault="00D400AF">
            <w:pPr>
              <w:adjustRightInd w:val="0"/>
              <w:spacing w:line="0" w:lineRule="atLeast"/>
              <w:rPr>
                <w:rFonts w:eastAsia="方正仿宋_GBK"/>
                <w:bCs/>
                <w:color w:val="000000"/>
                <w:sz w:val="24"/>
                <w:szCs w:val="24"/>
              </w:rPr>
            </w:pPr>
          </w:p>
        </w:tc>
        <w:tc>
          <w:tcPr>
            <w:tcW w:w="4881" w:type="dxa"/>
            <w:vAlign w:val="center"/>
          </w:tcPr>
          <w:p w14:paraId="7AD18510" w14:textId="77777777" w:rsidR="00D400AF" w:rsidRDefault="00000000">
            <w:pPr>
              <w:pStyle w:val="11"/>
              <w:tabs>
                <w:tab w:val="left" w:pos="1262"/>
              </w:tabs>
              <w:spacing w:line="0" w:lineRule="atLeast"/>
              <w:ind w:firstLineChars="0" w:firstLine="0"/>
              <w:textAlignment w:val="auto"/>
              <w:rPr>
                <w:rFonts w:eastAsia="方正仿宋_GBK"/>
                <w:sz w:val="24"/>
                <w:szCs w:val="24"/>
              </w:rPr>
            </w:pPr>
            <w:r>
              <w:rPr>
                <w:rFonts w:eastAsia="方正仿宋_GBK"/>
                <w:sz w:val="24"/>
                <w:szCs w:val="24"/>
                <w:lang w:bidi="ar"/>
              </w:rPr>
              <w:t>结核病发病率（人</w:t>
            </w:r>
            <w:r>
              <w:rPr>
                <w:rFonts w:eastAsia="方正仿宋_GBK"/>
                <w:sz w:val="24"/>
                <w:szCs w:val="24"/>
                <w:lang w:bidi="ar"/>
              </w:rPr>
              <w:t>/10</w:t>
            </w:r>
            <w:r>
              <w:rPr>
                <w:rFonts w:eastAsia="方正仿宋_GBK"/>
                <w:sz w:val="24"/>
                <w:szCs w:val="24"/>
                <w:lang w:bidi="ar"/>
              </w:rPr>
              <w:t>万人）</w:t>
            </w:r>
          </w:p>
        </w:tc>
        <w:tc>
          <w:tcPr>
            <w:tcW w:w="1809" w:type="dxa"/>
            <w:vAlign w:val="center"/>
          </w:tcPr>
          <w:p w14:paraId="52EA9E36" w14:textId="77777777" w:rsidR="00D400AF" w:rsidRDefault="00000000">
            <w:pPr>
              <w:spacing w:line="0" w:lineRule="atLeast"/>
              <w:jc w:val="center"/>
              <w:textAlignment w:val="auto"/>
              <w:rPr>
                <w:rFonts w:eastAsia="方正仿宋_GBK"/>
                <w:sz w:val="24"/>
                <w:szCs w:val="24"/>
                <w:lang w:val="en"/>
              </w:rPr>
            </w:pPr>
            <w:r>
              <w:rPr>
                <w:rFonts w:eastAsia="方正仿宋_GBK"/>
                <w:sz w:val="24"/>
                <w:szCs w:val="24"/>
                <w:lang w:val="en"/>
              </w:rPr>
              <w:t>维持在</w:t>
            </w:r>
            <w:r>
              <w:rPr>
                <w:rFonts w:eastAsia="方正仿宋_GBK"/>
                <w:sz w:val="24"/>
                <w:szCs w:val="24"/>
                <w:lang w:val="en"/>
              </w:rPr>
              <w:t>46</w:t>
            </w:r>
            <w:r>
              <w:rPr>
                <w:rFonts w:eastAsia="方正仿宋_GBK"/>
                <w:sz w:val="24"/>
                <w:szCs w:val="24"/>
                <w:lang w:bidi="ar"/>
              </w:rPr>
              <w:t>以下</w:t>
            </w:r>
          </w:p>
        </w:tc>
      </w:tr>
      <w:tr w:rsidR="00D400AF" w14:paraId="1AB1B497" w14:textId="77777777">
        <w:trPr>
          <w:trHeight w:val="454"/>
          <w:jc w:val="center"/>
        </w:trPr>
        <w:tc>
          <w:tcPr>
            <w:tcW w:w="752" w:type="dxa"/>
            <w:vAlign w:val="center"/>
          </w:tcPr>
          <w:p w14:paraId="442D4934"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14</w:t>
            </w:r>
          </w:p>
        </w:tc>
        <w:tc>
          <w:tcPr>
            <w:tcW w:w="1449" w:type="dxa"/>
            <w:vMerge/>
          </w:tcPr>
          <w:p w14:paraId="185E3B91" w14:textId="77777777" w:rsidR="00D400AF" w:rsidRDefault="00D400AF">
            <w:pPr>
              <w:adjustRightInd w:val="0"/>
              <w:spacing w:line="0" w:lineRule="atLeast"/>
              <w:rPr>
                <w:rFonts w:eastAsia="方正仿宋_GBK"/>
                <w:bCs/>
                <w:color w:val="000000"/>
                <w:sz w:val="24"/>
                <w:szCs w:val="24"/>
              </w:rPr>
            </w:pPr>
          </w:p>
        </w:tc>
        <w:tc>
          <w:tcPr>
            <w:tcW w:w="4881" w:type="dxa"/>
            <w:vAlign w:val="center"/>
          </w:tcPr>
          <w:p w14:paraId="721FDDD3"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主要慢性病早死概率（</w:t>
            </w:r>
            <w:r>
              <w:rPr>
                <w:rFonts w:eastAsia="方正仿宋_GBK"/>
                <w:sz w:val="24"/>
                <w:szCs w:val="24"/>
              </w:rPr>
              <w:t>%</w:t>
            </w:r>
            <w:r>
              <w:rPr>
                <w:rFonts w:eastAsia="方正仿宋_GBK"/>
                <w:sz w:val="24"/>
                <w:szCs w:val="24"/>
              </w:rPr>
              <w:t>）</w:t>
            </w:r>
          </w:p>
        </w:tc>
        <w:tc>
          <w:tcPr>
            <w:tcW w:w="1809" w:type="dxa"/>
            <w:vAlign w:val="center"/>
          </w:tcPr>
          <w:p w14:paraId="4B8DD1AD"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维持在</w:t>
            </w:r>
            <w:r>
              <w:rPr>
                <w:rFonts w:eastAsia="方正仿宋_GBK"/>
                <w:sz w:val="24"/>
                <w:szCs w:val="24"/>
              </w:rPr>
              <w:t>13</w:t>
            </w:r>
            <w:r>
              <w:rPr>
                <w:rFonts w:eastAsia="方正仿宋_GBK"/>
                <w:sz w:val="24"/>
                <w:szCs w:val="24"/>
              </w:rPr>
              <w:t>以下</w:t>
            </w:r>
          </w:p>
        </w:tc>
      </w:tr>
      <w:tr w:rsidR="00D400AF" w14:paraId="4A3FB1D2" w14:textId="77777777">
        <w:trPr>
          <w:trHeight w:val="454"/>
          <w:jc w:val="center"/>
        </w:trPr>
        <w:tc>
          <w:tcPr>
            <w:tcW w:w="752" w:type="dxa"/>
            <w:vAlign w:val="center"/>
          </w:tcPr>
          <w:p w14:paraId="2E69B70F"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15</w:t>
            </w:r>
          </w:p>
        </w:tc>
        <w:tc>
          <w:tcPr>
            <w:tcW w:w="1449" w:type="dxa"/>
            <w:vMerge/>
          </w:tcPr>
          <w:p w14:paraId="28A088C0" w14:textId="77777777" w:rsidR="00D400AF" w:rsidRDefault="00D400AF">
            <w:pPr>
              <w:adjustRightInd w:val="0"/>
              <w:spacing w:line="0" w:lineRule="atLeast"/>
              <w:rPr>
                <w:rFonts w:eastAsia="方正仿宋_GBK"/>
                <w:bCs/>
                <w:color w:val="000000"/>
                <w:sz w:val="24"/>
                <w:szCs w:val="24"/>
              </w:rPr>
            </w:pPr>
          </w:p>
        </w:tc>
        <w:tc>
          <w:tcPr>
            <w:tcW w:w="4881" w:type="dxa"/>
            <w:vAlign w:val="center"/>
          </w:tcPr>
          <w:p w14:paraId="31AB0079" w14:textId="77777777" w:rsidR="00D400AF" w:rsidRDefault="00000000">
            <w:pPr>
              <w:pStyle w:val="11"/>
              <w:spacing w:line="0" w:lineRule="atLeast"/>
              <w:ind w:firstLineChars="0" w:firstLine="0"/>
              <w:textAlignment w:val="auto"/>
              <w:rPr>
                <w:rFonts w:eastAsia="方正仿宋_GBK"/>
                <w:sz w:val="24"/>
                <w:szCs w:val="24"/>
              </w:rPr>
            </w:pPr>
            <w:proofErr w:type="gramStart"/>
            <w:r>
              <w:rPr>
                <w:rFonts w:eastAsia="方正仿宋_GBK"/>
                <w:sz w:val="24"/>
                <w:szCs w:val="24"/>
              </w:rPr>
              <w:t>孕</w:t>
            </w:r>
            <w:proofErr w:type="gramEnd"/>
            <w:r>
              <w:rPr>
                <w:rFonts w:eastAsia="方正仿宋_GBK"/>
                <w:sz w:val="24"/>
                <w:szCs w:val="24"/>
              </w:rPr>
              <w:t>产妇死亡率（人</w:t>
            </w:r>
            <w:r>
              <w:rPr>
                <w:rFonts w:eastAsia="方正仿宋_GBK"/>
                <w:sz w:val="24"/>
                <w:szCs w:val="24"/>
              </w:rPr>
              <w:t>/10</w:t>
            </w:r>
            <w:r>
              <w:rPr>
                <w:rFonts w:eastAsia="方正仿宋_GBK"/>
                <w:sz w:val="24"/>
                <w:szCs w:val="24"/>
              </w:rPr>
              <w:t>万人）</w:t>
            </w:r>
          </w:p>
        </w:tc>
        <w:tc>
          <w:tcPr>
            <w:tcW w:w="1809" w:type="dxa"/>
            <w:vAlign w:val="center"/>
          </w:tcPr>
          <w:p w14:paraId="083DE9D1"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维持在</w:t>
            </w:r>
            <w:r>
              <w:rPr>
                <w:rFonts w:eastAsia="方正仿宋_GBK"/>
                <w:sz w:val="24"/>
                <w:szCs w:val="24"/>
              </w:rPr>
              <w:t>8</w:t>
            </w:r>
            <w:r>
              <w:rPr>
                <w:rFonts w:eastAsia="方正仿宋_GBK"/>
                <w:sz w:val="24"/>
                <w:szCs w:val="24"/>
              </w:rPr>
              <w:t>以下</w:t>
            </w:r>
          </w:p>
        </w:tc>
      </w:tr>
      <w:tr w:rsidR="00D400AF" w14:paraId="540119F8" w14:textId="77777777">
        <w:trPr>
          <w:trHeight w:val="454"/>
          <w:jc w:val="center"/>
        </w:trPr>
        <w:tc>
          <w:tcPr>
            <w:tcW w:w="752" w:type="dxa"/>
            <w:vAlign w:val="center"/>
          </w:tcPr>
          <w:p w14:paraId="0895964A"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16</w:t>
            </w:r>
          </w:p>
        </w:tc>
        <w:tc>
          <w:tcPr>
            <w:tcW w:w="1449" w:type="dxa"/>
            <w:vMerge/>
          </w:tcPr>
          <w:p w14:paraId="6DB355EB" w14:textId="77777777" w:rsidR="00D400AF" w:rsidRDefault="00D400AF">
            <w:pPr>
              <w:adjustRightInd w:val="0"/>
              <w:spacing w:line="0" w:lineRule="atLeast"/>
              <w:rPr>
                <w:rFonts w:eastAsia="方正仿宋_GBK"/>
                <w:bCs/>
                <w:color w:val="000000"/>
                <w:sz w:val="24"/>
                <w:szCs w:val="24"/>
              </w:rPr>
            </w:pPr>
          </w:p>
        </w:tc>
        <w:tc>
          <w:tcPr>
            <w:tcW w:w="4881" w:type="dxa"/>
            <w:vAlign w:val="center"/>
          </w:tcPr>
          <w:p w14:paraId="13F40BB0"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5</w:t>
            </w:r>
            <w:r>
              <w:rPr>
                <w:rFonts w:eastAsia="方正仿宋_GBK"/>
                <w:sz w:val="24"/>
                <w:szCs w:val="24"/>
              </w:rPr>
              <w:t>岁以下儿童死亡率（</w:t>
            </w:r>
            <w:r>
              <w:rPr>
                <w:rFonts w:eastAsia="方正仿宋_GBK"/>
                <w:sz w:val="24"/>
                <w:szCs w:val="24"/>
              </w:rPr>
              <w:t>‰</w:t>
            </w:r>
            <w:r>
              <w:rPr>
                <w:rFonts w:eastAsia="方正仿宋_GBK"/>
                <w:sz w:val="24"/>
                <w:szCs w:val="24"/>
              </w:rPr>
              <w:t>）</w:t>
            </w:r>
          </w:p>
        </w:tc>
        <w:tc>
          <w:tcPr>
            <w:tcW w:w="1809" w:type="dxa"/>
            <w:vAlign w:val="center"/>
          </w:tcPr>
          <w:p w14:paraId="14712765"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控制在</w:t>
            </w:r>
            <w:r>
              <w:rPr>
                <w:rFonts w:eastAsia="方正仿宋_GBK"/>
                <w:sz w:val="24"/>
                <w:szCs w:val="24"/>
              </w:rPr>
              <w:t>4.3</w:t>
            </w:r>
            <w:r>
              <w:rPr>
                <w:rFonts w:eastAsia="方正仿宋_GBK"/>
                <w:sz w:val="24"/>
                <w:szCs w:val="24"/>
              </w:rPr>
              <w:t>以下</w:t>
            </w:r>
          </w:p>
        </w:tc>
      </w:tr>
      <w:tr w:rsidR="00D400AF" w14:paraId="31981FD9" w14:textId="77777777">
        <w:trPr>
          <w:trHeight w:val="454"/>
          <w:jc w:val="center"/>
        </w:trPr>
        <w:tc>
          <w:tcPr>
            <w:tcW w:w="752" w:type="dxa"/>
            <w:vAlign w:val="center"/>
          </w:tcPr>
          <w:p w14:paraId="494E157C"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17</w:t>
            </w:r>
          </w:p>
        </w:tc>
        <w:tc>
          <w:tcPr>
            <w:tcW w:w="1449" w:type="dxa"/>
            <w:vMerge/>
          </w:tcPr>
          <w:p w14:paraId="539B2072" w14:textId="77777777" w:rsidR="00D400AF" w:rsidRDefault="00D400AF">
            <w:pPr>
              <w:adjustRightInd w:val="0"/>
              <w:spacing w:line="0" w:lineRule="atLeast"/>
              <w:rPr>
                <w:rFonts w:eastAsia="方正仿宋_GBK"/>
                <w:bCs/>
                <w:color w:val="000000"/>
                <w:sz w:val="24"/>
                <w:szCs w:val="24"/>
              </w:rPr>
            </w:pPr>
          </w:p>
        </w:tc>
        <w:tc>
          <w:tcPr>
            <w:tcW w:w="4881" w:type="dxa"/>
            <w:vAlign w:val="center"/>
          </w:tcPr>
          <w:p w14:paraId="01388C8F"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居民健康素养水平（</w:t>
            </w:r>
            <w:r>
              <w:rPr>
                <w:rFonts w:eastAsia="方正仿宋_GBK"/>
                <w:sz w:val="24"/>
                <w:szCs w:val="24"/>
              </w:rPr>
              <w:t>%</w:t>
            </w:r>
            <w:r>
              <w:rPr>
                <w:rFonts w:eastAsia="方正仿宋_GBK"/>
                <w:sz w:val="24"/>
                <w:szCs w:val="24"/>
              </w:rPr>
              <w:t>）</w:t>
            </w:r>
          </w:p>
        </w:tc>
        <w:tc>
          <w:tcPr>
            <w:tcW w:w="1809" w:type="dxa"/>
            <w:vAlign w:val="center"/>
          </w:tcPr>
          <w:p w14:paraId="717506F0"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33</w:t>
            </w:r>
          </w:p>
        </w:tc>
      </w:tr>
      <w:tr w:rsidR="00D400AF" w14:paraId="667711B3" w14:textId="77777777">
        <w:trPr>
          <w:trHeight w:val="454"/>
          <w:jc w:val="center"/>
        </w:trPr>
        <w:tc>
          <w:tcPr>
            <w:tcW w:w="752" w:type="dxa"/>
            <w:vAlign w:val="center"/>
          </w:tcPr>
          <w:p w14:paraId="340A942F"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18</w:t>
            </w:r>
          </w:p>
        </w:tc>
        <w:tc>
          <w:tcPr>
            <w:tcW w:w="1449" w:type="dxa"/>
            <w:vMerge/>
          </w:tcPr>
          <w:p w14:paraId="14E3AC70" w14:textId="77777777" w:rsidR="00D400AF" w:rsidRDefault="00D400AF">
            <w:pPr>
              <w:adjustRightInd w:val="0"/>
              <w:spacing w:line="0" w:lineRule="atLeast"/>
              <w:rPr>
                <w:rFonts w:eastAsia="方正仿宋_GBK"/>
                <w:bCs/>
                <w:color w:val="000000"/>
                <w:sz w:val="24"/>
                <w:szCs w:val="24"/>
              </w:rPr>
            </w:pPr>
          </w:p>
        </w:tc>
        <w:tc>
          <w:tcPr>
            <w:tcW w:w="4881" w:type="dxa"/>
            <w:vAlign w:val="center"/>
          </w:tcPr>
          <w:p w14:paraId="7D5B0499" w14:textId="77777777" w:rsidR="00D400AF" w:rsidRDefault="00000000">
            <w:pPr>
              <w:pStyle w:val="11"/>
              <w:spacing w:line="0" w:lineRule="atLeast"/>
              <w:ind w:firstLineChars="0" w:firstLine="0"/>
              <w:textAlignment w:val="auto"/>
              <w:rPr>
                <w:rFonts w:eastAsia="方正仿宋_GBK"/>
                <w:sz w:val="24"/>
                <w:szCs w:val="24"/>
              </w:rPr>
            </w:pPr>
            <w:r>
              <w:rPr>
                <w:rFonts w:eastAsia="方正仿宋_GBK"/>
                <w:sz w:val="24"/>
                <w:szCs w:val="24"/>
              </w:rPr>
              <w:t>15</w:t>
            </w:r>
            <w:r>
              <w:rPr>
                <w:rFonts w:eastAsia="方正仿宋_GBK"/>
                <w:sz w:val="24"/>
                <w:szCs w:val="24"/>
              </w:rPr>
              <w:t>岁以上人群吸烟率（</w:t>
            </w:r>
            <w:r>
              <w:rPr>
                <w:rFonts w:eastAsia="方正仿宋_GBK"/>
                <w:sz w:val="24"/>
                <w:szCs w:val="24"/>
              </w:rPr>
              <w:t>%</w:t>
            </w:r>
            <w:r>
              <w:rPr>
                <w:rFonts w:eastAsia="方正仿宋_GBK"/>
                <w:sz w:val="24"/>
                <w:szCs w:val="24"/>
              </w:rPr>
              <w:t>）</w:t>
            </w:r>
          </w:p>
        </w:tc>
        <w:tc>
          <w:tcPr>
            <w:tcW w:w="1809" w:type="dxa"/>
            <w:vAlign w:val="center"/>
          </w:tcPr>
          <w:p w14:paraId="27CC5F77" w14:textId="77777777" w:rsidR="00D400AF" w:rsidRDefault="00000000">
            <w:pPr>
              <w:pStyle w:val="11"/>
              <w:spacing w:line="0" w:lineRule="atLeast"/>
              <w:ind w:firstLineChars="0" w:firstLine="0"/>
              <w:jc w:val="center"/>
              <w:textAlignment w:val="auto"/>
              <w:rPr>
                <w:rFonts w:eastAsia="方正仿宋_GBK"/>
                <w:sz w:val="24"/>
                <w:szCs w:val="24"/>
              </w:rPr>
            </w:pPr>
            <w:r>
              <w:rPr>
                <w:rFonts w:eastAsia="方正仿宋_GBK"/>
                <w:sz w:val="24"/>
                <w:szCs w:val="24"/>
              </w:rPr>
              <w:t>控制在</w:t>
            </w:r>
            <w:r>
              <w:rPr>
                <w:rFonts w:eastAsia="方正仿宋_GBK"/>
                <w:sz w:val="24"/>
                <w:szCs w:val="24"/>
              </w:rPr>
              <w:t>23</w:t>
            </w:r>
            <w:r>
              <w:rPr>
                <w:rFonts w:eastAsia="方正仿宋_GBK"/>
                <w:sz w:val="24"/>
                <w:szCs w:val="24"/>
              </w:rPr>
              <w:t>以下</w:t>
            </w:r>
          </w:p>
        </w:tc>
      </w:tr>
    </w:tbl>
    <w:p w14:paraId="00EEE615" w14:textId="77777777" w:rsidR="00D400AF" w:rsidRDefault="00000000">
      <w:pPr>
        <w:pStyle w:val="a5"/>
        <w:widowControl w:val="0"/>
        <w:overflowPunct w:val="0"/>
        <w:adjustRightInd w:val="0"/>
        <w:snapToGrid w:val="0"/>
        <w:spacing w:line="630" w:lineRule="exact"/>
        <w:ind w:firstLineChars="200" w:firstLine="640"/>
        <w:rPr>
          <w:rFonts w:eastAsia="方正黑体_GBK"/>
          <w:bCs/>
          <w:color w:val="000000"/>
          <w:sz w:val="32"/>
          <w:szCs w:val="32"/>
        </w:rPr>
      </w:pPr>
      <w:r>
        <w:rPr>
          <w:rFonts w:eastAsia="方正黑体_GBK"/>
          <w:bCs/>
          <w:color w:val="000000"/>
          <w:sz w:val="32"/>
          <w:szCs w:val="32"/>
        </w:rPr>
        <w:t>二、重点任务</w:t>
      </w:r>
    </w:p>
    <w:p w14:paraId="67FD763D" w14:textId="77777777" w:rsidR="00D400AF" w:rsidRDefault="00000000">
      <w:pPr>
        <w:widowControl w:val="0"/>
        <w:overflowPunct w:val="0"/>
        <w:spacing w:line="630" w:lineRule="exact"/>
        <w:ind w:firstLineChars="200" w:firstLine="640"/>
        <w:rPr>
          <w:rFonts w:eastAsia="方正楷体_GBK"/>
          <w:sz w:val="32"/>
          <w:szCs w:val="32"/>
        </w:rPr>
      </w:pPr>
      <w:r>
        <w:rPr>
          <w:rFonts w:eastAsia="方正楷体_GBK"/>
          <w:sz w:val="32"/>
          <w:szCs w:val="32"/>
        </w:rPr>
        <w:t>（一）实施公共卫生管理体制改革行动</w:t>
      </w:r>
    </w:p>
    <w:p w14:paraId="01ADEE5D"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w:t>
      </w:r>
      <w:proofErr w:type="gramStart"/>
      <w:r>
        <w:rPr>
          <w:rFonts w:eastAsia="方正仿宋_GBK"/>
          <w:b/>
          <w:bCs/>
          <w:kern w:val="0"/>
          <w:sz w:val="32"/>
          <w:szCs w:val="32"/>
        </w:rPr>
        <w:t>完成疾控机构改革</w:t>
      </w:r>
      <w:proofErr w:type="gramEnd"/>
      <w:r>
        <w:rPr>
          <w:rFonts w:eastAsia="方正仿宋_GBK"/>
          <w:b/>
          <w:bCs/>
          <w:kern w:val="0"/>
          <w:sz w:val="32"/>
          <w:szCs w:val="32"/>
        </w:rPr>
        <w:t>。</w:t>
      </w:r>
      <w:r>
        <w:rPr>
          <w:rFonts w:eastAsia="方正仿宋_GBK"/>
          <w:kern w:val="0"/>
          <w:sz w:val="32"/>
          <w:szCs w:val="32"/>
        </w:rPr>
        <w:t>2024</w:t>
      </w:r>
      <w:r>
        <w:rPr>
          <w:rFonts w:eastAsia="方正仿宋_GBK"/>
          <w:kern w:val="0"/>
          <w:sz w:val="32"/>
          <w:szCs w:val="32"/>
        </w:rPr>
        <w:t>年年底前完成</w:t>
      </w:r>
      <w:proofErr w:type="gramStart"/>
      <w:r>
        <w:rPr>
          <w:rFonts w:eastAsia="方正仿宋_GBK"/>
          <w:kern w:val="0"/>
          <w:sz w:val="32"/>
          <w:szCs w:val="32"/>
        </w:rPr>
        <w:t>区疾控局</w:t>
      </w:r>
      <w:proofErr w:type="gramEnd"/>
      <w:r>
        <w:rPr>
          <w:rFonts w:eastAsia="方正仿宋_GBK"/>
          <w:kern w:val="0"/>
          <w:sz w:val="32"/>
          <w:szCs w:val="32"/>
        </w:rPr>
        <w:t>组建运行。加强工作力量，在区</w:t>
      </w:r>
      <w:proofErr w:type="gramStart"/>
      <w:r>
        <w:rPr>
          <w:rFonts w:eastAsia="方正仿宋_GBK"/>
          <w:kern w:val="0"/>
          <w:sz w:val="32"/>
          <w:szCs w:val="32"/>
        </w:rPr>
        <w:t>卫健委增设</w:t>
      </w:r>
      <w:proofErr w:type="gramEnd"/>
      <w:r>
        <w:rPr>
          <w:rFonts w:eastAsia="方正仿宋_GBK"/>
          <w:kern w:val="0"/>
          <w:sz w:val="32"/>
          <w:szCs w:val="32"/>
        </w:rPr>
        <w:t>承担疾病预防控制、传染病疫情应急处置、公共卫生监督等职责的专门内设机构。（责任单位：区委组织部、区委编办、区卫生健康委）</w:t>
      </w:r>
    </w:p>
    <w:p w14:paraId="089E0974"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w:t>
      </w:r>
      <w:r>
        <w:rPr>
          <w:rFonts w:eastAsia="方正仿宋_GBK"/>
          <w:b/>
          <w:bCs/>
          <w:kern w:val="0"/>
          <w:sz w:val="32"/>
          <w:szCs w:val="32"/>
        </w:rPr>
        <w:t>建立规范高效的管理运行机制。</w:t>
      </w:r>
      <w:r>
        <w:rPr>
          <w:rFonts w:eastAsia="方正仿宋_GBK"/>
          <w:kern w:val="0"/>
          <w:sz w:val="32"/>
          <w:szCs w:val="32"/>
        </w:rPr>
        <w:t>按照</w:t>
      </w:r>
      <w:r>
        <w:rPr>
          <w:rFonts w:eastAsia="方正仿宋_GBK" w:hint="eastAsia"/>
          <w:kern w:val="0"/>
          <w:sz w:val="32"/>
          <w:szCs w:val="32"/>
        </w:rPr>
        <w:t>“</w:t>
      </w:r>
      <w:r>
        <w:rPr>
          <w:rFonts w:eastAsia="方正仿宋_GBK"/>
          <w:kern w:val="0"/>
          <w:sz w:val="32"/>
          <w:szCs w:val="32"/>
        </w:rPr>
        <w:t>权责统一、事权匹</w:t>
      </w:r>
      <w:r>
        <w:rPr>
          <w:rFonts w:eastAsia="方正仿宋_GBK"/>
          <w:kern w:val="0"/>
          <w:sz w:val="32"/>
          <w:szCs w:val="32"/>
        </w:rPr>
        <w:lastRenderedPageBreak/>
        <w:t>配</w:t>
      </w:r>
      <w:r>
        <w:rPr>
          <w:rFonts w:eastAsia="方正仿宋_GBK" w:hint="eastAsia"/>
          <w:kern w:val="0"/>
          <w:sz w:val="32"/>
          <w:szCs w:val="32"/>
        </w:rPr>
        <w:t>”</w:t>
      </w:r>
      <w:r>
        <w:rPr>
          <w:rFonts w:eastAsia="方正仿宋_GBK"/>
          <w:kern w:val="0"/>
          <w:sz w:val="32"/>
          <w:szCs w:val="32"/>
        </w:rPr>
        <w:t>原则，逐步建立规范高效的疾病预防控制管理运行机制。</w:t>
      </w:r>
      <w:proofErr w:type="gramStart"/>
      <w:r>
        <w:rPr>
          <w:rFonts w:eastAsia="方正仿宋_GBK"/>
          <w:kern w:val="0"/>
          <w:sz w:val="32"/>
          <w:szCs w:val="32"/>
        </w:rPr>
        <w:t>区疾控局</w:t>
      </w:r>
      <w:proofErr w:type="gramEnd"/>
      <w:r>
        <w:rPr>
          <w:rFonts w:eastAsia="方正仿宋_GBK"/>
          <w:kern w:val="0"/>
          <w:sz w:val="32"/>
          <w:szCs w:val="32"/>
        </w:rPr>
        <w:t>统筹管理辖区内有关公共卫生工作。（责任单位：区卫生健康委）</w:t>
      </w:r>
    </w:p>
    <w:p w14:paraId="31DD6C4E"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3.</w:t>
      </w:r>
      <w:r>
        <w:rPr>
          <w:rFonts w:eastAsia="方正仿宋_GBK"/>
          <w:b/>
          <w:bCs/>
          <w:kern w:val="0"/>
          <w:sz w:val="32"/>
          <w:szCs w:val="32"/>
        </w:rPr>
        <w:t>完善防治重大疾病统筹协调机制。</w:t>
      </w:r>
      <w:r>
        <w:rPr>
          <w:rFonts w:eastAsia="方正仿宋_GBK"/>
          <w:kern w:val="0"/>
          <w:sz w:val="32"/>
          <w:szCs w:val="32"/>
        </w:rPr>
        <w:t>建立区级防治重大疾病和突发公共卫生事件应急指挥常态化运行机制，定期召开会议研究推进重点与新发传染病等重大疾病综合防控工作。（责任单位：区委编办、区卫生健康委、区级相关部门）</w:t>
      </w:r>
    </w:p>
    <w:p w14:paraId="1690A98C" w14:textId="77777777" w:rsidR="00D400AF" w:rsidRDefault="00000000">
      <w:pPr>
        <w:widowControl w:val="0"/>
        <w:overflowPunct w:val="0"/>
        <w:spacing w:line="630" w:lineRule="exact"/>
        <w:ind w:firstLineChars="200" w:firstLine="640"/>
        <w:rPr>
          <w:rFonts w:eastAsia="方正楷体_GBK"/>
          <w:sz w:val="32"/>
          <w:szCs w:val="32"/>
        </w:rPr>
      </w:pPr>
      <w:r>
        <w:rPr>
          <w:rFonts w:eastAsia="方正楷体_GBK"/>
          <w:sz w:val="32"/>
          <w:szCs w:val="32"/>
        </w:rPr>
        <w:t>（二）实施公共卫生服务能力提升行动</w:t>
      </w:r>
    </w:p>
    <w:p w14:paraId="46C51373"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4.</w:t>
      </w:r>
      <w:r>
        <w:rPr>
          <w:rFonts w:eastAsia="方正仿宋_GBK"/>
          <w:b/>
          <w:bCs/>
          <w:kern w:val="0"/>
          <w:sz w:val="32"/>
          <w:szCs w:val="32"/>
        </w:rPr>
        <w:t>推进</w:t>
      </w:r>
      <w:proofErr w:type="gramStart"/>
      <w:r>
        <w:rPr>
          <w:rFonts w:eastAsia="方正仿宋_GBK"/>
          <w:b/>
          <w:bCs/>
          <w:kern w:val="0"/>
          <w:sz w:val="32"/>
          <w:szCs w:val="32"/>
        </w:rPr>
        <w:t>疾控机构</w:t>
      </w:r>
      <w:proofErr w:type="gramEnd"/>
      <w:r>
        <w:rPr>
          <w:rFonts w:eastAsia="方正仿宋_GBK"/>
          <w:b/>
          <w:bCs/>
          <w:kern w:val="0"/>
          <w:sz w:val="32"/>
          <w:szCs w:val="32"/>
        </w:rPr>
        <w:t>标准化建设。</w:t>
      </w:r>
      <w:r>
        <w:rPr>
          <w:rFonts w:eastAsia="方正仿宋_GBK"/>
          <w:kern w:val="0"/>
          <w:sz w:val="32"/>
          <w:szCs w:val="32"/>
        </w:rPr>
        <w:t>实施三级</w:t>
      </w:r>
      <w:proofErr w:type="gramStart"/>
      <w:r>
        <w:rPr>
          <w:rFonts w:eastAsia="方正仿宋_GBK"/>
          <w:kern w:val="0"/>
          <w:sz w:val="32"/>
          <w:szCs w:val="32"/>
        </w:rPr>
        <w:t>疾控机构</w:t>
      </w:r>
      <w:proofErr w:type="gramEnd"/>
      <w:r>
        <w:rPr>
          <w:rFonts w:eastAsia="方正仿宋_GBK"/>
          <w:kern w:val="0"/>
          <w:sz w:val="32"/>
          <w:szCs w:val="32"/>
        </w:rPr>
        <w:t>创建工程，支持</w:t>
      </w:r>
      <w:proofErr w:type="gramStart"/>
      <w:r>
        <w:rPr>
          <w:rFonts w:eastAsia="方正仿宋_GBK"/>
          <w:kern w:val="0"/>
          <w:sz w:val="32"/>
          <w:szCs w:val="32"/>
        </w:rPr>
        <w:t>区疾控中心</w:t>
      </w:r>
      <w:proofErr w:type="gramEnd"/>
      <w:r>
        <w:rPr>
          <w:rFonts w:eastAsia="方正仿宋_GBK"/>
          <w:kern w:val="0"/>
          <w:sz w:val="32"/>
          <w:szCs w:val="32"/>
        </w:rPr>
        <w:t>创建</w:t>
      </w:r>
      <w:proofErr w:type="gramStart"/>
      <w:r>
        <w:rPr>
          <w:rFonts w:eastAsia="方正仿宋_GBK"/>
          <w:kern w:val="0"/>
          <w:sz w:val="32"/>
          <w:szCs w:val="32"/>
        </w:rPr>
        <w:t>三级疾控中心</w:t>
      </w:r>
      <w:proofErr w:type="gramEnd"/>
      <w:r>
        <w:rPr>
          <w:rFonts w:eastAsia="方正仿宋_GBK"/>
          <w:kern w:val="0"/>
          <w:sz w:val="32"/>
          <w:szCs w:val="32"/>
        </w:rPr>
        <w:t>和</w:t>
      </w:r>
      <w:proofErr w:type="gramStart"/>
      <w:r>
        <w:rPr>
          <w:rFonts w:eastAsia="方正仿宋_GBK"/>
          <w:kern w:val="0"/>
          <w:sz w:val="32"/>
          <w:szCs w:val="32"/>
        </w:rPr>
        <w:t>区域疾控中心</w:t>
      </w:r>
      <w:proofErr w:type="gramEnd"/>
      <w:r>
        <w:rPr>
          <w:rFonts w:eastAsia="方正仿宋_GBK"/>
          <w:kern w:val="0"/>
          <w:sz w:val="32"/>
          <w:szCs w:val="32"/>
        </w:rPr>
        <w:t>，提升</w:t>
      </w:r>
      <w:proofErr w:type="gramStart"/>
      <w:r>
        <w:rPr>
          <w:rFonts w:eastAsia="方正仿宋_GBK"/>
          <w:kern w:val="0"/>
          <w:sz w:val="32"/>
          <w:szCs w:val="32"/>
        </w:rPr>
        <w:t>区疾控中心</w:t>
      </w:r>
      <w:proofErr w:type="gramEnd"/>
      <w:r>
        <w:rPr>
          <w:rFonts w:eastAsia="方正仿宋_GBK"/>
          <w:kern w:val="0"/>
          <w:sz w:val="32"/>
          <w:szCs w:val="32"/>
        </w:rPr>
        <w:t>专业技术岗位高级职称结构比例，强化区域</w:t>
      </w:r>
      <w:proofErr w:type="gramStart"/>
      <w:r>
        <w:rPr>
          <w:rFonts w:eastAsia="方正仿宋_GBK"/>
          <w:kern w:val="0"/>
          <w:sz w:val="32"/>
          <w:szCs w:val="32"/>
        </w:rPr>
        <w:t>内疾控技术指导</w:t>
      </w:r>
      <w:proofErr w:type="gramEnd"/>
      <w:r>
        <w:rPr>
          <w:rFonts w:eastAsia="方正仿宋_GBK"/>
          <w:kern w:val="0"/>
          <w:sz w:val="32"/>
          <w:szCs w:val="32"/>
        </w:rPr>
        <w:t>能力。（责任单位：区发展改革委、区人力社保局、区卫生健康委）</w:t>
      </w:r>
    </w:p>
    <w:p w14:paraId="1187EBB9"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5.</w:t>
      </w:r>
      <w:r>
        <w:rPr>
          <w:rFonts w:eastAsia="方正仿宋_GBK"/>
          <w:b/>
          <w:bCs/>
          <w:kern w:val="0"/>
          <w:sz w:val="32"/>
          <w:szCs w:val="32"/>
        </w:rPr>
        <w:t>加强医疗机构公共卫生科室标准化建设。</w:t>
      </w:r>
      <w:r>
        <w:rPr>
          <w:rFonts w:eastAsia="方正仿宋_GBK"/>
          <w:kern w:val="0"/>
          <w:sz w:val="32"/>
          <w:szCs w:val="32"/>
        </w:rPr>
        <w:t>明确医疗机构公共卫生科设置标准。进一步完善医疗机构公共卫生人员的职能职责、人员配比和专业构成。到</w:t>
      </w:r>
      <w:r>
        <w:rPr>
          <w:rFonts w:eastAsia="方正仿宋_GBK"/>
          <w:kern w:val="0"/>
          <w:sz w:val="32"/>
          <w:szCs w:val="32"/>
        </w:rPr>
        <w:t>2025</w:t>
      </w:r>
      <w:r>
        <w:rPr>
          <w:rFonts w:eastAsia="方正仿宋_GBK"/>
          <w:kern w:val="0"/>
          <w:sz w:val="32"/>
          <w:szCs w:val="32"/>
        </w:rPr>
        <w:t>年，二级及以上公立医院、街道社区卫生服务中心公共卫生科标准化率达到</w:t>
      </w:r>
      <w:r>
        <w:rPr>
          <w:rFonts w:eastAsia="方正仿宋_GBK"/>
          <w:kern w:val="0"/>
          <w:sz w:val="32"/>
          <w:szCs w:val="32"/>
        </w:rPr>
        <w:t>100%</w:t>
      </w:r>
      <w:r>
        <w:rPr>
          <w:rFonts w:eastAsia="方正仿宋_GBK"/>
          <w:kern w:val="0"/>
          <w:sz w:val="32"/>
          <w:szCs w:val="32"/>
        </w:rPr>
        <w:t>。（责任单位：区人力社保局、区卫生健康委）</w:t>
      </w:r>
    </w:p>
    <w:p w14:paraId="266AD833"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6.</w:t>
      </w:r>
      <w:r>
        <w:rPr>
          <w:rFonts w:eastAsia="方正仿宋_GBK"/>
          <w:b/>
          <w:bCs/>
          <w:kern w:val="0"/>
          <w:sz w:val="32"/>
          <w:szCs w:val="32"/>
        </w:rPr>
        <w:t>加强公共卫生检测体系建设。</w:t>
      </w:r>
      <w:r>
        <w:rPr>
          <w:rFonts w:eastAsia="方正仿宋_GBK"/>
          <w:kern w:val="0"/>
          <w:sz w:val="32"/>
          <w:szCs w:val="32"/>
        </w:rPr>
        <w:t>实施</w:t>
      </w:r>
      <w:proofErr w:type="gramStart"/>
      <w:r>
        <w:rPr>
          <w:rFonts w:eastAsia="方正仿宋_GBK"/>
          <w:kern w:val="0"/>
          <w:sz w:val="32"/>
          <w:szCs w:val="32"/>
        </w:rPr>
        <w:t>区疾控中心</w:t>
      </w:r>
      <w:proofErr w:type="gramEnd"/>
      <w:r>
        <w:rPr>
          <w:rFonts w:eastAsia="方正仿宋_GBK"/>
          <w:kern w:val="0"/>
          <w:sz w:val="32"/>
          <w:szCs w:val="32"/>
        </w:rPr>
        <w:t>公共卫生检测中心提质工程，通过实施一批基础设施建设和能力提升项目，切实提升</w:t>
      </w:r>
      <w:proofErr w:type="gramStart"/>
      <w:r>
        <w:rPr>
          <w:rFonts w:eastAsia="方正仿宋_GBK"/>
          <w:kern w:val="0"/>
          <w:sz w:val="32"/>
          <w:szCs w:val="32"/>
        </w:rPr>
        <w:t>区疾控中心</w:t>
      </w:r>
      <w:proofErr w:type="gramEnd"/>
      <w:r>
        <w:rPr>
          <w:rFonts w:eastAsia="方正仿宋_GBK" w:hint="eastAsia"/>
          <w:kern w:val="0"/>
          <w:sz w:val="32"/>
          <w:szCs w:val="32"/>
        </w:rPr>
        <w:t>“</w:t>
      </w:r>
      <w:r>
        <w:rPr>
          <w:rFonts w:eastAsia="方正仿宋_GBK"/>
          <w:kern w:val="0"/>
          <w:sz w:val="32"/>
          <w:szCs w:val="32"/>
        </w:rPr>
        <w:t>一锤定音</w:t>
      </w:r>
      <w:r>
        <w:rPr>
          <w:rFonts w:eastAsia="方正仿宋_GBK" w:hint="eastAsia"/>
          <w:kern w:val="0"/>
          <w:sz w:val="32"/>
          <w:szCs w:val="32"/>
        </w:rPr>
        <w:t>”</w:t>
      </w:r>
      <w:r>
        <w:rPr>
          <w:rFonts w:eastAsia="方正仿宋_GBK"/>
          <w:kern w:val="0"/>
          <w:sz w:val="32"/>
          <w:szCs w:val="32"/>
        </w:rPr>
        <w:t>检测能力。按照全市公共卫生实验室能力建设规划，全面构建以</w:t>
      </w:r>
      <w:proofErr w:type="gramStart"/>
      <w:r>
        <w:rPr>
          <w:rFonts w:eastAsia="方正仿宋_GBK"/>
          <w:kern w:val="0"/>
          <w:sz w:val="32"/>
          <w:szCs w:val="32"/>
        </w:rPr>
        <w:t>区疾控中心</w:t>
      </w:r>
      <w:proofErr w:type="gramEnd"/>
      <w:r>
        <w:rPr>
          <w:rFonts w:eastAsia="方正仿宋_GBK"/>
          <w:kern w:val="0"/>
          <w:sz w:val="32"/>
          <w:szCs w:val="32"/>
        </w:rPr>
        <w:t>为核心，以医</w:t>
      </w:r>
      <w:r>
        <w:rPr>
          <w:rFonts w:eastAsia="方正仿宋_GBK"/>
          <w:kern w:val="0"/>
          <w:sz w:val="32"/>
          <w:szCs w:val="32"/>
        </w:rPr>
        <w:lastRenderedPageBreak/>
        <w:t>疗机构为基础，以重庆医科大学、第三方检测机构等为补充的公共卫生实验室体系。加强检验检测能力建设，重点强化对新发传染病、群体性不明原因疾病、中毒及其他严重影响公众健康事件的快速检测和准确鉴别能力。到</w:t>
      </w:r>
      <w:r>
        <w:rPr>
          <w:rFonts w:eastAsia="方正仿宋_GBK"/>
          <w:kern w:val="0"/>
          <w:sz w:val="32"/>
          <w:szCs w:val="32"/>
        </w:rPr>
        <w:t>2025</w:t>
      </w:r>
      <w:r>
        <w:rPr>
          <w:rFonts w:eastAsia="方正仿宋_GBK"/>
          <w:kern w:val="0"/>
          <w:sz w:val="32"/>
          <w:szCs w:val="32"/>
        </w:rPr>
        <w:t>年，</w:t>
      </w:r>
      <w:proofErr w:type="gramStart"/>
      <w:r>
        <w:rPr>
          <w:rFonts w:eastAsia="方正仿宋_GBK"/>
          <w:kern w:val="0"/>
          <w:sz w:val="32"/>
          <w:szCs w:val="32"/>
        </w:rPr>
        <w:t>区疾控中心</w:t>
      </w:r>
      <w:proofErr w:type="gramEnd"/>
      <w:r>
        <w:rPr>
          <w:rFonts w:eastAsia="方正仿宋_GBK"/>
          <w:kern w:val="0"/>
          <w:sz w:val="32"/>
          <w:szCs w:val="32"/>
        </w:rPr>
        <w:t>通过资质认定的实验室检测项目不少于</w:t>
      </w:r>
      <w:r>
        <w:rPr>
          <w:rFonts w:eastAsia="方正仿宋_GBK"/>
          <w:kern w:val="0"/>
          <w:sz w:val="32"/>
          <w:szCs w:val="32"/>
        </w:rPr>
        <w:t>1200</w:t>
      </w:r>
      <w:r>
        <w:rPr>
          <w:rFonts w:eastAsia="方正仿宋_GBK"/>
          <w:kern w:val="0"/>
          <w:sz w:val="32"/>
          <w:szCs w:val="32"/>
        </w:rPr>
        <w:t>项。（责任单位：区卫生健康委）</w:t>
      </w:r>
    </w:p>
    <w:p w14:paraId="6BF4D4A5"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7.</w:t>
      </w:r>
      <w:r>
        <w:rPr>
          <w:rFonts w:eastAsia="方正仿宋_GBK"/>
          <w:b/>
          <w:bCs/>
          <w:kern w:val="0"/>
          <w:sz w:val="32"/>
          <w:szCs w:val="32"/>
        </w:rPr>
        <w:t>构建多点触发的重点疾病监测预警网络。</w:t>
      </w:r>
      <w:r>
        <w:rPr>
          <w:rFonts w:eastAsia="方正仿宋_GBK"/>
          <w:kern w:val="0"/>
          <w:sz w:val="32"/>
          <w:szCs w:val="32"/>
        </w:rPr>
        <w:t>提升重点疾病监测预警能力，制定重点疾病监测目录，完善监测哨点布局和协作工作机制。组建区级突发公共卫生事件专家组，建立完善监测预警机制。到</w:t>
      </w:r>
      <w:r>
        <w:rPr>
          <w:rFonts w:eastAsia="方正仿宋_GBK"/>
          <w:kern w:val="0"/>
          <w:sz w:val="32"/>
          <w:szCs w:val="32"/>
        </w:rPr>
        <w:t>2025</w:t>
      </w:r>
      <w:r>
        <w:rPr>
          <w:rFonts w:eastAsia="方正仿宋_GBK"/>
          <w:kern w:val="0"/>
          <w:sz w:val="32"/>
          <w:szCs w:val="32"/>
        </w:rPr>
        <w:t>年，全面构建以哨点医院主动监测为核心，以其他医疗机构就诊患者症状监测、病例报告监测和实验室病原体监测为补充，涵盖食品安全监测、城市污水监测、动物疫病监测、环境监测、病媒生物监测、学校及养老院等重点机构健康监测、药店监测、网络舆情监测等多方位协同监测内容，兼顾常态与应急、入境与本土、一般人群和重点人群，覆盖全区的多渠道监测网络。（责任单位：</w:t>
      </w:r>
      <w:proofErr w:type="gramStart"/>
      <w:r>
        <w:rPr>
          <w:rFonts w:eastAsia="方正仿宋_GBK"/>
          <w:kern w:val="0"/>
          <w:sz w:val="32"/>
          <w:szCs w:val="32"/>
        </w:rPr>
        <w:t>区委网信办</w:t>
      </w:r>
      <w:proofErr w:type="gramEnd"/>
      <w:r>
        <w:rPr>
          <w:rFonts w:eastAsia="方正仿宋_GBK"/>
          <w:kern w:val="0"/>
          <w:sz w:val="32"/>
          <w:szCs w:val="32"/>
        </w:rPr>
        <w:t>、区教委、区民政局</w:t>
      </w:r>
      <w:r>
        <w:rPr>
          <w:rFonts w:eastAsia="方正仿宋_GBK"/>
          <w:color w:val="000000"/>
          <w:kern w:val="0"/>
          <w:sz w:val="32"/>
          <w:szCs w:val="32"/>
        </w:rPr>
        <w:t>、区生态环境局、</w:t>
      </w:r>
      <w:r>
        <w:rPr>
          <w:rFonts w:eastAsia="方正仿宋_GBK"/>
          <w:kern w:val="0"/>
          <w:sz w:val="32"/>
          <w:szCs w:val="32"/>
        </w:rPr>
        <w:t>区卫生健康委、区市场监管局）</w:t>
      </w:r>
    </w:p>
    <w:p w14:paraId="2A8EC005" w14:textId="77777777" w:rsidR="00D400AF" w:rsidRDefault="00000000">
      <w:pPr>
        <w:widowControl w:val="0"/>
        <w:overflowPunct w:val="0"/>
        <w:adjustRightInd w:val="0"/>
        <w:spacing w:line="630" w:lineRule="exact"/>
        <w:ind w:firstLineChars="200" w:firstLine="640"/>
        <w:rPr>
          <w:rFonts w:eastAsia="方正仿宋_GBK"/>
          <w:sz w:val="32"/>
          <w:szCs w:val="32"/>
        </w:rPr>
      </w:pPr>
      <w:r>
        <w:rPr>
          <w:rFonts w:eastAsia="方正仿宋_GBK"/>
          <w:b/>
          <w:bCs/>
          <w:kern w:val="0"/>
          <w:sz w:val="32"/>
          <w:szCs w:val="32"/>
        </w:rPr>
        <w:t>8.</w:t>
      </w:r>
      <w:r>
        <w:rPr>
          <w:rFonts w:eastAsia="方正仿宋_GBK"/>
          <w:b/>
          <w:bCs/>
          <w:kern w:val="0"/>
          <w:sz w:val="32"/>
          <w:szCs w:val="32"/>
        </w:rPr>
        <w:t>健全健康危险因素风险监测评估体系。</w:t>
      </w:r>
      <w:r>
        <w:rPr>
          <w:rFonts w:eastAsia="方正仿宋_GBK"/>
          <w:kern w:val="0"/>
          <w:sz w:val="32"/>
          <w:szCs w:val="32"/>
        </w:rPr>
        <w:t>实施健康危险因素</w:t>
      </w:r>
      <w:proofErr w:type="gramStart"/>
      <w:r>
        <w:rPr>
          <w:rFonts w:eastAsia="方正仿宋_GBK"/>
          <w:kern w:val="0"/>
          <w:sz w:val="32"/>
          <w:szCs w:val="32"/>
        </w:rPr>
        <w:t>监测全</w:t>
      </w:r>
      <w:proofErr w:type="gramEnd"/>
      <w:r>
        <w:rPr>
          <w:rFonts w:eastAsia="方正仿宋_GBK"/>
          <w:kern w:val="0"/>
          <w:sz w:val="32"/>
          <w:szCs w:val="32"/>
        </w:rPr>
        <w:t>覆盖行动，持续开展空气、水、食品安全风险、公共场所和学校卫生等监测。强化对各类监测数据的综合运用，利用大数据等技术，提高风险</w:t>
      </w:r>
      <w:proofErr w:type="gramStart"/>
      <w:r>
        <w:rPr>
          <w:rFonts w:eastAsia="方正仿宋_GBK"/>
          <w:kern w:val="0"/>
          <w:sz w:val="32"/>
          <w:szCs w:val="32"/>
        </w:rPr>
        <w:t>研</w:t>
      </w:r>
      <w:proofErr w:type="gramEnd"/>
      <w:r>
        <w:rPr>
          <w:rFonts w:eastAsia="方正仿宋_GBK"/>
          <w:kern w:val="0"/>
          <w:sz w:val="32"/>
          <w:szCs w:val="32"/>
        </w:rPr>
        <w:t>判评估精准度。聚焦人群健康问题，健全健康行为监测评估体系，持续提升居民健康素养水平。全</w:t>
      </w:r>
      <w:r>
        <w:rPr>
          <w:rFonts w:eastAsia="方正仿宋_GBK"/>
          <w:kern w:val="0"/>
          <w:sz w:val="32"/>
          <w:szCs w:val="32"/>
        </w:rPr>
        <w:lastRenderedPageBreak/>
        <w:t>面营造无烟社会氛围。逐步扩大健康影响评估制度试点覆盖面，积极推动将健康内容融入区级部门有关政策。到</w:t>
      </w:r>
      <w:r>
        <w:rPr>
          <w:rFonts w:eastAsia="方正仿宋_GBK"/>
          <w:kern w:val="0"/>
          <w:sz w:val="32"/>
          <w:szCs w:val="32"/>
        </w:rPr>
        <w:t>2025</w:t>
      </w:r>
      <w:r>
        <w:rPr>
          <w:rFonts w:eastAsia="方正仿宋_GBK"/>
          <w:kern w:val="0"/>
          <w:sz w:val="32"/>
          <w:szCs w:val="32"/>
        </w:rPr>
        <w:t>年，居民健康素养水平达到</w:t>
      </w:r>
      <w:r>
        <w:rPr>
          <w:rFonts w:eastAsia="方正仿宋_GBK"/>
          <w:kern w:val="0"/>
          <w:sz w:val="32"/>
          <w:szCs w:val="32"/>
        </w:rPr>
        <w:t>33%</w:t>
      </w:r>
      <w:r>
        <w:rPr>
          <w:rFonts w:eastAsia="方正仿宋_GBK"/>
          <w:kern w:val="0"/>
          <w:sz w:val="32"/>
          <w:szCs w:val="32"/>
        </w:rPr>
        <w:t>，</w:t>
      </w:r>
      <w:r>
        <w:rPr>
          <w:rFonts w:eastAsia="方正仿宋_GBK"/>
          <w:kern w:val="0"/>
          <w:sz w:val="32"/>
          <w:szCs w:val="32"/>
        </w:rPr>
        <w:t>15</w:t>
      </w:r>
      <w:r>
        <w:rPr>
          <w:rFonts w:eastAsia="方正仿宋_GBK"/>
          <w:kern w:val="0"/>
          <w:sz w:val="32"/>
          <w:szCs w:val="32"/>
        </w:rPr>
        <w:t>岁以上人群吸烟率维持在</w:t>
      </w:r>
      <w:r>
        <w:rPr>
          <w:rFonts w:eastAsia="方正仿宋_GBK"/>
          <w:kern w:val="0"/>
          <w:sz w:val="32"/>
          <w:szCs w:val="32"/>
        </w:rPr>
        <w:t>23%</w:t>
      </w:r>
      <w:r>
        <w:rPr>
          <w:rFonts w:eastAsia="方正仿宋_GBK"/>
          <w:kern w:val="0"/>
          <w:sz w:val="32"/>
          <w:szCs w:val="32"/>
        </w:rPr>
        <w:t>以下。（责任单</w:t>
      </w:r>
      <w:r>
        <w:rPr>
          <w:rFonts w:eastAsia="方正仿宋_GBK"/>
          <w:sz w:val="32"/>
          <w:szCs w:val="32"/>
        </w:rPr>
        <w:t>位：</w:t>
      </w:r>
      <w:r>
        <w:rPr>
          <w:rFonts w:eastAsia="方正仿宋_GBK"/>
          <w:kern w:val="0"/>
          <w:sz w:val="32"/>
          <w:szCs w:val="32"/>
        </w:rPr>
        <w:t>区教委、区生态环境局、区卫生健康委）</w:t>
      </w:r>
    </w:p>
    <w:p w14:paraId="41693FE1" w14:textId="77777777" w:rsidR="00D400AF" w:rsidRDefault="00000000">
      <w:pPr>
        <w:widowControl w:val="0"/>
        <w:overflowPunct w:val="0"/>
        <w:spacing w:line="630" w:lineRule="exact"/>
        <w:ind w:firstLineChars="200" w:firstLine="640"/>
        <w:rPr>
          <w:rFonts w:eastAsia="方正楷体_GBK"/>
          <w:sz w:val="32"/>
          <w:szCs w:val="32"/>
        </w:rPr>
      </w:pPr>
      <w:r>
        <w:rPr>
          <w:rFonts w:eastAsia="方正楷体_GBK"/>
          <w:sz w:val="32"/>
          <w:szCs w:val="32"/>
        </w:rPr>
        <w:t>（三）实施公共卫生应急能力提升行动</w:t>
      </w:r>
    </w:p>
    <w:p w14:paraId="7DC48030"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9.</w:t>
      </w:r>
      <w:r>
        <w:rPr>
          <w:rFonts w:eastAsia="方正仿宋_GBK"/>
          <w:b/>
          <w:bCs/>
          <w:kern w:val="0"/>
          <w:sz w:val="32"/>
          <w:szCs w:val="32"/>
        </w:rPr>
        <w:t>健全统一高效的应急指挥体系。</w:t>
      </w:r>
      <w:r>
        <w:rPr>
          <w:rFonts w:eastAsia="方正仿宋_GBK"/>
          <w:kern w:val="0"/>
          <w:sz w:val="32"/>
          <w:szCs w:val="32"/>
        </w:rPr>
        <w:t>完善政府领导、部门协同、社会动员、全民参与的突发公共卫生事件应急响应体系。</w:t>
      </w:r>
      <w:proofErr w:type="gramStart"/>
      <w:r>
        <w:rPr>
          <w:rFonts w:eastAsia="方正仿宋_GBK"/>
          <w:kern w:val="0"/>
          <w:sz w:val="32"/>
          <w:szCs w:val="32"/>
        </w:rPr>
        <w:t>完善平急</w:t>
      </w:r>
      <w:proofErr w:type="gramEnd"/>
      <w:r>
        <w:rPr>
          <w:rFonts w:eastAsia="方正仿宋_GBK"/>
          <w:kern w:val="0"/>
          <w:sz w:val="32"/>
          <w:szCs w:val="32"/>
        </w:rPr>
        <w:t>转换、分级响应机制，明确常态化和应急状态下具体运行模式。完善不同等级应急响应动态调整标准和程序。建立区级突发公共卫生事件应急指挥调度平台。（责任单位：区级相关部门）</w:t>
      </w:r>
    </w:p>
    <w:p w14:paraId="7676AF64"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10.</w:t>
      </w:r>
      <w:r>
        <w:rPr>
          <w:rFonts w:eastAsia="方正仿宋_GBK"/>
          <w:b/>
          <w:bCs/>
          <w:kern w:val="0"/>
          <w:sz w:val="32"/>
          <w:szCs w:val="32"/>
        </w:rPr>
        <w:t>提升重大疫情处置能力。</w:t>
      </w:r>
      <w:r>
        <w:rPr>
          <w:rFonts w:eastAsia="方正仿宋_GBK"/>
          <w:kern w:val="0"/>
          <w:sz w:val="32"/>
          <w:szCs w:val="32"/>
        </w:rPr>
        <w:t>坚持平战结合，</w:t>
      </w:r>
      <w:proofErr w:type="gramStart"/>
      <w:r>
        <w:rPr>
          <w:rFonts w:eastAsia="方正仿宋_GBK"/>
          <w:kern w:val="0"/>
          <w:sz w:val="32"/>
          <w:szCs w:val="32"/>
        </w:rPr>
        <w:t>用好平急两用</w:t>
      </w:r>
      <w:proofErr w:type="gramEnd"/>
      <w:r>
        <w:rPr>
          <w:rFonts w:eastAsia="方正仿宋_GBK"/>
          <w:kern w:val="0"/>
          <w:sz w:val="32"/>
          <w:szCs w:val="32"/>
        </w:rPr>
        <w:t>设施。完善应急救治体系，建立完善应急医院平战结合管理模式，推进重庆市中医骨科医院化龙桥院区二期项目建设，提升传染病救治能力。到</w:t>
      </w:r>
      <w:r>
        <w:rPr>
          <w:rFonts w:eastAsia="方正仿宋_GBK"/>
          <w:kern w:val="0"/>
          <w:sz w:val="32"/>
          <w:szCs w:val="32"/>
        </w:rPr>
        <w:t>2025</w:t>
      </w:r>
      <w:r>
        <w:rPr>
          <w:rFonts w:eastAsia="方正仿宋_GBK"/>
          <w:kern w:val="0"/>
          <w:sz w:val="32"/>
          <w:szCs w:val="32"/>
        </w:rPr>
        <w:t>年，二级及以上公立综合医院（含中医医院）感染性疾病科设置实现全覆盖，规范设置和运行发热门诊（诊室）和肠道门诊（诊室）；重庆市中医骨科医院建设相对独立的传染病病区。（责任单位：区发展改革委、区卫生健康委）</w:t>
      </w:r>
    </w:p>
    <w:p w14:paraId="42337634"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11.</w:t>
      </w:r>
      <w:r>
        <w:rPr>
          <w:rFonts w:eastAsia="方正仿宋_GBK"/>
          <w:b/>
          <w:bCs/>
          <w:kern w:val="0"/>
          <w:sz w:val="32"/>
          <w:szCs w:val="32"/>
        </w:rPr>
        <w:t>健全重大疫情应急救治机制。</w:t>
      </w:r>
      <w:r>
        <w:rPr>
          <w:rFonts w:eastAsia="方正仿宋_GBK"/>
          <w:kern w:val="0"/>
          <w:sz w:val="32"/>
          <w:szCs w:val="32"/>
        </w:rPr>
        <w:t>参与</w:t>
      </w:r>
      <w:proofErr w:type="gramStart"/>
      <w:r>
        <w:rPr>
          <w:rFonts w:eastAsia="方正仿宋_GBK"/>
          <w:kern w:val="0"/>
          <w:sz w:val="32"/>
          <w:szCs w:val="32"/>
        </w:rPr>
        <w:t>构建全市</w:t>
      </w:r>
      <w:proofErr w:type="gramEnd"/>
      <w:r>
        <w:rPr>
          <w:rFonts w:eastAsia="方正仿宋_GBK"/>
          <w:kern w:val="0"/>
          <w:sz w:val="32"/>
          <w:szCs w:val="32"/>
        </w:rPr>
        <w:t>分级分层分流的城市传染病救治网络，制定有序转换、规范扩容、安全恢复的重大疫情腾空流程指南。关注重大疫情中脆弱人群应急救</w:t>
      </w:r>
      <w:r>
        <w:rPr>
          <w:rFonts w:eastAsia="方正仿宋_GBK"/>
          <w:kern w:val="0"/>
          <w:sz w:val="32"/>
          <w:szCs w:val="32"/>
        </w:rPr>
        <w:lastRenderedPageBreak/>
        <w:t>治，确保在应急状态下对重点人群实施网格化分色健康管理服务。依托全市院前医疗急救服务体系，推动院前医疗急救网络与院内急诊无缝衔接。到</w:t>
      </w:r>
      <w:r>
        <w:rPr>
          <w:rFonts w:eastAsia="方正仿宋_GBK"/>
          <w:kern w:val="0"/>
          <w:sz w:val="32"/>
          <w:szCs w:val="32"/>
        </w:rPr>
        <w:t>2025</w:t>
      </w:r>
      <w:r>
        <w:rPr>
          <w:rFonts w:eastAsia="方正仿宋_GBK"/>
          <w:kern w:val="0"/>
          <w:sz w:val="32"/>
          <w:szCs w:val="32"/>
        </w:rPr>
        <w:t>年，全区</w:t>
      </w:r>
      <w:r>
        <w:rPr>
          <w:rFonts w:eastAsia="方正仿宋_GBK" w:hint="eastAsia"/>
          <w:kern w:val="0"/>
          <w:sz w:val="32"/>
          <w:szCs w:val="32"/>
        </w:rPr>
        <w:t>“</w:t>
      </w:r>
      <w:r>
        <w:rPr>
          <w:rFonts w:eastAsia="方正仿宋_GBK"/>
          <w:kern w:val="0"/>
          <w:sz w:val="32"/>
          <w:szCs w:val="32"/>
        </w:rPr>
        <w:t>120</w:t>
      </w:r>
      <w:r>
        <w:rPr>
          <w:rFonts w:eastAsia="方正仿宋_GBK" w:hint="eastAsia"/>
          <w:kern w:val="0"/>
          <w:sz w:val="32"/>
          <w:szCs w:val="32"/>
        </w:rPr>
        <w:t>”</w:t>
      </w:r>
      <w:r>
        <w:rPr>
          <w:rFonts w:eastAsia="方正仿宋_GBK"/>
          <w:kern w:val="0"/>
          <w:sz w:val="32"/>
          <w:szCs w:val="32"/>
        </w:rPr>
        <w:t>电话</w:t>
      </w:r>
      <w:r>
        <w:rPr>
          <w:rFonts w:eastAsia="方正仿宋_GBK"/>
          <w:kern w:val="0"/>
          <w:sz w:val="32"/>
          <w:szCs w:val="32"/>
        </w:rPr>
        <w:t>10</w:t>
      </w:r>
      <w:r>
        <w:rPr>
          <w:rFonts w:eastAsia="方正仿宋_GBK"/>
          <w:kern w:val="0"/>
          <w:sz w:val="32"/>
          <w:szCs w:val="32"/>
        </w:rPr>
        <w:t>秒内接听率达到</w:t>
      </w:r>
      <w:r>
        <w:rPr>
          <w:rFonts w:eastAsia="方正仿宋_GBK"/>
          <w:kern w:val="0"/>
          <w:sz w:val="32"/>
          <w:szCs w:val="32"/>
        </w:rPr>
        <w:t>95%</w:t>
      </w:r>
      <w:r>
        <w:rPr>
          <w:rFonts w:eastAsia="方正仿宋_GBK"/>
          <w:kern w:val="0"/>
          <w:sz w:val="32"/>
          <w:szCs w:val="32"/>
        </w:rPr>
        <w:t>、</w:t>
      </w:r>
      <w:r>
        <w:rPr>
          <w:rFonts w:eastAsia="方正仿宋_GBK"/>
          <w:kern w:val="0"/>
          <w:sz w:val="32"/>
          <w:szCs w:val="32"/>
        </w:rPr>
        <w:t>3</w:t>
      </w:r>
      <w:r>
        <w:rPr>
          <w:rFonts w:eastAsia="方正仿宋_GBK"/>
          <w:kern w:val="0"/>
          <w:sz w:val="32"/>
          <w:szCs w:val="32"/>
        </w:rPr>
        <w:t>分钟内出车率达到</w:t>
      </w:r>
      <w:r>
        <w:rPr>
          <w:rFonts w:eastAsia="方正仿宋_GBK"/>
          <w:kern w:val="0"/>
          <w:sz w:val="32"/>
          <w:szCs w:val="32"/>
        </w:rPr>
        <w:t>95%</w:t>
      </w:r>
      <w:r>
        <w:rPr>
          <w:rFonts w:eastAsia="方正仿宋_GBK"/>
          <w:kern w:val="0"/>
          <w:sz w:val="32"/>
          <w:szCs w:val="32"/>
        </w:rPr>
        <w:t>，院前急救平均反应时间在</w:t>
      </w:r>
      <w:r>
        <w:rPr>
          <w:rFonts w:eastAsia="方正仿宋_GBK"/>
          <w:kern w:val="0"/>
          <w:sz w:val="32"/>
          <w:szCs w:val="32"/>
        </w:rPr>
        <w:t>14</w:t>
      </w:r>
      <w:r>
        <w:rPr>
          <w:rFonts w:eastAsia="方正仿宋_GBK"/>
          <w:kern w:val="0"/>
          <w:sz w:val="32"/>
          <w:szCs w:val="32"/>
        </w:rPr>
        <w:t>分钟以内。提升区级应急医疗物资储备能力，建立分级储备制度，完善各级医疗应急物资储备品种、规模、结构等管理制度，形成动态调整机制。（责任单位：区卫生健康委）</w:t>
      </w:r>
    </w:p>
    <w:p w14:paraId="4B4A91DD" w14:textId="77777777" w:rsidR="00D400AF" w:rsidRDefault="00000000">
      <w:pPr>
        <w:widowControl w:val="0"/>
        <w:overflowPunct w:val="0"/>
        <w:spacing w:line="630" w:lineRule="exact"/>
        <w:ind w:firstLineChars="200" w:firstLine="640"/>
        <w:rPr>
          <w:rFonts w:eastAsia="方正楷体_GBK"/>
          <w:sz w:val="32"/>
          <w:szCs w:val="32"/>
        </w:rPr>
      </w:pPr>
      <w:r>
        <w:rPr>
          <w:rFonts w:eastAsia="方正楷体_GBK"/>
          <w:sz w:val="32"/>
          <w:szCs w:val="32"/>
        </w:rPr>
        <w:t>（四）实施</w:t>
      </w:r>
      <w:proofErr w:type="gramStart"/>
      <w:r>
        <w:rPr>
          <w:rFonts w:eastAsia="方正楷体_GBK"/>
          <w:sz w:val="32"/>
          <w:szCs w:val="32"/>
        </w:rPr>
        <w:t>医</w:t>
      </w:r>
      <w:proofErr w:type="gramEnd"/>
      <w:r>
        <w:rPr>
          <w:rFonts w:eastAsia="方正楷体_GBK"/>
          <w:sz w:val="32"/>
          <w:szCs w:val="32"/>
        </w:rPr>
        <w:t>防协同行动</w:t>
      </w:r>
    </w:p>
    <w:p w14:paraId="06CAB77C"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12.</w:t>
      </w:r>
      <w:r>
        <w:rPr>
          <w:rFonts w:eastAsia="方正仿宋_GBK"/>
          <w:b/>
          <w:bCs/>
          <w:kern w:val="0"/>
          <w:sz w:val="32"/>
          <w:szCs w:val="32"/>
        </w:rPr>
        <w:t>强化医疗机构公共卫生职责。</w:t>
      </w:r>
      <w:r>
        <w:rPr>
          <w:rFonts w:eastAsia="方正仿宋_GBK"/>
          <w:kern w:val="0"/>
          <w:sz w:val="32"/>
          <w:szCs w:val="32"/>
        </w:rPr>
        <w:t>依据医疗机构公共卫生责任清单，完善考核评价机制，将医疗机构公共卫生履职情况纳入年度综合督查评价，并将评价结果与医院财政投入、绩效总量、评优评先等挂钩。（责任单位：区人力社保局、区卫生健康委）</w:t>
      </w:r>
    </w:p>
    <w:p w14:paraId="29EDCE9D"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13.</w:t>
      </w:r>
      <w:r>
        <w:rPr>
          <w:rFonts w:eastAsia="方正仿宋_GBK"/>
          <w:b/>
          <w:bCs/>
          <w:kern w:val="0"/>
          <w:sz w:val="32"/>
          <w:szCs w:val="32"/>
        </w:rPr>
        <w:t>推进公共卫生机构和医疗机构人员流动。</w:t>
      </w:r>
      <w:r>
        <w:rPr>
          <w:rFonts w:eastAsia="方正仿宋_GBK"/>
          <w:kern w:val="0"/>
          <w:sz w:val="32"/>
          <w:szCs w:val="32"/>
        </w:rPr>
        <w:t>将专业公共卫生机构纳入</w:t>
      </w:r>
      <w:proofErr w:type="gramStart"/>
      <w:r>
        <w:rPr>
          <w:rFonts w:eastAsia="方正仿宋_GBK"/>
          <w:kern w:val="0"/>
          <w:sz w:val="32"/>
          <w:szCs w:val="32"/>
        </w:rPr>
        <w:t>医</w:t>
      </w:r>
      <w:proofErr w:type="gramEnd"/>
      <w:r>
        <w:rPr>
          <w:rFonts w:eastAsia="方正仿宋_GBK"/>
          <w:kern w:val="0"/>
          <w:sz w:val="32"/>
          <w:szCs w:val="32"/>
        </w:rPr>
        <w:t>联体、</w:t>
      </w:r>
      <w:proofErr w:type="gramStart"/>
      <w:r>
        <w:rPr>
          <w:rFonts w:eastAsia="方正仿宋_GBK"/>
          <w:kern w:val="0"/>
          <w:sz w:val="32"/>
          <w:szCs w:val="32"/>
        </w:rPr>
        <w:t>医</w:t>
      </w:r>
      <w:proofErr w:type="gramEnd"/>
      <w:r>
        <w:rPr>
          <w:rFonts w:eastAsia="方正仿宋_GBK"/>
          <w:kern w:val="0"/>
          <w:sz w:val="32"/>
          <w:szCs w:val="32"/>
        </w:rPr>
        <w:t>共体建设。进一步完善医疗机构公共卫生医师和专业公共卫生机构临床医师配备标准，明确职责任务，规范执业注册，允许临床医生通过考核加注公共卫生执业范围。在临床医师规范化培训中增加公共卫生内容，切实推进医疗机构和公共卫生机构人员流动。（责任单位：区卫生健康委）</w:t>
      </w:r>
    </w:p>
    <w:p w14:paraId="231C2A37"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14.</w:t>
      </w:r>
      <w:r>
        <w:rPr>
          <w:rFonts w:eastAsia="方正仿宋_GBK"/>
          <w:b/>
          <w:bCs/>
          <w:kern w:val="0"/>
          <w:sz w:val="32"/>
          <w:szCs w:val="32"/>
        </w:rPr>
        <w:t>探索公共卫生医师处方权。</w:t>
      </w:r>
      <w:r>
        <w:rPr>
          <w:rFonts w:eastAsia="方正仿宋_GBK"/>
          <w:kern w:val="0"/>
          <w:sz w:val="32"/>
          <w:szCs w:val="32"/>
        </w:rPr>
        <w:t>积极争取在部分街道社区卫生服务中心开展试点，其执业的公共卫生医师因工作需要，可以通过培训考核合格后获得传染病及慢性病（高血压、糖尿病</w:t>
      </w:r>
      <w:r>
        <w:rPr>
          <w:rFonts w:eastAsia="方正仿宋_GBK"/>
          <w:kern w:val="0"/>
          <w:sz w:val="32"/>
          <w:szCs w:val="32"/>
        </w:rPr>
        <w:lastRenderedPageBreak/>
        <w:t>等）诊疗、暴露后预防用药等一定范围的处方权。到</w:t>
      </w:r>
      <w:r>
        <w:rPr>
          <w:rFonts w:eastAsia="方正仿宋_GBK"/>
          <w:kern w:val="0"/>
          <w:sz w:val="32"/>
          <w:szCs w:val="32"/>
        </w:rPr>
        <w:t>2025</w:t>
      </w:r>
      <w:r>
        <w:rPr>
          <w:rFonts w:eastAsia="方正仿宋_GBK"/>
          <w:kern w:val="0"/>
          <w:sz w:val="32"/>
          <w:szCs w:val="32"/>
        </w:rPr>
        <w:t>年，争取全区获得处方权的公共卫生医师</w:t>
      </w:r>
      <w:r>
        <w:rPr>
          <w:rFonts w:eastAsia="方正仿宋_GBK"/>
          <w:kern w:val="0"/>
          <w:sz w:val="32"/>
          <w:szCs w:val="32"/>
        </w:rPr>
        <w:t>1-2</w:t>
      </w:r>
      <w:r>
        <w:rPr>
          <w:rFonts w:eastAsia="方正仿宋_GBK"/>
          <w:kern w:val="0"/>
          <w:sz w:val="32"/>
          <w:szCs w:val="32"/>
        </w:rPr>
        <w:t>人。探索允许在基层医疗卫生机构中执业的公共卫生医师经过全科医生转岗培训考核合格后，申请增加全科医生执业注册。（责任单位：区卫生健康委）</w:t>
      </w:r>
    </w:p>
    <w:p w14:paraId="0A8C36E8"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15.</w:t>
      </w:r>
      <w:r>
        <w:rPr>
          <w:rFonts w:eastAsia="方正仿宋_GBK"/>
          <w:b/>
          <w:bCs/>
          <w:kern w:val="0"/>
          <w:sz w:val="32"/>
          <w:szCs w:val="32"/>
        </w:rPr>
        <w:t>推进实施医疗健康双处方制度。</w:t>
      </w:r>
      <w:r>
        <w:rPr>
          <w:rFonts w:eastAsia="方正仿宋_GBK"/>
          <w:kern w:val="0"/>
          <w:sz w:val="32"/>
          <w:szCs w:val="32"/>
        </w:rPr>
        <w:t>推进公共卫生和医疗服务融合，加快推行医疗处方和健康</w:t>
      </w:r>
      <w:proofErr w:type="gramStart"/>
      <w:r>
        <w:rPr>
          <w:rFonts w:eastAsia="方正仿宋_GBK"/>
          <w:kern w:val="0"/>
          <w:sz w:val="32"/>
          <w:szCs w:val="32"/>
        </w:rPr>
        <w:t>处方双</w:t>
      </w:r>
      <w:proofErr w:type="gramEnd"/>
      <w:r>
        <w:rPr>
          <w:rFonts w:eastAsia="方正仿宋_GBK"/>
          <w:kern w:val="0"/>
          <w:sz w:val="32"/>
          <w:szCs w:val="32"/>
        </w:rPr>
        <w:t>处方制度，鼓励医疗机构对患者采取健康促进和健康保护措施。到</w:t>
      </w:r>
      <w:r>
        <w:rPr>
          <w:rFonts w:eastAsia="方正仿宋_GBK"/>
          <w:kern w:val="0"/>
          <w:sz w:val="32"/>
          <w:szCs w:val="32"/>
        </w:rPr>
        <w:t>2025</w:t>
      </w:r>
      <w:r>
        <w:rPr>
          <w:rFonts w:eastAsia="方正仿宋_GBK"/>
          <w:kern w:val="0"/>
          <w:sz w:val="32"/>
          <w:szCs w:val="32"/>
        </w:rPr>
        <w:t>年，</w:t>
      </w:r>
      <w:r>
        <w:rPr>
          <w:rFonts w:eastAsia="方正仿宋_GBK"/>
          <w:kern w:val="0"/>
          <w:sz w:val="32"/>
          <w:szCs w:val="32"/>
        </w:rPr>
        <w:t>60%</w:t>
      </w:r>
      <w:r>
        <w:rPr>
          <w:rFonts w:eastAsia="方正仿宋_GBK"/>
          <w:kern w:val="0"/>
          <w:sz w:val="32"/>
          <w:szCs w:val="32"/>
        </w:rPr>
        <w:t>以上街道社区卫生服务中心和</w:t>
      </w:r>
      <w:r>
        <w:rPr>
          <w:rFonts w:eastAsia="方正仿宋_GBK"/>
          <w:kern w:val="0"/>
          <w:sz w:val="32"/>
          <w:szCs w:val="32"/>
        </w:rPr>
        <w:t>30%</w:t>
      </w:r>
      <w:r>
        <w:rPr>
          <w:rFonts w:eastAsia="方正仿宋_GBK"/>
          <w:kern w:val="0"/>
          <w:sz w:val="32"/>
          <w:szCs w:val="32"/>
        </w:rPr>
        <w:t>以上的二级及以上公立医院在心脑血管疾病、慢阻肺、糖尿病等重点慢性病就诊患者中全面实施双处方制度。（责任单位：区卫生健康委）</w:t>
      </w:r>
    </w:p>
    <w:p w14:paraId="40231B3A"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16.</w:t>
      </w:r>
      <w:proofErr w:type="gramStart"/>
      <w:r>
        <w:rPr>
          <w:rFonts w:eastAsia="方正仿宋_GBK"/>
          <w:b/>
          <w:bCs/>
          <w:kern w:val="0"/>
          <w:sz w:val="32"/>
          <w:szCs w:val="32"/>
        </w:rPr>
        <w:t>建立疾控监督员</w:t>
      </w:r>
      <w:proofErr w:type="gramEnd"/>
      <w:r>
        <w:rPr>
          <w:rFonts w:eastAsia="方正仿宋_GBK"/>
          <w:b/>
          <w:bCs/>
          <w:kern w:val="0"/>
          <w:sz w:val="32"/>
          <w:szCs w:val="32"/>
        </w:rPr>
        <w:t>制度。</w:t>
      </w:r>
      <w:r>
        <w:rPr>
          <w:rFonts w:eastAsia="方正仿宋_GBK"/>
          <w:kern w:val="0"/>
          <w:sz w:val="32"/>
          <w:szCs w:val="32"/>
        </w:rPr>
        <w:t>探索</w:t>
      </w:r>
      <w:proofErr w:type="gramStart"/>
      <w:r>
        <w:rPr>
          <w:rFonts w:eastAsia="方正仿宋_GBK"/>
          <w:kern w:val="0"/>
          <w:sz w:val="32"/>
          <w:szCs w:val="32"/>
        </w:rPr>
        <w:t>开展疾控监督员</w:t>
      </w:r>
      <w:proofErr w:type="gramEnd"/>
      <w:r>
        <w:rPr>
          <w:rFonts w:eastAsia="方正仿宋_GBK"/>
          <w:kern w:val="0"/>
          <w:sz w:val="32"/>
          <w:szCs w:val="32"/>
        </w:rPr>
        <w:t>试点工作，配合协助</w:t>
      </w:r>
      <w:proofErr w:type="gramStart"/>
      <w:r>
        <w:rPr>
          <w:rFonts w:eastAsia="方正仿宋_GBK"/>
          <w:kern w:val="0"/>
          <w:sz w:val="32"/>
          <w:szCs w:val="32"/>
        </w:rPr>
        <w:t>市疾控局</w:t>
      </w:r>
      <w:proofErr w:type="gramEnd"/>
      <w:r>
        <w:rPr>
          <w:rFonts w:eastAsia="方正仿宋_GBK"/>
          <w:kern w:val="0"/>
          <w:sz w:val="32"/>
          <w:szCs w:val="32"/>
        </w:rPr>
        <w:t>建立健全专业公共卫生机构向医疗机构</w:t>
      </w:r>
      <w:proofErr w:type="gramStart"/>
      <w:r>
        <w:rPr>
          <w:rFonts w:eastAsia="方正仿宋_GBK"/>
          <w:kern w:val="0"/>
          <w:sz w:val="32"/>
          <w:szCs w:val="32"/>
        </w:rPr>
        <w:t>派驻疾控监督员</w:t>
      </w:r>
      <w:proofErr w:type="gramEnd"/>
      <w:r>
        <w:rPr>
          <w:rFonts w:eastAsia="方正仿宋_GBK"/>
          <w:kern w:val="0"/>
          <w:sz w:val="32"/>
          <w:szCs w:val="32"/>
        </w:rPr>
        <w:t>制度。充分</w:t>
      </w:r>
      <w:proofErr w:type="gramStart"/>
      <w:r>
        <w:rPr>
          <w:rFonts w:eastAsia="方正仿宋_GBK"/>
          <w:kern w:val="0"/>
          <w:sz w:val="32"/>
          <w:szCs w:val="32"/>
        </w:rPr>
        <w:t>发挥疾控监督员</w:t>
      </w:r>
      <w:proofErr w:type="gramEnd"/>
      <w:r>
        <w:rPr>
          <w:rFonts w:eastAsia="方正仿宋_GBK"/>
          <w:kern w:val="0"/>
          <w:sz w:val="32"/>
          <w:szCs w:val="32"/>
        </w:rPr>
        <w:t>作用，协助、督促、指导医疗机构全面提升公共卫生工作质量，积极促进医疗机构</w:t>
      </w:r>
      <w:proofErr w:type="gramStart"/>
      <w:r>
        <w:rPr>
          <w:rFonts w:eastAsia="方正仿宋_GBK"/>
          <w:kern w:val="0"/>
          <w:sz w:val="32"/>
          <w:szCs w:val="32"/>
        </w:rPr>
        <w:t>完善公卫</w:t>
      </w:r>
      <w:proofErr w:type="gramEnd"/>
      <w:r>
        <w:rPr>
          <w:rFonts w:eastAsia="方正仿宋_GBK"/>
          <w:kern w:val="0"/>
          <w:sz w:val="32"/>
          <w:szCs w:val="32"/>
        </w:rPr>
        <w:t>履职与</w:t>
      </w:r>
      <w:proofErr w:type="gramStart"/>
      <w:r>
        <w:rPr>
          <w:rFonts w:eastAsia="方正仿宋_GBK"/>
          <w:kern w:val="0"/>
          <w:sz w:val="32"/>
          <w:szCs w:val="32"/>
        </w:rPr>
        <w:t>医</w:t>
      </w:r>
      <w:proofErr w:type="gramEnd"/>
      <w:r>
        <w:rPr>
          <w:rFonts w:eastAsia="方正仿宋_GBK"/>
          <w:kern w:val="0"/>
          <w:sz w:val="32"/>
          <w:szCs w:val="32"/>
        </w:rPr>
        <w:t>防融合。（责任单位：区人力社保局、区卫生健康委）</w:t>
      </w:r>
    </w:p>
    <w:p w14:paraId="1DD85BB6" w14:textId="77777777" w:rsidR="00D400AF" w:rsidRDefault="00000000">
      <w:pPr>
        <w:widowControl w:val="0"/>
        <w:overflowPunct w:val="0"/>
        <w:spacing w:line="630" w:lineRule="exact"/>
        <w:ind w:firstLineChars="200" w:firstLine="640"/>
        <w:rPr>
          <w:rFonts w:eastAsia="方正楷体_GBK"/>
          <w:sz w:val="32"/>
          <w:szCs w:val="32"/>
        </w:rPr>
      </w:pPr>
      <w:r>
        <w:rPr>
          <w:rFonts w:eastAsia="方正楷体_GBK"/>
          <w:sz w:val="32"/>
          <w:szCs w:val="32"/>
        </w:rPr>
        <w:t>（五）实施公共卫生人才科技支撑行动</w:t>
      </w:r>
    </w:p>
    <w:p w14:paraId="10430E37"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17.</w:t>
      </w:r>
      <w:r>
        <w:rPr>
          <w:rFonts w:eastAsia="方正仿宋_GBK"/>
          <w:b/>
          <w:bCs/>
          <w:kern w:val="0"/>
          <w:sz w:val="32"/>
          <w:szCs w:val="32"/>
        </w:rPr>
        <w:t>扩充公共卫生人才总量。</w:t>
      </w:r>
      <w:r>
        <w:rPr>
          <w:rFonts w:eastAsia="方正仿宋_GBK"/>
          <w:kern w:val="0"/>
          <w:sz w:val="32"/>
          <w:szCs w:val="32"/>
        </w:rPr>
        <w:t>扩大专业公共卫生机构用人自主权，实施公共卫生人员学历提升计划。对医疗机构公共卫生科人员实施备案管理。提高招聘项目中公共卫生类专业毕业生占比，推进公共卫生人才转岗培训和专业公共卫生人才引进。</w:t>
      </w:r>
      <w:r>
        <w:rPr>
          <w:rFonts w:eastAsia="方正仿宋_GBK"/>
          <w:kern w:val="0"/>
          <w:sz w:val="32"/>
          <w:szCs w:val="32"/>
        </w:rPr>
        <w:lastRenderedPageBreak/>
        <w:t>到</w:t>
      </w:r>
      <w:r>
        <w:rPr>
          <w:rFonts w:eastAsia="方正仿宋_GBK"/>
          <w:kern w:val="0"/>
          <w:sz w:val="32"/>
          <w:szCs w:val="32"/>
        </w:rPr>
        <w:t>2025</w:t>
      </w:r>
      <w:r>
        <w:rPr>
          <w:rFonts w:eastAsia="方正仿宋_GBK"/>
          <w:kern w:val="0"/>
          <w:sz w:val="32"/>
          <w:szCs w:val="32"/>
        </w:rPr>
        <w:t>年，每万常住人口专业公共卫生机构人员数达到</w:t>
      </w:r>
      <w:r>
        <w:rPr>
          <w:rFonts w:eastAsia="方正仿宋_GBK"/>
          <w:kern w:val="0"/>
          <w:sz w:val="32"/>
          <w:szCs w:val="32"/>
        </w:rPr>
        <w:t>8.6</w:t>
      </w:r>
      <w:r>
        <w:rPr>
          <w:rFonts w:eastAsia="方正仿宋_GBK"/>
          <w:kern w:val="0"/>
          <w:sz w:val="32"/>
          <w:szCs w:val="32"/>
        </w:rPr>
        <w:t>人，其中，每万常住人口</w:t>
      </w:r>
      <w:proofErr w:type="gramStart"/>
      <w:r>
        <w:rPr>
          <w:rFonts w:eastAsia="方正仿宋_GBK"/>
          <w:kern w:val="0"/>
          <w:sz w:val="32"/>
          <w:szCs w:val="32"/>
        </w:rPr>
        <w:t>疾控机构</w:t>
      </w:r>
      <w:proofErr w:type="gramEnd"/>
      <w:r>
        <w:rPr>
          <w:rFonts w:eastAsia="方正仿宋_GBK"/>
          <w:kern w:val="0"/>
          <w:sz w:val="32"/>
          <w:szCs w:val="32"/>
        </w:rPr>
        <w:t>人员数达到</w:t>
      </w:r>
      <w:r>
        <w:rPr>
          <w:rFonts w:eastAsia="方正仿宋_GBK"/>
          <w:kern w:val="0"/>
          <w:sz w:val="32"/>
          <w:szCs w:val="32"/>
        </w:rPr>
        <w:t>1.8</w:t>
      </w:r>
      <w:r>
        <w:rPr>
          <w:rFonts w:eastAsia="方正仿宋_GBK"/>
          <w:kern w:val="0"/>
          <w:sz w:val="32"/>
          <w:szCs w:val="32"/>
        </w:rPr>
        <w:t>人。（责任单位：区教委、区人力社保局、区卫生健康委）</w:t>
      </w:r>
    </w:p>
    <w:p w14:paraId="77851730"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18.</w:t>
      </w:r>
      <w:r>
        <w:rPr>
          <w:rFonts w:eastAsia="方正仿宋_GBK"/>
          <w:b/>
          <w:bCs/>
          <w:kern w:val="0"/>
          <w:sz w:val="32"/>
          <w:szCs w:val="32"/>
        </w:rPr>
        <w:t>培育引进高水平公共卫生人才。</w:t>
      </w:r>
      <w:r>
        <w:rPr>
          <w:rFonts w:eastAsia="方正仿宋_GBK"/>
          <w:kern w:val="0"/>
          <w:sz w:val="32"/>
          <w:szCs w:val="32"/>
        </w:rPr>
        <w:t>辖区专业公共卫生机构结合实际适当提高公共卫生人才招聘学历层次。探索开展</w:t>
      </w:r>
      <w:r>
        <w:rPr>
          <w:rFonts w:eastAsia="方正仿宋_GBK" w:hint="eastAsia"/>
          <w:kern w:val="0"/>
          <w:sz w:val="32"/>
          <w:szCs w:val="32"/>
        </w:rPr>
        <w:t>“</w:t>
      </w:r>
      <w:r>
        <w:rPr>
          <w:rFonts w:eastAsia="方正仿宋_GBK"/>
          <w:kern w:val="0"/>
          <w:sz w:val="32"/>
          <w:szCs w:val="32"/>
        </w:rPr>
        <w:t>双聘</w:t>
      </w:r>
      <w:r>
        <w:rPr>
          <w:rFonts w:eastAsia="方正仿宋_GBK" w:hint="eastAsia"/>
          <w:kern w:val="0"/>
          <w:sz w:val="32"/>
          <w:szCs w:val="32"/>
        </w:rPr>
        <w:t>”</w:t>
      </w:r>
      <w:r>
        <w:rPr>
          <w:rFonts w:eastAsia="方正仿宋_GBK"/>
          <w:kern w:val="0"/>
          <w:sz w:val="32"/>
          <w:szCs w:val="32"/>
        </w:rPr>
        <w:t>试点引进高水平人才。现有省部级人才项目在同等条件下向公共卫生领域倾斜。到</w:t>
      </w:r>
      <w:r>
        <w:rPr>
          <w:rFonts w:eastAsia="方正仿宋_GBK"/>
          <w:kern w:val="0"/>
          <w:sz w:val="32"/>
          <w:szCs w:val="32"/>
        </w:rPr>
        <w:t>2025</w:t>
      </w:r>
      <w:r>
        <w:rPr>
          <w:rFonts w:eastAsia="方正仿宋_GBK"/>
          <w:kern w:val="0"/>
          <w:sz w:val="32"/>
          <w:szCs w:val="32"/>
        </w:rPr>
        <w:t>年，公共卫生及有关领域学术技</w:t>
      </w:r>
      <w:r>
        <w:rPr>
          <w:rFonts w:eastAsia="方正仿宋_GBK"/>
          <w:spacing w:val="-6"/>
          <w:kern w:val="0"/>
          <w:sz w:val="32"/>
          <w:szCs w:val="32"/>
        </w:rPr>
        <w:t>术带头人达到</w:t>
      </w:r>
      <w:r>
        <w:rPr>
          <w:rFonts w:eastAsia="方正仿宋_GBK"/>
          <w:spacing w:val="-6"/>
          <w:kern w:val="0"/>
          <w:sz w:val="32"/>
          <w:szCs w:val="32"/>
        </w:rPr>
        <w:t>3</w:t>
      </w:r>
      <w:r>
        <w:rPr>
          <w:rFonts w:eastAsia="方正仿宋_GBK"/>
          <w:spacing w:val="-6"/>
          <w:kern w:val="0"/>
          <w:sz w:val="32"/>
          <w:szCs w:val="32"/>
        </w:rPr>
        <w:t>名。（责任单位：区人力社保局、区卫生健康委）</w:t>
      </w:r>
    </w:p>
    <w:p w14:paraId="47D78A04"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19.</w:t>
      </w:r>
      <w:r>
        <w:rPr>
          <w:rFonts w:eastAsia="方正仿宋_GBK"/>
          <w:b/>
          <w:bCs/>
          <w:kern w:val="0"/>
          <w:sz w:val="32"/>
          <w:szCs w:val="32"/>
        </w:rPr>
        <w:t>分步落实绩效政策。</w:t>
      </w:r>
      <w:r>
        <w:rPr>
          <w:rFonts w:eastAsia="方正仿宋_GBK"/>
          <w:kern w:val="0"/>
          <w:sz w:val="32"/>
          <w:szCs w:val="32"/>
        </w:rPr>
        <w:t>深化专业公共卫生机构薪酬制度改革，逐步参照同级公立医疗机构超额绩效平均水平核定专业公共卫生机构超额绩效，并建立同步调整机制。将专业公共卫生机构根据职能职责开展有偿性技术服务等业务活动取得的事业收入，剔除非人</w:t>
      </w:r>
      <w:proofErr w:type="gramStart"/>
      <w:r>
        <w:rPr>
          <w:rFonts w:eastAsia="方正仿宋_GBK"/>
          <w:kern w:val="0"/>
          <w:sz w:val="32"/>
          <w:szCs w:val="32"/>
        </w:rPr>
        <w:t>力成本</w:t>
      </w:r>
      <w:proofErr w:type="gramEnd"/>
      <w:r>
        <w:rPr>
          <w:rFonts w:eastAsia="方正仿宋_GBK"/>
          <w:kern w:val="0"/>
          <w:sz w:val="32"/>
          <w:szCs w:val="32"/>
        </w:rPr>
        <w:t>后的部分主要用于事业发展，也可作为超额绩效工资的经费来源。公立医疗机构公共卫生科人员收入不低于所在医疗机构人员的平均收入水平。</w:t>
      </w:r>
      <w:r>
        <w:rPr>
          <w:rFonts w:eastAsia="方正仿宋_GBK"/>
          <w:sz w:val="32"/>
          <w:szCs w:val="32"/>
          <w:lang w:bidi="ar"/>
        </w:rPr>
        <w:t>按全市统一部署，推动专业公共卫生机构按计划分步落实绩效政策</w:t>
      </w:r>
      <w:r>
        <w:rPr>
          <w:rFonts w:eastAsia="方正仿宋_GBK"/>
          <w:kern w:val="0"/>
          <w:sz w:val="32"/>
          <w:szCs w:val="32"/>
        </w:rPr>
        <w:t>。（责任单位：区人力社保局、区卫生健康委）</w:t>
      </w:r>
    </w:p>
    <w:p w14:paraId="32D6A5C7"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20.</w:t>
      </w:r>
      <w:r>
        <w:rPr>
          <w:rFonts w:eastAsia="方正仿宋_GBK"/>
          <w:b/>
          <w:bCs/>
          <w:kern w:val="0"/>
          <w:sz w:val="32"/>
          <w:szCs w:val="32"/>
        </w:rPr>
        <w:t>加强公共卫生科研和重点专（学）科、重点实验室建设。</w:t>
      </w:r>
      <w:r>
        <w:rPr>
          <w:rFonts w:eastAsia="方正仿宋_GBK"/>
          <w:kern w:val="0"/>
          <w:sz w:val="32"/>
          <w:szCs w:val="32"/>
        </w:rPr>
        <w:t>按照全市统一部署，聚焦辖区人群主要健康问题，积极申报公共卫生和生物安全重大科技项目研究。建立完善公共卫生适宜技术推广机制。开展公共卫生重点专（学）科、重点实验室创建。</w:t>
      </w:r>
      <w:proofErr w:type="gramStart"/>
      <w:r>
        <w:rPr>
          <w:rFonts w:eastAsia="方正仿宋_GBK"/>
          <w:kern w:val="0"/>
          <w:sz w:val="32"/>
          <w:szCs w:val="32"/>
        </w:rPr>
        <w:t>强化科</w:t>
      </w:r>
      <w:proofErr w:type="gramEnd"/>
      <w:r>
        <w:rPr>
          <w:rFonts w:eastAsia="方正仿宋_GBK"/>
          <w:kern w:val="0"/>
          <w:sz w:val="32"/>
          <w:szCs w:val="32"/>
        </w:rPr>
        <w:t>卫协同、教卫协同，鼓励医疗卫生机构加强与高校、</w:t>
      </w:r>
      <w:r>
        <w:rPr>
          <w:rFonts w:eastAsia="方正仿宋_GBK"/>
          <w:kern w:val="0"/>
          <w:sz w:val="32"/>
          <w:szCs w:val="32"/>
        </w:rPr>
        <w:lastRenderedPageBreak/>
        <w:t>科研院所、企业等合作，开展病原微生物监测、重大传染病发病机制研究等科研活动。到</w:t>
      </w:r>
      <w:r>
        <w:rPr>
          <w:rFonts w:eastAsia="方正仿宋_GBK"/>
          <w:kern w:val="0"/>
          <w:sz w:val="32"/>
          <w:szCs w:val="32"/>
        </w:rPr>
        <w:t>2025</w:t>
      </w:r>
      <w:r>
        <w:rPr>
          <w:rFonts w:eastAsia="方正仿宋_GBK"/>
          <w:kern w:val="0"/>
          <w:sz w:val="32"/>
          <w:szCs w:val="32"/>
        </w:rPr>
        <w:t>年，申报成功市级公共卫生重点专（学）科</w:t>
      </w:r>
      <w:r>
        <w:rPr>
          <w:rFonts w:eastAsia="方正仿宋_GBK"/>
          <w:kern w:val="0"/>
          <w:sz w:val="32"/>
          <w:szCs w:val="32"/>
        </w:rPr>
        <w:t>5</w:t>
      </w:r>
      <w:r>
        <w:rPr>
          <w:rFonts w:eastAsia="方正仿宋_GBK"/>
          <w:kern w:val="0"/>
          <w:sz w:val="32"/>
          <w:szCs w:val="32"/>
        </w:rPr>
        <w:t>个。（责任单位：区教委、区科技局、区卫生健康委）</w:t>
      </w:r>
    </w:p>
    <w:p w14:paraId="6FA29377" w14:textId="77777777" w:rsidR="00D400AF" w:rsidRDefault="00000000">
      <w:pPr>
        <w:widowControl w:val="0"/>
        <w:overflowPunct w:val="0"/>
        <w:spacing w:line="630" w:lineRule="exact"/>
        <w:ind w:firstLineChars="200" w:firstLine="640"/>
        <w:rPr>
          <w:rFonts w:eastAsia="方正楷体_GBK"/>
          <w:sz w:val="32"/>
          <w:szCs w:val="32"/>
        </w:rPr>
      </w:pPr>
      <w:r>
        <w:rPr>
          <w:rFonts w:eastAsia="方正楷体_GBK"/>
          <w:sz w:val="32"/>
          <w:szCs w:val="32"/>
        </w:rPr>
        <w:t>（六）实施</w:t>
      </w:r>
      <w:r>
        <w:rPr>
          <w:rFonts w:eastAsia="方正楷体_GBK" w:hint="eastAsia"/>
          <w:sz w:val="32"/>
          <w:szCs w:val="32"/>
        </w:rPr>
        <w:t>“</w:t>
      </w:r>
      <w:r>
        <w:rPr>
          <w:rFonts w:eastAsia="方正楷体_GBK"/>
          <w:sz w:val="32"/>
          <w:szCs w:val="32"/>
        </w:rPr>
        <w:t>数字公卫一体化</w:t>
      </w:r>
      <w:r>
        <w:rPr>
          <w:rFonts w:eastAsia="方正楷体_GBK" w:hint="eastAsia"/>
          <w:sz w:val="32"/>
          <w:szCs w:val="32"/>
        </w:rPr>
        <w:t>”</w:t>
      </w:r>
      <w:r>
        <w:rPr>
          <w:rFonts w:eastAsia="方正楷体_GBK"/>
          <w:sz w:val="32"/>
          <w:szCs w:val="32"/>
        </w:rPr>
        <w:t>建设行动</w:t>
      </w:r>
    </w:p>
    <w:p w14:paraId="4B0023B5"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21.</w:t>
      </w:r>
      <w:r>
        <w:rPr>
          <w:rFonts w:eastAsia="方正仿宋_GBK"/>
          <w:b/>
          <w:bCs/>
          <w:kern w:val="0"/>
          <w:sz w:val="32"/>
          <w:szCs w:val="32"/>
        </w:rPr>
        <w:t>建设传染病监测预警处置应用。</w:t>
      </w:r>
      <w:r>
        <w:rPr>
          <w:rFonts w:eastAsia="方正仿宋_GBK"/>
          <w:kern w:val="0"/>
          <w:sz w:val="32"/>
          <w:szCs w:val="32"/>
        </w:rPr>
        <w:t>加快推进</w:t>
      </w:r>
      <w:r>
        <w:rPr>
          <w:rFonts w:eastAsia="方正仿宋_GBK" w:hint="eastAsia"/>
          <w:kern w:val="0"/>
          <w:sz w:val="32"/>
          <w:szCs w:val="32"/>
        </w:rPr>
        <w:t>“</w:t>
      </w:r>
      <w:r>
        <w:rPr>
          <w:rFonts w:eastAsia="方正仿宋_GBK"/>
          <w:kern w:val="0"/>
          <w:sz w:val="32"/>
          <w:szCs w:val="32"/>
        </w:rPr>
        <w:t>社会</w:t>
      </w:r>
      <w:r>
        <w:rPr>
          <w:rFonts w:eastAsia="方正仿宋_GBK"/>
          <w:kern w:val="0"/>
          <w:sz w:val="32"/>
          <w:szCs w:val="32"/>
        </w:rPr>
        <w:t>·</w:t>
      </w:r>
      <w:r>
        <w:rPr>
          <w:rFonts w:eastAsia="方正仿宋_GBK"/>
          <w:kern w:val="0"/>
          <w:sz w:val="32"/>
          <w:szCs w:val="32"/>
        </w:rPr>
        <w:t>渝悦</w:t>
      </w:r>
      <w:r>
        <w:rPr>
          <w:rFonts w:eastAsia="方正仿宋_GBK"/>
          <w:kern w:val="0"/>
          <w:sz w:val="32"/>
          <w:szCs w:val="32"/>
        </w:rPr>
        <w:t>·</w:t>
      </w:r>
      <w:proofErr w:type="gramStart"/>
      <w:r>
        <w:rPr>
          <w:rFonts w:eastAsia="方正仿宋_GBK"/>
          <w:kern w:val="0"/>
          <w:sz w:val="32"/>
          <w:szCs w:val="32"/>
        </w:rPr>
        <w:t>疫</w:t>
      </w:r>
      <w:proofErr w:type="gramEnd"/>
      <w:r>
        <w:rPr>
          <w:rFonts w:eastAsia="方正仿宋_GBK"/>
          <w:kern w:val="0"/>
          <w:sz w:val="32"/>
          <w:szCs w:val="32"/>
        </w:rPr>
        <w:t>智防控</w:t>
      </w:r>
      <w:r>
        <w:rPr>
          <w:rFonts w:eastAsia="方正仿宋_GBK" w:hint="eastAsia"/>
          <w:kern w:val="0"/>
          <w:sz w:val="32"/>
          <w:szCs w:val="32"/>
        </w:rPr>
        <w:t>”</w:t>
      </w:r>
      <w:r>
        <w:rPr>
          <w:rFonts w:eastAsia="方正仿宋_GBK"/>
          <w:kern w:val="0"/>
          <w:sz w:val="32"/>
          <w:szCs w:val="32"/>
        </w:rPr>
        <w:t>应用，用好互联互通、多点触发的监测预警信息平台。积极推动各级医疗卫生机构互联互通，实现病例报告、症状监测、实验室检测等数据实时共享和自动抓取。</w:t>
      </w:r>
      <w:proofErr w:type="gramStart"/>
      <w:r>
        <w:rPr>
          <w:rFonts w:eastAsia="方正仿宋_GBK"/>
          <w:kern w:val="0"/>
          <w:sz w:val="32"/>
          <w:szCs w:val="32"/>
        </w:rPr>
        <w:t>完善部门</w:t>
      </w:r>
      <w:proofErr w:type="gramEnd"/>
      <w:r>
        <w:rPr>
          <w:rFonts w:eastAsia="方正仿宋_GBK"/>
          <w:kern w:val="0"/>
          <w:sz w:val="32"/>
          <w:szCs w:val="32"/>
        </w:rPr>
        <w:t>信息共享机制，实现学生健康、动物疫情、药品销售、网络舆情等有关信息共享交换。利用大数据、人工智能等技术，建立健全智慧化预警多点触发机制，实现传染病疫情自动采集和智能预警。（责任单位：区教委、区卫生健康委、区大数据局、区市场监管局）</w:t>
      </w:r>
    </w:p>
    <w:p w14:paraId="5F66AABF"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22.</w:t>
      </w:r>
      <w:r>
        <w:rPr>
          <w:rFonts w:eastAsia="方正仿宋_GBK"/>
          <w:b/>
          <w:bCs/>
          <w:kern w:val="0"/>
          <w:sz w:val="32"/>
          <w:szCs w:val="32"/>
        </w:rPr>
        <w:t>建设全生命周期健康管理平台。</w:t>
      </w:r>
      <w:r>
        <w:rPr>
          <w:rFonts w:eastAsia="方正仿宋_GBK"/>
          <w:kern w:val="0"/>
          <w:sz w:val="32"/>
          <w:szCs w:val="32"/>
        </w:rPr>
        <w:t>鼓励</w:t>
      </w:r>
      <w:proofErr w:type="gramStart"/>
      <w:r>
        <w:rPr>
          <w:rFonts w:eastAsia="方正仿宋_GBK"/>
          <w:kern w:val="0"/>
          <w:sz w:val="32"/>
          <w:szCs w:val="32"/>
        </w:rPr>
        <w:t>区疾控中心</w:t>
      </w:r>
      <w:proofErr w:type="gramEnd"/>
      <w:r>
        <w:rPr>
          <w:rFonts w:eastAsia="方正仿宋_GBK"/>
          <w:kern w:val="0"/>
          <w:sz w:val="32"/>
          <w:szCs w:val="32"/>
        </w:rPr>
        <w:t>建设</w:t>
      </w:r>
      <w:proofErr w:type="gramStart"/>
      <w:r>
        <w:rPr>
          <w:rFonts w:eastAsia="方正仿宋_GBK"/>
          <w:kern w:val="0"/>
          <w:sz w:val="32"/>
          <w:szCs w:val="32"/>
        </w:rPr>
        <w:t>医</w:t>
      </w:r>
      <w:proofErr w:type="gramEnd"/>
      <w:r>
        <w:rPr>
          <w:rFonts w:eastAsia="方正仿宋_GBK"/>
          <w:kern w:val="0"/>
          <w:sz w:val="32"/>
          <w:szCs w:val="32"/>
        </w:rPr>
        <w:t>防协同、上下联动的全生命周期健康管理平台，自动抓取、分析</w:t>
      </w:r>
      <w:proofErr w:type="gramStart"/>
      <w:r>
        <w:rPr>
          <w:rFonts w:eastAsia="方正仿宋_GBK"/>
          <w:kern w:val="0"/>
          <w:sz w:val="32"/>
          <w:szCs w:val="32"/>
        </w:rPr>
        <w:t>研判有关</w:t>
      </w:r>
      <w:proofErr w:type="gramEnd"/>
      <w:r>
        <w:rPr>
          <w:rFonts w:eastAsia="方正仿宋_GBK"/>
          <w:kern w:val="0"/>
          <w:sz w:val="32"/>
          <w:szCs w:val="32"/>
        </w:rPr>
        <w:t>诊疗数据和公共卫生服务数据，实现对重点传染病患者、慢性病患者、职业病患者、妇女、儿童、老年人等重点人群诊疗信息、随访信息的实时共享查阅。完善互联网健康管理和互联网基本公共卫生服务政策，支持开发在线便民服务应用，实现全生命周期的线上服务、智能化健康提醒、一键急救等功能。加强数据管理维护，确保信息安全。（责任单位：区</w:t>
      </w:r>
      <w:r>
        <w:rPr>
          <w:rFonts w:eastAsia="方正仿宋_GBK"/>
          <w:kern w:val="0"/>
          <w:sz w:val="32"/>
          <w:szCs w:val="32"/>
        </w:rPr>
        <w:lastRenderedPageBreak/>
        <w:t>卫生健康委）</w:t>
      </w:r>
    </w:p>
    <w:p w14:paraId="00B152FB"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23.</w:t>
      </w:r>
      <w:r>
        <w:rPr>
          <w:rFonts w:eastAsia="方正仿宋_GBK"/>
          <w:b/>
          <w:bCs/>
          <w:kern w:val="0"/>
          <w:sz w:val="32"/>
          <w:szCs w:val="32"/>
        </w:rPr>
        <w:t>建设统一调度、智能辅助的应急指挥平台。</w:t>
      </w:r>
      <w:r>
        <w:rPr>
          <w:rFonts w:eastAsia="方正仿宋_GBK"/>
          <w:kern w:val="0"/>
          <w:sz w:val="32"/>
          <w:szCs w:val="32"/>
        </w:rPr>
        <w:t>参与建设全市卫生应急资源</w:t>
      </w:r>
      <w:r>
        <w:rPr>
          <w:rFonts w:eastAsia="方正仿宋_GBK" w:hint="eastAsia"/>
          <w:kern w:val="0"/>
          <w:sz w:val="32"/>
          <w:szCs w:val="32"/>
        </w:rPr>
        <w:t>“</w:t>
      </w:r>
      <w:r>
        <w:rPr>
          <w:rFonts w:eastAsia="方正仿宋_GBK"/>
          <w:kern w:val="0"/>
          <w:sz w:val="32"/>
          <w:szCs w:val="32"/>
        </w:rPr>
        <w:t>一张网</w:t>
      </w:r>
      <w:r>
        <w:rPr>
          <w:rFonts w:eastAsia="方正仿宋_GBK" w:hint="eastAsia"/>
          <w:kern w:val="0"/>
          <w:sz w:val="32"/>
          <w:szCs w:val="32"/>
        </w:rPr>
        <w:t>”</w:t>
      </w:r>
      <w:r>
        <w:rPr>
          <w:rFonts w:eastAsia="方正仿宋_GBK"/>
          <w:kern w:val="0"/>
          <w:sz w:val="32"/>
          <w:szCs w:val="32"/>
        </w:rPr>
        <w:t>，实时动态掌握和调配队伍、装备、物资等各级各类卫生应急资源，实现各部门应急处置数据实时交换共享，突发公共卫生事件自动报告、监测预警、资源可视化实时动态展示、辅助智能决策和在线实时指挥调度。（责任单位：区卫生健康委）</w:t>
      </w:r>
    </w:p>
    <w:p w14:paraId="2DC928BF"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24.</w:t>
      </w:r>
      <w:r>
        <w:rPr>
          <w:rFonts w:eastAsia="方正仿宋_GBK"/>
          <w:b/>
          <w:bCs/>
          <w:kern w:val="0"/>
          <w:sz w:val="32"/>
          <w:szCs w:val="32"/>
        </w:rPr>
        <w:t>建设卫生健康执法监管服务平台。</w:t>
      </w:r>
      <w:r>
        <w:rPr>
          <w:rFonts w:eastAsia="方正仿宋_GBK"/>
          <w:kern w:val="0"/>
          <w:sz w:val="32"/>
          <w:szCs w:val="32"/>
        </w:rPr>
        <w:t>改造升级执法业务信息功能，实现执法业务全流程线上办理。构建全区卫生健康非现场监管应用体系，在公共场所、生活饮用水、用人单位、学校等领域建立非现场监管应用场景，对公共卫生风险实现快速预警和处置。探索构建数字化执法统一应用标准，实现分级分类监管、信用监管等监管功能的数字化应用。拓展惠民便民服务途径，</w:t>
      </w:r>
      <w:proofErr w:type="gramStart"/>
      <w:r>
        <w:rPr>
          <w:rFonts w:eastAsia="方正仿宋_GBK"/>
          <w:kern w:val="0"/>
          <w:sz w:val="32"/>
          <w:szCs w:val="32"/>
        </w:rPr>
        <w:t>实现线</w:t>
      </w:r>
      <w:proofErr w:type="gramEnd"/>
      <w:r>
        <w:rPr>
          <w:rFonts w:eastAsia="方正仿宋_GBK"/>
          <w:kern w:val="0"/>
          <w:sz w:val="32"/>
          <w:szCs w:val="32"/>
        </w:rPr>
        <w:t>上举报投诉、执法信息公示等执法服务功能。（责任单位：区卫生健康委）</w:t>
      </w:r>
    </w:p>
    <w:p w14:paraId="192CFEC2" w14:textId="77777777" w:rsidR="00D400AF" w:rsidRDefault="00000000">
      <w:pPr>
        <w:widowControl w:val="0"/>
        <w:overflowPunct w:val="0"/>
        <w:spacing w:line="630" w:lineRule="exact"/>
        <w:ind w:firstLineChars="200" w:firstLine="640"/>
        <w:rPr>
          <w:rFonts w:eastAsia="方正楷体_GBK"/>
          <w:sz w:val="32"/>
          <w:szCs w:val="32"/>
        </w:rPr>
      </w:pPr>
      <w:r>
        <w:rPr>
          <w:rFonts w:eastAsia="方正楷体_GBK"/>
          <w:sz w:val="32"/>
          <w:szCs w:val="32"/>
        </w:rPr>
        <w:t>（七）实施重点人群健康关爱行动</w:t>
      </w:r>
    </w:p>
    <w:p w14:paraId="6E360F82"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25.</w:t>
      </w:r>
      <w:r>
        <w:rPr>
          <w:rFonts w:eastAsia="方正仿宋_GBK"/>
          <w:b/>
          <w:bCs/>
          <w:kern w:val="0"/>
          <w:sz w:val="32"/>
          <w:szCs w:val="32"/>
        </w:rPr>
        <w:t>维护儿童青少年健康。</w:t>
      </w:r>
      <w:r>
        <w:rPr>
          <w:rFonts w:eastAsia="方正仿宋_GBK"/>
          <w:kern w:val="0"/>
          <w:sz w:val="32"/>
          <w:szCs w:val="32"/>
        </w:rPr>
        <w:t>聚焦传染病、近视、肥胖、发育不良、情绪和行为问题等儿童青少年的主要健康问题，依托重庆市学校卫生综合监管等信息平台，完善学校疾病预防控制体系，深化</w:t>
      </w:r>
      <w:proofErr w:type="gramStart"/>
      <w:r>
        <w:rPr>
          <w:rFonts w:eastAsia="方正仿宋_GBK"/>
          <w:kern w:val="0"/>
          <w:sz w:val="32"/>
          <w:szCs w:val="32"/>
        </w:rPr>
        <w:t>医</w:t>
      </w:r>
      <w:proofErr w:type="gramEnd"/>
      <w:r>
        <w:rPr>
          <w:rFonts w:eastAsia="方正仿宋_GBK"/>
          <w:kern w:val="0"/>
          <w:sz w:val="32"/>
          <w:szCs w:val="32"/>
        </w:rPr>
        <w:t>教协同，推进儿童入托入学查验预防接种证、晨午检、</w:t>
      </w:r>
      <w:proofErr w:type="gramStart"/>
      <w:r>
        <w:rPr>
          <w:rFonts w:eastAsia="方正仿宋_GBK"/>
          <w:kern w:val="0"/>
          <w:sz w:val="32"/>
          <w:szCs w:val="32"/>
        </w:rPr>
        <w:t>眼健康</w:t>
      </w:r>
      <w:proofErr w:type="gramEnd"/>
      <w:r>
        <w:rPr>
          <w:rFonts w:eastAsia="方正仿宋_GBK"/>
          <w:kern w:val="0"/>
          <w:sz w:val="32"/>
          <w:szCs w:val="32"/>
        </w:rPr>
        <w:t>电子档案、心理健康档案、学校卫生监测等数据共享，形成监测</w:t>
      </w:r>
      <w:r>
        <w:rPr>
          <w:rFonts w:eastAsia="方正仿宋_GBK"/>
          <w:kern w:val="0"/>
          <w:sz w:val="32"/>
          <w:szCs w:val="32"/>
        </w:rPr>
        <w:t>—</w:t>
      </w:r>
      <w:r>
        <w:rPr>
          <w:rFonts w:eastAsia="方正仿宋_GBK"/>
          <w:kern w:val="0"/>
          <w:sz w:val="32"/>
          <w:szCs w:val="32"/>
        </w:rPr>
        <w:t>评估</w:t>
      </w:r>
      <w:r>
        <w:rPr>
          <w:rFonts w:eastAsia="方正仿宋_GBK"/>
          <w:kern w:val="0"/>
          <w:sz w:val="32"/>
          <w:szCs w:val="32"/>
        </w:rPr>
        <w:t>—</w:t>
      </w:r>
      <w:r>
        <w:rPr>
          <w:rFonts w:eastAsia="方正仿宋_GBK"/>
          <w:kern w:val="0"/>
          <w:sz w:val="32"/>
          <w:szCs w:val="32"/>
        </w:rPr>
        <w:t>干预闭环管理。持续实施初二年级在校</w:t>
      </w:r>
      <w:r>
        <w:rPr>
          <w:rFonts w:eastAsia="方正仿宋_GBK"/>
          <w:spacing w:val="-6"/>
          <w:kern w:val="0"/>
          <w:sz w:val="32"/>
          <w:szCs w:val="32"/>
        </w:rPr>
        <w:lastRenderedPageBreak/>
        <w:t>女学生</w:t>
      </w:r>
      <w:r>
        <w:rPr>
          <w:rFonts w:eastAsia="方正仿宋_GBK"/>
          <w:spacing w:val="-6"/>
          <w:kern w:val="0"/>
          <w:sz w:val="32"/>
          <w:szCs w:val="32"/>
        </w:rPr>
        <w:t>HPV</w:t>
      </w:r>
      <w:r>
        <w:rPr>
          <w:rFonts w:eastAsia="方正仿宋_GBK"/>
          <w:spacing w:val="-6"/>
          <w:kern w:val="0"/>
          <w:sz w:val="32"/>
          <w:szCs w:val="32"/>
        </w:rPr>
        <w:t>疫苗接种项目。（责任单位：区教委、区卫生健康委）</w:t>
      </w:r>
    </w:p>
    <w:p w14:paraId="2AFDEB2C"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26.</w:t>
      </w:r>
      <w:r>
        <w:rPr>
          <w:rFonts w:eastAsia="方正仿宋_GBK"/>
          <w:b/>
          <w:bCs/>
          <w:kern w:val="0"/>
          <w:sz w:val="32"/>
          <w:szCs w:val="32"/>
        </w:rPr>
        <w:t>维护妇幼健康。</w:t>
      </w:r>
      <w:r>
        <w:rPr>
          <w:rFonts w:eastAsia="方正仿宋_GBK"/>
          <w:kern w:val="0"/>
          <w:sz w:val="32"/>
          <w:szCs w:val="32"/>
        </w:rPr>
        <w:t>实施母婴</w:t>
      </w:r>
      <w:proofErr w:type="gramStart"/>
      <w:r>
        <w:rPr>
          <w:rFonts w:eastAsia="方正仿宋_GBK"/>
          <w:kern w:val="0"/>
          <w:sz w:val="32"/>
          <w:szCs w:val="32"/>
        </w:rPr>
        <w:t>安全行动</w:t>
      </w:r>
      <w:proofErr w:type="gramEnd"/>
      <w:r>
        <w:rPr>
          <w:rFonts w:eastAsia="方正仿宋_GBK"/>
          <w:kern w:val="0"/>
          <w:sz w:val="32"/>
          <w:szCs w:val="32"/>
        </w:rPr>
        <w:t>提升计划和儿童健康行动提升计划，建设覆盖婚前、孕前、孕期、新生儿和儿童各阶段的出生缺陷防治体系，逐步扩大筛查病种范围。实施消除艾滋病、梅毒和乙肝母婴传播行动和加速消除宫颈癌行动。到</w:t>
      </w:r>
      <w:r>
        <w:rPr>
          <w:rFonts w:eastAsia="方正仿宋_GBK"/>
          <w:kern w:val="0"/>
          <w:sz w:val="32"/>
          <w:szCs w:val="32"/>
        </w:rPr>
        <w:t>2025</w:t>
      </w:r>
      <w:r>
        <w:rPr>
          <w:rFonts w:eastAsia="方正仿宋_GBK"/>
          <w:kern w:val="0"/>
          <w:sz w:val="32"/>
          <w:szCs w:val="32"/>
        </w:rPr>
        <w:t>年，艾滋病母婴传播率维持在</w:t>
      </w:r>
      <w:r>
        <w:rPr>
          <w:rFonts w:eastAsia="方正仿宋_GBK"/>
          <w:kern w:val="0"/>
          <w:sz w:val="32"/>
          <w:szCs w:val="32"/>
        </w:rPr>
        <w:t>2%</w:t>
      </w:r>
      <w:r>
        <w:rPr>
          <w:rFonts w:eastAsia="方正仿宋_GBK"/>
          <w:kern w:val="0"/>
          <w:sz w:val="32"/>
          <w:szCs w:val="32"/>
        </w:rPr>
        <w:t>以下，乙肝母婴传播率维持在</w:t>
      </w:r>
      <w:r>
        <w:rPr>
          <w:rFonts w:eastAsia="方正仿宋_GBK"/>
          <w:kern w:val="0"/>
          <w:sz w:val="32"/>
          <w:szCs w:val="32"/>
        </w:rPr>
        <w:t>1%</w:t>
      </w:r>
      <w:r>
        <w:rPr>
          <w:rFonts w:eastAsia="方正仿宋_GBK"/>
          <w:kern w:val="0"/>
          <w:sz w:val="32"/>
          <w:szCs w:val="32"/>
        </w:rPr>
        <w:t>以下，适龄妇女宫颈癌筛查率超过</w:t>
      </w:r>
      <w:r>
        <w:rPr>
          <w:rFonts w:eastAsia="方正仿宋_GBK"/>
          <w:kern w:val="0"/>
          <w:sz w:val="32"/>
          <w:szCs w:val="32"/>
        </w:rPr>
        <w:t>70%</w:t>
      </w:r>
      <w:r>
        <w:rPr>
          <w:rFonts w:eastAsia="方正仿宋_GBK"/>
          <w:kern w:val="0"/>
          <w:sz w:val="32"/>
          <w:szCs w:val="32"/>
        </w:rPr>
        <w:t>，孕产妇死亡率维持在</w:t>
      </w:r>
      <w:r>
        <w:rPr>
          <w:rFonts w:eastAsia="方正仿宋_GBK"/>
          <w:kern w:val="0"/>
          <w:sz w:val="32"/>
          <w:szCs w:val="32"/>
        </w:rPr>
        <w:t>8</w:t>
      </w:r>
      <w:r>
        <w:rPr>
          <w:rFonts w:eastAsia="方正仿宋_GBK"/>
          <w:kern w:val="0"/>
          <w:sz w:val="32"/>
          <w:szCs w:val="32"/>
        </w:rPr>
        <w:t>人</w:t>
      </w:r>
      <w:r>
        <w:rPr>
          <w:rFonts w:eastAsia="方正仿宋_GBK"/>
          <w:kern w:val="0"/>
          <w:sz w:val="32"/>
          <w:szCs w:val="32"/>
        </w:rPr>
        <w:t>/10</w:t>
      </w:r>
      <w:r>
        <w:rPr>
          <w:rFonts w:eastAsia="方正仿宋_GBK"/>
          <w:kern w:val="0"/>
          <w:sz w:val="32"/>
          <w:szCs w:val="32"/>
        </w:rPr>
        <w:t>万人以下，</w:t>
      </w:r>
      <w:r>
        <w:rPr>
          <w:rFonts w:eastAsia="方正仿宋_GBK"/>
          <w:kern w:val="0"/>
          <w:sz w:val="32"/>
          <w:szCs w:val="32"/>
        </w:rPr>
        <w:t>5</w:t>
      </w:r>
      <w:r>
        <w:rPr>
          <w:rFonts w:eastAsia="方正仿宋_GBK"/>
          <w:kern w:val="0"/>
          <w:sz w:val="32"/>
          <w:szCs w:val="32"/>
        </w:rPr>
        <w:t>岁以下儿童死亡率控制在</w:t>
      </w:r>
      <w:r>
        <w:rPr>
          <w:rFonts w:eastAsia="方正仿宋_GBK"/>
          <w:kern w:val="0"/>
          <w:sz w:val="32"/>
          <w:szCs w:val="32"/>
        </w:rPr>
        <w:t>4.3‰</w:t>
      </w:r>
      <w:r>
        <w:rPr>
          <w:rFonts w:eastAsia="方正仿宋_GBK"/>
          <w:kern w:val="0"/>
          <w:sz w:val="32"/>
          <w:szCs w:val="32"/>
        </w:rPr>
        <w:t>以下，产前筛查率保持在</w:t>
      </w:r>
      <w:r>
        <w:rPr>
          <w:rFonts w:eastAsia="方正仿宋_GBK"/>
          <w:kern w:val="0"/>
          <w:sz w:val="32"/>
          <w:szCs w:val="32"/>
        </w:rPr>
        <w:t>90%</w:t>
      </w:r>
      <w:r>
        <w:rPr>
          <w:rFonts w:eastAsia="方正仿宋_GBK"/>
          <w:kern w:val="0"/>
          <w:sz w:val="32"/>
          <w:szCs w:val="32"/>
        </w:rPr>
        <w:t>以上。（责任单位：区教委、区民政局、区卫生健康委、区公安分局、区妇联）</w:t>
      </w:r>
    </w:p>
    <w:p w14:paraId="6A33B94B"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27.</w:t>
      </w:r>
      <w:r>
        <w:rPr>
          <w:rFonts w:eastAsia="方正仿宋_GBK"/>
          <w:b/>
          <w:bCs/>
          <w:kern w:val="0"/>
          <w:sz w:val="32"/>
          <w:szCs w:val="32"/>
        </w:rPr>
        <w:t>实施重点慢性病综合防控。</w:t>
      </w:r>
      <w:r>
        <w:rPr>
          <w:rFonts w:eastAsia="方正仿宋_GBK"/>
          <w:kern w:val="0"/>
          <w:sz w:val="32"/>
          <w:szCs w:val="32"/>
        </w:rPr>
        <w:t>以家庭医生签约服务为抓手，以高血压、糖尿病为切入点，加强重大慢性病健康管理。持续推进慢性病综合防控示范区品牌建设，</w:t>
      </w:r>
      <w:r>
        <w:rPr>
          <w:rFonts w:eastAsia="方正仿宋_GBK"/>
          <w:kern w:val="0"/>
          <w:sz w:val="32"/>
          <w:szCs w:val="32"/>
        </w:rPr>
        <w:t>2024</w:t>
      </w:r>
      <w:r>
        <w:rPr>
          <w:rFonts w:eastAsia="方正仿宋_GBK"/>
          <w:kern w:val="0"/>
          <w:sz w:val="32"/>
          <w:szCs w:val="32"/>
        </w:rPr>
        <w:t>年顺利通过国家慢性病综合防控示范区复评审，加强慢性病综合监测和干预。积极探索利用可穿戴</w:t>
      </w:r>
      <w:proofErr w:type="gramStart"/>
      <w:r>
        <w:rPr>
          <w:rFonts w:eastAsia="方正仿宋_GBK"/>
          <w:kern w:val="0"/>
          <w:sz w:val="32"/>
          <w:szCs w:val="32"/>
        </w:rPr>
        <w:t>式设备</w:t>
      </w:r>
      <w:proofErr w:type="gramEnd"/>
      <w:r>
        <w:rPr>
          <w:rFonts w:eastAsia="方正仿宋_GBK"/>
          <w:kern w:val="0"/>
          <w:sz w:val="32"/>
          <w:szCs w:val="32"/>
        </w:rPr>
        <w:t>和信息平台，对慢性病患者提供</w:t>
      </w:r>
      <w:r>
        <w:rPr>
          <w:rFonts w:eastAsia="方正仿宋_GBK" w:hint="eastAsia"/>
          <w:kern w:val="0"/>
          <w:sz w:val="32"/>
          <w:szCs w:val="32"/>
        </w:rPr>
        <w:t>“</w:t>
      </w:r>
      <w:r>
        <w:rPr>
          <w:rFonts w:eastAsia="方正仿宋_GBK"/>
          <w:kern w:val="0"/>
          <w:sz w:val="32"/>
          <w:szCs w:val="32"/>
        </w:rPr>
        <w:t>病前主动防、病后科学管、跟踪服务不间断</w:t>
      </w:r>
      <w:r>
        <w:rPr>
          <w:rFonts w:eastAsia="方正仿宋_GBK" w:hint="eastAsia"/>
          <w:kern w:val="0"/>
          <w:sz w:val="32"/>
          <w:szCs w:val="32"/>
        </w:rPr>
        <w:t>”</w:t>
      </w:r>
      <w:r>
        <w:rPr>
          <w:rFonts w:eastAsia="方正仿宋_GBK"/>
          <w:kern w:val="0"/>
          <w:sz w:val="32"/>
          <w:szCs w:val="32"/>
        </w:rPr>
        <w:t>的动态监测、在线咨询、健康教育等全程健康服务。到</w:t>
      </w:r>
      <w:r>
        <w:rPr>
          <w:rFonts w:eastAsia="方正仿宋_GBK"/>
          <w:kern w:val="0"/>
          <w:sz w:val="32"/>
          <w:szCs w:val="32"/>
        </w:rPr>
        <w:t>2025</w:t>
      </w:r>
      <w:r>
        <w:rPr>
          <w:rFonts w:eastAsia="方正仿宋_GBK"/>
          <w:kern w:val="0"/>
          <w:sz w:val="32"/>
          <w:szCs w:val="32"/>
        </w:rPr>
        <w:t>年主要慢性病早死概率维持在</w:t>
      </w:r>
      <w:r>
        <w:rPr>
          <w:rFonts w:eastAsia="方正仿宋_GBK"/>
          <w:kern w:val="0"/>
          <w:sz w:val="32"/>
          <w:szCs w:val="32"/>
        </w:rPr>
        <w:t>13%</w:t>
      </w:r>
      <w:r>
        <w:rPr>
          <w:rFonts w:eastAsia="方正仿宋_GBK"/>
          <w:kern w:val="0"/>
          <w:sz w:val="32"/>
          <w:szCs w:val="32"/>
        </w:rPr>
        <w:t>以下。（责任单位：区教委、区民政局、区文旅委、区生态环境局、区卫生健康委、区</w:t>
      </w:r>
      <w:proofErr w:type="gramStart"/>
      <w:r>
        <w:rPr>
          <w:rFonts w:eastAsia="方正仿宋_GBK"/>
          <w:kern w:val="0"/>
          <w:sz w:val="32"/>
          <w:szCs w:val="32"/>
        </w:rPr>
        <w:t>医</w:t>
      </w:r>
      <w:proofErr w:type="gramEnd"/>
      <w:r>
        <w:rPr>
          <w:rFonts w:eastAsia="方正仿宋_GBK"/>
          <w:kern w:val="0"/>
          <w:sz w:val="32"/>
          <w:szCs w:val="32"/>
        </w:rPr>
        <w:t>保局）</w:t>
      </w:r>
    </w:p>
    <w:p w14:paraId="5D5868EE"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28.</w:t>
      </w:r>
      <w:r>
        <w:rPr>
          <w:rFonts w:eastAsia="方正仿宋_GBK"/>
          <w:b/>
          <w:bCs/>
          <w:kern w:val="0"/>
          <w:sz w:val="32"/>
          <w:szCs w:val="32"/>
        </w:rPr>
        <w:t>实施艾滋病精准综合防治。</w:t>
      </w:r>
      <w:r>
        <w:rPr>
          <w:rFonts w:eastAsia="方正仿宋_GBK"/>
          <w:kern w:val="0"/>
          <w:sz w:val="32"/>
          <w:szCs w:val="32"/>
        </w:rPr>
        <w:t>推进扩大检测、扩大治疗策略，将老年人群艾滋病检测纳入基本公共卫生服务。落实艾滋病防治质量年（</w:t>
      </w:r>
      <w:r>
        <w:rPr>
          <w:rFonts w:eastAsia="方正仿宋_GBK"/>
          <w:kern w:val="0"/>
          <w:sz w:val="32"/>
          <w:szCs w:val="32"/>
        </w:rPr>
        <w:t>2023—2025</w:t>
      </w:r>
      <w:r>
        <w:rPr>
          <w:rFonts w:eastAsia="方正仿宋_GBK"/>
          <w:kern w:val="0"/>
          <w:sz w:val="32"/>
          <w:szCs w:val="32"/>
        </w:rPr>
        <w:t>年）有关措施，持续推进艾滋病防</w:t>
      </w:r>
      <w:r>
        <w:rPr>
          <w:rFonts w:eastAsia="方正仿宋_GBK"/>
          <w:kern w:val="0"/>
          <w:sz w:val="32"/>
          <w:szCs w:val="32"/>
        </w:rPr>
        <w:lastRenderedPageBreak/>
        <w:t>治宣传教育、综合干预、检测筛查、治疗关怀、母婴阻断工作。到</w:t>
      </w:r>
      <w:r>
        <w:rPr>
          <w:rFonts w:eastAsia="方正仿宋_GBK"/>
          <w:kern w:val="0"/>
          <w:sz w:val="32"/>
          <w:szCs w:val="32"/>
        </w:rPr>
        <w:t>2025</w:t>
      </w:r>
      <w:r>
        <w:rPr>
          <w:rFonts w:eastAsia="方正仿宋_GBK"/>
          <w:kern w:val="0"/>
          <w:sz w:val="32"/>
          <w:szCs w:val="32"/>
        </w:rPr>
        <w:t>年，全人群艾滋病检测覆盖率保持在</w:t>
      </w:r>
      <w:r>
        <w:rPr>
          <w:rFonts w:eastAsia="方正仿宋_GBK"/>
          <w:kern w:val="0"/>
          <w:sz w:val="32"/>
          <w:szCs w:val="32"/>
        </w:rPr>
        <w:t>45%</w:t>
      </w:r>
      <w:r>
        <w:rPr>
          <w:rFonts w:eastAsia="方正仿宋_GBK"/>
          <w:kern w:val="0"/>
          <w:sz w:val="32"/>
          <w:szCs w:val="32"/>
        </w:rPr>
        <w:t>以上，艾滋病检测发现比例达到</w:t>
      </w:r>
      <w:r>
        <w:rPr>
          <w:rFonts w:eastAsia="方正仿宋_GBK"/>
          <w:kern w:val="0"/>
          <w:sz w:val="32"/>
          <w:szCs w:val="32"/>
        </w:rPr>
        <w:t>90%</w:t>
      </w:r>
      <w:r>
        <w:rPr>
          <w:rFonts w:eastAsia="方正仿宋_GBK"/>
          <w:kern w:val="0"/>
          <w:sz w:val="32"/>
          <w:szCs w:val="32"/>
        </w:rPr>
        <w:t>，抗病毒治疗比例达到</w:t>
      </w:r>
      <w:r>
        <w:rPr>
          <w:rFonts w:eastAsia="方正仿宋_GBK"/>
          <w:kern w:val="0"/>
          <w:sz w:val="32"/>
          <w:szCs w:val="32"/>
        </w:rPr>
        <w:t>95%</w:t>
      </w:r>
      <w:r>
        <w:rPr>
          <w:rFonts w:eastAsia="方正仿宋_GBK"/>
          <w:kern w:val="0"/>
          <w:sz w:val="32"/>
          <w:szCs w:val="32"/>
        </w:rPr>
        <w:t>，在治病人病毒载量抑制比例达到</w:t>
      </w:r>
      <w:r>
        <w:rPr>
          <w:rFonts w:eastAsia="方正仿宋_GBK"/>
          <w:kern w:val="0"/>
          <w:sz w:val="32"/>
          <w:szCs w:val="32"/>
        </w:rPr>
        <w:t>95%</w:t>
      </w:r>
      <w:r>
        <w:rPr>
          <w:rFonts w:eastAsia="方正仿宋_GBK"/>
          <w:kern w:val="0"/>
          <w:sz w:val="32"/>
          <w:szCs w:val="32"/>
        </w:rPr>
        <w:t>，将艾滋病传播控制在</w:t>
      </w:r>
      <w:proofErr w:type="gramStart"/>
      <w:r>
        <w:rPr>
          <w:rFonts w:eastAsia="方正仿宋_GBK"/>
          <w:kern w:val="0"/>
          <w:sz w:val="32"/>
          <w:szCs w:val="32"/>
        </w:rPr>
        <w:t>低流行</w:t>
      </w:r>
      <w:proofErr w:type="gramEnd"/>
      <w:r>
        <w:rPr>
          <w:rFonts w:eastAsia="方正仿宋_GBK"/>
          <w:kern w:val="0"/>
          <w:sz w:val="32"/>
          <w:szCs w:val="32"/>
        </w:rPr>
        <w:t>态势。（责任单位：区教委、区民政局、区卫生健康委、区公安分局、团区委、区妇联）</w:t>
      </w:r>
    </w:p>
    <w:p w14:paraId="23BE67E0"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29.</w:t>
      </w:r>
      <w:r>
        <w:rPr>
          <w:rFonts w:eastAsia="方正仿宋_GBK"/>
          <w:b/>
          <w:bCs/>
          <w:kern w:val="0"/>
          <w:sz w:val="32"/>
          <w:szCs w:val="32"/>
        </w:rPr>
        <w:t>实施</w:t>
      </w:r>
      <w:r>
        <w:rPr>
          <w:rFonts w:eastAsia="方正仿宋_GBK" w:hint="eastAsia"/>
          <w:b/>
          <w:bCs/>
          <w:kern w:val="0"/>
          <w:sz w:val="32"/>
          <w:szCs w:val="32"/>
        </w:rPr>
        <w:t>“</w:t>
      </w:r>
      <w:r>
        <w:rPr>
          <w:rFonts w:eastAsia="方正仿宋_GBK"/>
          <w:b/>
          <w:bCs/>
          <w:kern w:val="0"/>
          <w:sz w:val="32"/>
          <w:szCs w:val="32"/>
        </w:rPr>
        <w:t>终结结核流行</w:t>
      </w:r>
      <w:r>
        <w:rPr>
          <w:rFonts w:eastAsia="方正仿宋_GBK" w:hint="eastAsia"/>
          <w:b/>
          <w:bCs/>
          <w:kern w:val="0"/>
          <w:sz w:val="32"/>
          <w:szCs w:val="32"/>
        </w:rPr>
        <w:t>”</w:t>
      </w:r>
      <w:r>
        <w:rPr>
          <w:rFonts w:eastAsia="方正仿宋_GBK"/>
          <w:b/>
          <w:bCs/>
          <w:kern w:val="0"/>
          <w:sz w:val="32"/>
          <w:szCs w:val="32"/>
        </w:rPr>
        <w:t>行动。</w:t>
      </w:r>
      <w:r>
        <w:rPr>
          <w:rFonts w:eastAsia="方正仿宋_GBK"/>
          <w:kern w:val="0"/>
          <w:sz w:val="32"/>
          <w:szCs w:val="32"/>
        </w:rPr>
        <w:t>积极争创</w:t>
      </w:r>
      <w:r>
        <w:rPr>
          <w:rFonts w:eastAsia="方正仿宋_GBK" w:hint="eastAsia"/>
          <w:kern w:val="0"/>
          <w:sz w:val="32"/>
          <w:szCs w:val="32"/>
        </w:rPr>
        <w:t>“</w:t>
      </w:r>
      <w:r>
        <w:rPr>
          <w:rFonts w:eastAsia="方正仿宋_GBK"/>
          <w:kern w:val="0"/>
          <w:sz w:val="32"/>
          <w:szCs w:val="32"/>
        </w:rPr>
        <w:t>无结核校园</w:t>
      </w:r>
      <w:r>
        <w:rPr>
          <w:rFonts w:eastAsia="方正仿宋_GBK" w:hint="eastAsia"/>
          <w:kern w:val="0"/>
          <w:sz w:val="32"/>
          <w:szCs w:val="32"/>
        </w:rPr>
        <w:t>”“</w:t>
      </w:r>
      <w:r>
        <w:rPr>
          <w:rFonts w:eastAsia="方正仿宋_GBK"/>
          <w:kern w:val="0"/>
          <w:sz w:val="32"/>
          <w:szCs w:val="32"/>
        </w:rPr>
        <w:t>无结核社区</w:t>
      </w:r>
      <w:r>
        <w:rPr>
          <w:rFonts w:eastAsia="方正仿宋_GBK" w:hint="eastAsia"/>
          <w:kern w:val="0"/>
          <w:sz w:val="32"/>
          <w:szCs w:val="32"/>
        </w:rPr>
        <w:t>”</w:t>
      </w:r>
      <w:r>
        <w:rPr>
          <w:rFonts w:eastAsia="方正仿宋_GBK"/>
          <w:kern w:val="0"/>
          <w:sz w:val="32"/>
          <w:szCs w:val="32"/>
        </w:rPr>
        <w:t>。对</w:t>
      </w:r>
      <w:r>
        <w:rPr>
          <w:rFonts w:eastAsia="方正仿宋_GBK"/>
          <w:kern w:val="0"/>
          <w:sz w:val="32"/>
          <w:szCs w:val="32"/>
        </w:rPr>
        <w:t>65</w:t>
      </w:r>
      <w:r>
        <w:rPr>
          <w:rFonts w:eastAsia="方正仿宋_GBK"/>
          <w:kern w:val="0"/>
          <w:sz w:val="32"/>
          <w:szCs w:val="32"/>
        </w:rPr>
        <w:t>岁以上老年人和活动性肺结核患者密切接触者，同时开展症状筛查和</w:t>
      </w:r>
      <w:r>
        <w:rPr>
          <w:rFonts w:eastAsia="方正仿宋_GBK"/>
          <w:kern w:val="0"/>
          <w:sz w:val="32"/>
          <w:szCs w:val="32"/>
        </w:rPr>
        <w:t>X</w:t>
      </w:r>
      <w:r>
        <w:rPr>
          <w:rFonts w:eastAsia="方正仿宋_GBK"/>
          <w:kern w:val="0"/>
          <w:sz w:val="32"/>
          <w:szCs w:val="32"/>
        </w:rPr>
        <w:t>光胸片检查。探索对活动期肺结核患者实施住院隔离治疗的防控模式。到</w:t>
      </w:r>
      <w:r>
        <w:rPr>
          <w:rFonts w:eastAsia="方正仿宋_GBK"/>
          <w:kern w:val="0"/>
          <w:sz w:val="32"/>
          <w:szCs w:val="32"/>
        </w:rPr>
        <w:t>2025</w:t>
      </w:r>
      <w:r>
        <w:rPr>
          <w:rFonts w:eastAsia="方正仿宋_GBK"/>
          <w:kern w:val="0"/>
          <w:sz w:val="32"/>
          <w:szCs w:val="32"/>
        </w:rPr>
        <w:t>年，</w:t>
      </w:r>
      <w:r>
        <w:rPr>
          <w:rFonts w:eastAsia="方正仿宋_GBK"/>
          <w:kern w:val="0"/>
          <w:sz w:val="32"/>
          <w:szCs w:val="32"/>
        </w:rPr>
        <w:t>65</w:t>
      </w:r>
      <w:r>
        <w:rPr>
          <w:rFonts w:eastAsia="方正仿宋_GBK"/>
          <w:kern w:val="0"/>
          <w:sz w:val="32"/>
          <w:szCs w:val="32"/>
        </w:rPr>
        <w:t>岁以上老年人结核病筛查率和高二学生结核病检查率分别超过</w:t>
      </w:r>
      <w:r>
        <w:rPr>
          <w:rFonts w:eastAsia="方正仿宋_GBK"/>
          <w:kern w:val="0"/>
          <w:sz w:val="32"/>
          <w:szCs w:val="32"/>
        </w:rPr>
        <w:t>70%</w:t>
      </w:r>
      <w:r>
        <w:rPr>
          <w:rFonts w:eastAsia="方正仿宋_GBK"/>
          <w:kern w:val="0"/>
          <w:sz w:val="32"/>
          <w:szCs w:val="32"/>
        </w:rPr>
        <w:t>、</w:t>
      </w:r>
      <w:r>
        <w:rPr>
          <w:rFonts w:eastAsia="方正仿宋_GBK"/>
          <w:kern w:val="0"/>
          <w:sz w:val="32"/>
          <w:szCs w:val="32"/>
        </w:rPr>
        <w:t>90%</w:t>
      </w:r>
      <w:r>
        <w:rPr>
          <w:rFonts w:eastAsia="方正仿宋_GBK"/>
          <w:kern w:val="0"/>
          <w:sz w:val="32"/>
          <w:szCs w:val="32"/>
        </w:rPr>
        <w:t>，结核病发病率保持在</w:t>
      </w:r>
      <w:r>
        <w:rPr>
          <w:rFonts w:eastAsia="方正仿宋_GBK"/>
          <w:kern w:val="0"/>
          <w:sz w:val="32"/>
          <w:szCs w:val="32"/>
        </w:rPr>
        <w:t>46</w:t>
      </w:r>
      <w:r>
        <w:rPr>
          <w:rFonts w:eastAsia="方正仿宋_GBK"/>
          <w:kern w:val="0"/>
          <w:sz w:val="32"/>
          <w:szCs w:val="32"/>
        </w:rPr>
        <w:t>人</w:t>
      </w:r>
      <w:r>
        <w:rPr>
          <w:rFonts w:eastAsia="方正仿宋_GBK"/>
          <w:kern w:val="0"/>
          <w:sz w:val="32"/>
          <w:szCs w:val="32"/>
        </w:rPr>
        <w:t>/10</w:t>
      </w:r>
      <w:r>
        <w:rPr>
          <w:rFonts w:eastAsia="方正仿宋_GBK"/>
          <w:kern w:val="0"/>
          <w:sz w:val="32"/>
          <w:szCs w:val="32"/>
        </w:rPr>
        <w:t>万人以下。（责任单位：区教委、区民政局、区卫生健康委、团区委、区妇联）</w:t>
      </w:r>
    </w:p>
    <w:p w14:paraId="5AA3C80D"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30.</w:t>
      </w:r>
      <w:r>
        <w:rPr>
          <w:rFonts w:eastAsia="方正仿宋_GBK"/>
          <w:b/>
          <w:bCs/>
          <w:kern w:val="0"/>
          <w:sz w:val="32"/>
          <w:szCs w:val="32"/>
        </w:rPr>
        <w:t>维护心理健康。</w:t>
      </w:r>
      <w:r>
        <w:rPr>
          <w:rFonts w:eastAsia="方正仿宋_GBK"/>
          <w:kern w:val="0"/>
          <w:sz w:val="32"/>
          <w:szCs w:val="32"/>
        </w:rPr>
        <w:t>强化社会心理服务体系建设，完善区心理健康服务热线运行机制，为居民提供</w:t>
      </w:r>
      <w:r>
        <w:rPr>
          <w:rFonts w:eastAsia="方正仿宋_GBK"/>
          <w:kern w:val="0"/>
          <w:sz w:val="32"/>
          <w:szCs w:val="32"/>
        </w:rPr>
        <w:t>7×24</w:t>
      </w:r>
      <w:r>
        <w:rPr>
          <w:rFonts w:eastAsia="方正仿宋_GBK"/>
          <w:kern w:val="0"/>
          <w:sz w:val="32"/>
          <w:szCs w:val="32"/>
        </w:rPr>
        <w:t>小时心理热线咨询服务，广泛开展心理健康科普宣教活动。对所有在册严重精神障碍患者全面实施动态分色分级管理，对所有在册严重精神障碍患者全面推行免费服用第二代抗精神病药物。到</w:t>
      </w:r>
      <w:r>
        <w:rPr>
          <w:rFonts w:eastAsia="方正仿宋_GBK"/>
          <w:kern w:val="0"/>
          <w:sz w:val="32"/>
          <w:szCs w:val="32"/>
        </w:rPr>
        <w:t>2025</w:t>
      </w:r>
      <w:r>
        <w:rPr>
          <w:rFonts w:eastAsia="方正仿宋_GBK"/>
          <w:kern w:val="0"/>
          <w:sz w:val="32"/>
          <w:szCs w:val="32"/>
        </w:rPr>
        <w:t>年，</w:t>
      </w:r>
      <w:r>
        <w:rPr>
          <w:rFonts w:eastAsia="方正仿宋_GBK"/>
          <w:kern w:val="0"/>
          <w:sz w:val="32"/>
          <w:szCs w:val="32"/>
        </w:rPr>
        <w:t>100%</w:t>
      </w:r>
      <w:r>
        <w:rPr>
          <w:rFonts w:eastAsia="方正仿宋_GBK"/>
          <w:kern w:val="0"/>
          <w:sz w:val="32"/>
          <w:szCs w:val="32"/>
        </w:rPr>
        <w:t>的高等院校和</w:t>
      </w:r>
      <w:r>
        <w:rPr>
          <w:rFonts w:eastAsia="方正仿宋_GBK"/>
          <w:kern w:val="0"/>
          <w:sz w:val="32"/>
          <w:szCs w:val="32"/>
        </w:rPr>
        <w:t>95%</w:t>
      </w:r>
      <w:r>
        <w:rPr>
          <w:rFonts w:eastAsia="方正仿宋_GBK"/>
          <w:kern w:val="0"/>
          <w:sz w:val="32"/>
          <w:szCs w:val="32"/>
        </w:rPr>
        <w:t>的中小学设立心理健康咨询中心（心理辅导室），</w:t>
      </w:r>
      <w:r>
        <w:rPr>
          <w:rFonts w:eastAsia="方正仿宋_GBK"/>
          <w:kern w:val="0"/>
          <w:sz w:val="32"/>
          <w:szCs w:val="32"/>
        </w:rPr>
        <w:t>60%</w:t>
      </w:r>
      <w:r>
        <w:rPr>
          <w:rFonts w:eastAsia="方正仿宋_GBK"/>
          <w:kern w:val="0"/>
          <w:sz w:val="32"/>
          <w:szCs w:val="32"/>
        </w:rPr>
        <w:t>的机关、大型企事业单位为员工建立心理健康档案，居民心理健康素养水平超过</w:t>
      </w:r>
      <w:r>
        <w:rPr>
          <w:rFonts w:eastAsia="方正仿宋_GBK"/>
          <w:kern w:val="0"/>
          <w:sz w:val="32"/>
          <w:szCs w:val="32"/>
        </w:rPr>
        <w:t>30%</w:t>
      </w:r>
      <w:r>
        <w:rPr>
          <w:rFonts w:eastAsia="方正仿宋_GBK"/>
          <w:kern w:val="0"/>
          <w:sz w:val="32"/>
          <w:szCs w:val="32"/>
        </w:rPr>
        <w:t>，全区在册严重精神障碍患者规律服药率超过</w:t>
      </w:r>
      <w:r>
        <w:rPr>
          <w:rFonts w:eastAsia="方正仿宋_GBK"/>
          <w:kern w:val="0"/>
          <w:sz w:val="32"/>
          <w:szCs w:val="32"/>
        </w:rPr>
        <w:t>85%</w:t>
      </w:r>
      <w:r>
        <w:rPr>
          <w:rFonts w:eastAsia="方正仿宋_GBK"/>
          <w:kern w:val="0"/>
          <w:sz w:val="32"/>
          <w:szCs w:val="32"/>
        </w:rPr>
        <w:t>。（责任单位：区委政法委、区教</w:t>
      </w:r>
      <w:r>
        <w:rPr>
          <w:rFonts w:eastAsia="方正仿宋_GBK"/>
          <w:kern w:val="0"/>
          <w:sz w:val="32"/>
          <w:szCs w:val="32"/>
        </w:rPr>
        <w:lastRenderedPageBreak/>
        <w:t>委、区民政局、区卫生健康委、区公安分局、区妇联）</w:t>
      </w:r>
    </w:p>
    <w:p w14:paraId="583E8618"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31.</w:t>
      </w:r>
      <w:r>
        <w:rPr>
          <w:rFonts w:eastAsia="方正仿宋_GBK"/>
          <w:b/>
          <w:bCs/>
          <w:kern w:val="0"/>
          <w:sz w:val="32"/>
          <w:szCs w:val="32"/>
        </w:rPr>
        <w:t>加强职业病防治。</w:t>
      </w:r>
      <w:r>
        <w:rPr>
          <w:rFonts w:eastAsia="方正仿宋_GBK"/>
          <w:kern w:val="0"/>
          <w:sz w:val="32"/>
          <w:szCs w:val="32"/>
        </w:rPr>
        <w:t>巩固尘肺病防治攻坚行动成果，持续推进职业危害治理，强化对职业病及危害因素的监测预警；确定</w:t>
      </w:r>
      <w:r>
        <w:rPr>
          <w:rFonts w:eastAsia="方正仿宋_GBK"/>
          <w:kern w:val="0"/>
          <w:sz w:val="32"/>
          <w:szCs w:val="32"/>
        </w:rPr>
        <w:t>1</w:t>
      </w:r>
      <w:r>
        <w:rPr>
          <w:rFonts w:eastAsia="方正仿宋_GBK"/>
          <w:kern w:val="0"/>
          <w:sz w:val="32"/>
          <w:szCs w:val="32"/>
        </w:rPr>
        <w:t>家公立医疗卫生机构承担职业健康检查工作。全面开展企业职业健康管家服务。加强</w:t>
      </w:r>
      <w:proofErr w:type="gramStart"/>
      <w:r>
        <w:rPr>
          <w:rFonts w:eastAsia="方正仿宋_GBK"/>
          <w:kern w:val="0"/>
          <w:sz w:val="32"/>
          <w:szCs w:val="32"/>
        </w:rPr>
        <w:t>区疾控中心</w:t>
      </w:r>
      <w:proofErr w:type="gramEnd"/>
      <w:r>
        <w:rPr>
          <w:rFonts w:eastAsia="方正仿宋_GBK"/>
          <w:kern w:val="0"/>
          <w:sz w:val="32"/>
          <w:szCs w:val="32"/>
        </w:rPr>
        <w:t>职业卫生监测评价能力建设。到</w:t>
      </w:r>
      <w:r>
        <w:rPr>
          <w:rFonts w:eastAsia="方正仿宋_GBK"/>
          <w:kern w:val="0"/>
          <w:sz w:val="32"/>
          <w:szCs w:val="32"/>
        </w:rPr>
        <w:t>2025</w:t>
      </w:r>
      <w:r>
        <w:rPr>
          <w:rFonts w:eastAsia="方正仿宋_GBK"/>
          <w:kern w:val="0"/>
          <w:sz w:val="32"/>
          <w:szCs w:val="32"/>
        </w:rPr>
        <w:t>年，</w:t>
      </w:r>
      <w:proofErr w:type="gramStart"/>
      <w:r>
        <w:rPr>
          <w:rFonts w:eastAsia="方正仿宋_GBK"/>
          <w:kern w:val="0"/>
          <w:sz w:val="32"/>
          <w:szCs w:val="32"/>
        </w:rPr>
        <w:t>区疾控中心</w:t>
      </w:r>
      <w:proofErr w:type="gramEnd"/>
      <w:r>
        <w:rPr>
          <w:rFonts w:eastAsia="方正仿宋_GBK"/>
          <w:kern w:val="0"/>
          <w:sz w:val="32"/>
          <w:szCs w:val="32"/>
        </w:rPr>
        <w:t>具备独立开展职业卫生技术服务能力。（责任单位：区卫生健康委）</w:t>
      </w:r>
    </w:p>
    <w:p w14:paraId="71AB2BB8" w14:textId="77777777" w:rsidR="00D400AF" w:rsidRDefault="00000000">
      <w:pPr>
        <w:widowControl w:val="0"/>
        <w:overflowPunct w:val="0"/>
        <w:spacing w:line="630" w:lineRule="exact"/>
        <w:ind w:firstLineChars="200" w:firstLine="640"/>
        <w:rPr>
          <w:rFonts w:eastAsia="方正楷体_GBK"/>
          <w:sz w:val="32"/>
          <w:szCs w:val="32"/>
        </w:rPr>
      </w:pPr>
      <w:r>
        <w:rPr>
          <w:rFonts w:eastAsia="方正楷体_GBK"/>
          <w:sz w:val="32"/>
          <w:szCs w:val="32"/>
        </w:rPr>
        <w:t>（八）实施公共卫生法治建设行动</w:t>
      </w:r>
    </w:p>
    <w:p w14:paraId="4EB92C5A"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32.</w:t>
      </w:r>
      <w:r>
        <w:rPr>
          <w:rFonts w:eastAsia="方正仿宋_GBK"/>
          <w:b/>
          <w:bCs/>
          <w:kern w:val="0"/>
          <w:sz w:val="32"/>
          <w:szCs w:val="32"/>
        </w:rPr>
        <w:t>加强公共卫生依法行政。</w:t>
      </w:r>
      <w:r>
        <w:rPr>
          <w:rFonts w:eastAsia="方正仿宋_GBK"/>
          <w:kern w:val="0"/>
          <w:sz w:val="32"/>
          <w:szCs w:val="32"/>
        </w:rPr>
        <w:t>按照《重庆市突发公共卫生事件应急条例》《重庆市预防控制性病艾滋病条例》等地方法规，强化各部门的公共卫生管理职责，做到依法行政。（责任单位：区司法局、区卫生健康委）</w:t>
      </w:r>
    </w:p>
    <w:p w14:paraId="30E751F0" w14:textId="6DC49A8F"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33.</w:t>
      </w:r>
      <w:r>
        <w:rPr>
          <w:rFonts w:eastAsia="方正仿宋_GBK"/>
          <w:b/>
          <w:bCs/>
          <w:kern w:val="0"/>
          <w:sz w:val="32"/>
          <w:szCs w:val="32"/>
        </w:rPr>
        <w:t>加强公共卫生综合监管。</w:t>
      </w:r>
      <w:r>
        <w:rPr>
          <w:rFonts w:eastAsia="方正仿宋_GBK"/>
          <w:kern w:val="0"/>
          <w:sz w:val="32"/>
          <w:szCs w:val="32"/>
        </w:rPr>
        <w:t>完善公共卫生三级执法事项清单，完善行政执法</w:t>
      </w:r>
      <w:r>
        <w:rPr>
          <w:rFonts w:eastAsia="方正仿宋_GBK" w:hint="eastAsia"/>
          <w:kern w:val="0"/>
          <w:sz w:val="32"/>
          <w:szCs w:val="32"/>
        </w:rPr>
        <w:t>“</w:t>
      </w:r>
      <w:r>
        <w:rPr>
          <w:rFonts w:eastAsia="方正仿宋_GBK"/>
          <w:kern w:val="0"/>
          <w:sz w:val="32"/>
          <w:szCs w:val="32"/>
        </w:rPr>
        <w:t>三项制度</w:t>
      </w:r>
      <w:r w:rsidR="00BB2BEC">
        <w:rPr>
          <w:rFonts w:eastAsia="方正仿宋_GBK" w:hint="eastAsia"/>
          <w:kern w:val="0"/>
          <w:sz w:val="32"/>
          <w:szCs w:val="32"/>
        </w:rPr>
        <w:t>”</w:t>
      </w:r>
      <w:r>
        <w:rPr>
          <w:rFonts w:eastAsia="方正仿宋_GBK"/>
          <w:kern w:val="0"/>
          <w:sz w:val="32"/>
          <w:szCs w:val="32"/>
        </w:rPr>
        <w:t>，促进监督执法标准化、规范化。配</w:t>
      </w:r>
      <w:proofErr w:type="gramStart"/>
      <w:r>
        <w:rPr>
          <w:rFonts w:eastAsia="方正仿宋_GBK"/>
          <w:kern w:val="0"/>
          <w:sz w:val="32"/>
          <w:szCs w:val="32"/>
        </w:rPr>
        <w:t>强监督</w:t>
      </w:r>
      <w:proofErr w:type="gramEnd"/>
      <w:r>
        <w:rPr>
          <w:rFonts w:eastAsia="方正仿宋_GBK"/>
          <w:kern w:val="0"/>
          <w:sz w:val="32"/>
          <w:szCs w:val="32"/>
        </w:rPr>
        <w:t>执法装备和执法车辆，到</w:t>
      </w:r>
      <w:r>
        <w:rPr>
          <w:rFonts w:eastAsia="方正仿宋_GBK"/>
          <w:kern w:val="0"/>
          <w:sz w:val="32"/>
          <w:szCs w:val="32"/>
        </w:rPr>
        <w:t>2025</w:t>
      </w:r>
      <w:r>
        <w:rPr>
          <w:rFonts w:eastAsia="方正仿宋_GBK"/>
          <w:kern w:val="0"/>
          <w:sz w:val="32"/>
          <w:szCs w:val="32"/>
        </w:rPr>
        <w:t>年，推进公共场所、职业卫生分级分类评价，加大评价结果运用力度，提升监管精准性、科学性。加强行政执法稽查，开展案卷评查、优秀案例和典型案例参选。（责任单位：区卫生健康委）</w:t>
      </w:r>
    </w:p>
    <w:p w14:paraId="353F247A"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仿宋_GBK"/>
          <w:b/>
          <w:bCs/>
          <w:kern w:val="0"/>
          <w:sz w:val="32"/>
          <w:szCs w:val="32"/>
        </w:rPr>
        <w:t>34.</w:t>
      </w:r>
      <w:r>
        <w:rPr>
          <w:rFonts w:eastAsia="方正仿宋_GBK"/>
          <w:b/>
          <w:bCs/>
          <w:kern w:val="0"/>
          <w:sz w:val="32"/>
          <w:szCs w:val="32"/>
        </w:rPr>
        <w:t>强化公共卫生普法宣传。</w:t>
      </w:r>
      <w:r>
        <w:rPr>
          <w:rFonts w:eastAsia="方正仿宋_GBK"/>
          <w:kern w:val="0"/>
          <w:sz w:val="32"/>
          <w:szCs w:val="32"/>
        </w:rPr>
        <w:t>利用各级医疗卫生机构和各类新媒体宣传渠道，广泛深入开展对传染病防治法等法律法规的宣传，增强市民对公共卫生权利义务的知晓和理解，提升依法接受流行病学调查、监测、隔离观察等防控措施的意识，切实</w:t>
      </w:r>
      <w:r>
        <w:rPr>
          <w:rFonts w:eastAsia="方正仿宋_GBK"/>
          <w:spacing w:val="-6"/>
          <w:kern w:val="0"/>
          <w:sz w:val="32"/>
          <w:szCs w:val="32"/>
        </w:rPr>
        <w:lastRenderedPageBreak/>
        <w:t>提高市民知法守法素养。（责任单位：区司法局、区卫生健康委）</w:t>
      </w:r>
    </w:p>
    <w:p w14:paraId="52673050" w14:textId="77777777" w:rsidR="00D400AF" w:rsidRDefault="00000000">
      <w:pPr>
        <w:pStyle w:val="a5"/>
        <w:widowControl w:val="0"/>
        <w:overflowPunct w:val="0"/>
        <w:adjustRightInd w:val="0"/>
        <w:snapToGrid w:val="0"/>
        <w:spacing w:line="630" w:lineRule="exact"/>
        <w:ind w:firstLineChars="200" w:firstLine="640"/>
        <w:rPr>
          <w:rFonts w:eastAsia="方正黑体_GBK"/>
          <w:bCs/>
          <w:color w:val="000000"/>
          <w:sz w:val="32"/>
          <w:szCs w:val="32"/>
        </w:rPr>
      </w:pPr>
      <w:r>
        <w:rPr>
          <w:rFonts w:eastAsia="方正黑体_GBK"/>
          <w:bCs/>
          <w:color w:val="000000"/>
          <w:sz w:val="32"/>
          <w:szCs w:val="32"/>
        </w:rPr>
        <w:t>三、组织实施</w:t>
      </w:r>
    </w:p>
    <w:p w14:paraId="5BB55EA7"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楷体_GBK"/>
          <w:sz w:val="32"/>
          <w:szCs w:val="32"/>
        </w:rPr>
        <w:t>（一）加强组织领导。</w:t>
      </w:r>
      <w:r>
        <w:rPr>
          <w:rFonts w:eastAsia="方正仿宋_GBK"/>
          <w:kern w:val="0"/>
          <w:sz w:val="32"/>
          <w:szCs w:val="32"/>
        </w:rPr>
        <w:t>区级相关部门、有关单位要高度重视公共卫生体系建设，把公共卫生能力提升摆在更加突出的位置，主要负责人要亲自部署研究解决建设中的重大问题，分管负责人要抓好具体落实，强化组织实施。</w:t>
      </w:r>
      <w:proofErr w:type="gramStart"/>
      <w:r>
        <w:rPr>
          <w:rFonts w:eastAsia="方正仿宋_GBK"/>
          <w:kern w:val="0"/>
          <w:sz w:val="32"/>
          <w:szCs w:val="32"/>
        </w:rPr>
        <w:t>区发改委</w:t>
      </w:r>
      <w:proofErr w:type="gramEnd"/>
      <w:r>
        <w:rPr>
          <w:rFonts w:eastAsia="方正仿宋_GBK"/>
          <w:kern w:val="0"/>
          <w:sz w:val="32"/>
          <w:szCs w:val="32"/>
        </w:rPr>
        <w:t>要指导、支持</w:t>
      </w:r>
      <w:proofErr w:type="gramStart"/>
      <w:r>
        <w:rPr>
          <w:rFonts w:eastAsia="方正仿宋_GBK"/>
          <w:kern w:val="0"/>
          <w:sz w:val="32"/>
          <w:szCs w:val="32"/>
        </w:rPr>
        <w:t>区疾控中心</w:t>
      </w:r>
      <w:proofErr w:type="gramEnd"/>
      <w:r>
        <w:rPr>
          <w:rFonts w:eastAsia="方正仿宋_GBK"/>
          <w:kern w:val="0"/>
          <w:sz w:val="32"/>
          <w:szCs w:val="32"/>
        </w:rPr>
        <w:t>做好</w:t>
      </w:r>
      <w:proofErr w:type="gramStart"/>
      <w:r>
        <w:rPr>
          <w:rFonts w:eastAsia="方正仿宋_GBK"/>
          <w:kern w:val="0"/>
          <w:sz w:val="32"/>
          <w:szCs w:val="32"/>
        </w:rPr>
        <w:t>迁址改扩建</w:t>
      </w:r>
      <w:proofErr w:type="gramEnd"/>
      <w:r>
        <w:rPr>
          <w:rFonts w:eastAsia="方正仿宋_GBK"/>
          <w:kern w:val="0"/>
          <w:sz w:val="32"/>
          <w:szCs w:val="32"/>
        </w:rPr>
        <w:t>基础设施建设立项等前期工作，区大数据发展局要指导相关部门将公共卫生有关数字化项目及时纳入</w:t>
      </w:r>
      <w:r>
        <w:rPr>
          <w:rFonts w:eastAsia="方正仿宋_GBK" w:hint="eastAsia"/>
          <w:kern w:val="0"/>
          <w:sz w:val="32"/>
          <w:szCs w:val="32"/>
        </w:rPr>
        <w:t>“</w:t>
      </w:r>
      <w:r>
        <w:rPr>
          <w:rFonts w:eastAsia="方正仿宋_GBK"/>
          <w:kern w:val="0"/>
          <w:sz w:val="32"/>
          <w:szCs w:val="32"/>
        </w:rPr>
        <w:t>一本账</w:t>
      </w:r>
      <w:r>
        <w:rPr>
          <w:rFonts w:eastAsia="方正仿宋_GBK" w:hint="eastAsia"/>
          <w:kern w:val="0"/>
          <w:sz w:val="32"/>
          <w:szCs w:val="32"/>
        </w:rPr>
        <w:t>”</w:t>
      </w:r>
      <w:r>
        <w:rPr>
          <w:rFonts w:eastAsia="方正仿宋_GBK"/>
          <w:kern w:val="0"/>
          <w:sz w:val="32"/>
          <w:szCs w:val="32"/>
        </w:rPr>
        <w:t>，区科技局要对公共卫生有关项目给予一定程度的倾斜支持。</w:t>
      </w:r>
    </w:p>
    <w:p w14:paraId="57FD1498" w14:textId="77777777" w:rsidR="00D400AF" w:rsidRDefault="00000000">
      <w:pPr>
        <w:widowControl w:val="0"/>
        <w:overflowPunct w:val="0"/>
        <w:adjustRightInd w:val="0"/>
        <w:spacing w:line="630" w:lineRule="exact"/>
        <w:ind w:firstLineChars="200" w:firstLine="640"/>
        <w:rPr>
          <w:rFonts w:eastAsia="方正仿宋_GBK"/>
          <w:kern w:val="0"/>
          <w:sz w:val="32"/>
          <w:szCs w:val="32"/>
        </w:rPr>
      </w:pPr>
      <w:r>
        <w:rPr>
          <w:rFonts w:eastAsia="方正楷体_GBK"/>
          <w:sz w:val="32"/>
          <w:szCs w:val="32"/>
        </w:rPr>
        <w:t>（二）加强投入保障。</w:t>
      </w:r>
      <w:r>
        <w:rPr>
          <w:rFonts w:eastAsia="方正仿宋_GBK"/>
          <w:kern w:val="0"/>
          <w:sz w:val="32"/>
          <w:szCs w:val="32"/>
        </w:rPr>
        <w:t>区财政局要统筹各级各类资金，落实公共卫生投入责任，为健全公共卫生体系、补齐公共卫生领域短板、提升公共卫生服务水平提供资金保障。</w:t>
      </w:r>
    </w:p>
    <w:p w14:paraId="230BE296" w14:textId="77777777" w:rsidR="00D400AF" w:rsidRDefault="00000000">
      <w:pPr>
        <w:widowControl w:val="0"/>
        <w:overflowPunct w:val="0"/>
        <w:spacing w:line="630" w:lineRule="exact"/>
        <w:ind w:firstLineChars="200" w:firstLine="640"/>
        <w:rPr>
          <w:rFonts w:eastAsia="方正仿宋_GBK"/>
          <w:kern w:val="0"/>
          <w:sz w:val="32"/>
          <w:szCs w:val="32"/>
        </w:rPr>
      </w:pPr>
      <w:r>
        <w:rPr>
          <w:rFonts w:eastAsia="方正楷体_GBK"/>
          <w:sz w:val="32"/>
          <w:szCs w:val="32"/>
        </w:rPr>
        <w:t>（三）加强督查评价。</w:t>
      </w:r>
      <w:r>
        <w:rPr>
          <w:rFonts w:eastAsia="方正仿宋_GBK"/>
          <w:kern w:val="0"/>
          <w:sz w:val="32"/>
          <w:szCs w:val="32"/>
        </w:rPr>
        <w:t>区级相关部门、有关单位要健全对</w:t>
      </w:r>
      <w:proofErr w:type="gramStart"/>
      <w:r>
        <w:rPr>
          <w:rFonts w:eastAsia="方正仿宋_GBK"/>
          <w:kern w:val="0"/>
          <w:sz w:val="32"/>
          <w:szCs w:val="32"/>
        </w:rPr>
        <w:t>本行动</w:t>
      </w:r>
      <w:proofErr w:type="gramEnd"/>
      <w:r>
        <w:rPr>
          <w:rFonts w:eastAsia="方正仿宋_GBK"/>
          <w:kern w:val="0"/>
          <w:sz w:val="32"/>
          <w:szCs w:val="32"/>
        </w:rPr>
        <w:t>计划的联动衔接机制，加强业务指导和监督管理，及时协调解决行动计划实施过程中的问题和困难。加强日常质控督导，定期组织召开工作调度会议，定期对行动计划实施情况进行监督和评价，对工作落实不力、工作推进滞后的，及时通报批评、督促整改。</w:t>
      </w:r>
    </w:p>
    <w:p w14:paraId="1A006664" w14:textId="77777777" w:rsidR="00D400AF" w:rsidRDefault="00000000">
      <w:r>
        <w:br w:type="page"/>
      </w:r>
    </w:p>
    <w:p w14:paraId="1C64D243" w14:textId="77777777" w:rsidR="00D400AF" w:rsidRDefault="00D400AF">
      <w:pPr>
        <w:spacing w:line="636" w:lineRule="exact"/>
      </w:pPr>
    </w:p>
    <w:p w14:paraId="62E31633" w14:textId="77777777" w:rsidR="00D400AF" w:rsidRDefault="00D400AF">
      <w:pPr>
        <w:spacing w:line="636" w:lineRule="exact"/>
      </w:pPr>
    </w:p>
    <w:p w14:paraId="3CD795C4" w14:textId="77777777" w:rsidR="00D400AF" w:rsidRDefault="00D400AF">
      <w:pPr>
        <w:pStyle w:val="a5"/>
        <w:spacing w:line="636" w:lineRule="exact"/>
        <w:rPr>
          <w:rFonts w:eastAsia="方正仿宋_GBK"/>
          <w:color w:val="000000" w:themeColor="text1"/>
          <w:sz w:val="32"/>
          <w:szCs w:val="32"/>
        </w:rPr>
      </w:pPr>
    </w:p>
    <w:p w14:paraId="359967FB" w14:textId="77777777" w:rsidR="00D400AF" w:rsidRDefault="00D400AF">
      <w:pPr>
        <w:spacing w:line="636" w:lineRule="exact"/>
      </w:pPr>
    </w:p>
    <w:p w14:paraId="5936D19D" w14:textId="77777777" w:rsidR="00D400AF" w:rsidRDefault="00D400AF">
      <w:pPr>
        <w:spacing w:line="636" w:lineRule="exact"/>
      </w:pPr>
    </w:p>
    <w:p w14:paraId="27144E2D" w14:textId="77777777" w:rsidR="00D400AF" w:rsidRDefault="00D400AF">
      <w:pPr>
        <w:pStyle w:val="a5"/>
        <w:spacing w:line="636" w:lineRule="exact"/>
        <w:rPr>
          <w:rFonts w:eastAsia="方正仿宋_GBK"/>
          <w:color w:val="000000" w:themeColor="text1"/>
          <w:sz w:val="32"/>
          <w:szCs w:val="32"/>
        </w:rPr>
      </w:pPr>
    </w:p>
    <w:p w14:paraId="5107DB87" w14:textId="77777777" w:rsidR="00D400AF" w:rsidRDefault="00D400AF">
      <w:pPr>
        <w:pStyle w:val="TOC1"/>
        <w:spacing w:line="636" w:lineRule="exact"/>
      </w:pPr>
    </w:p>
    <w:p w14:paraId="357DB950" w14:textId="77777777" w:rsidR="00D400AF" w:rsidRDefault="00D400AF">
      <w:pPr>
        <w:spacing w:line="636" w:lineRule="exact"/>
      </w:pPr>
    </w:p>
    <w:p w14:paraId="333B01CA" w14:textId="77777777" w:rsidR="00D400AF" w:rsidRDefault="00D400AF">
      <w:pPr>
        <w:pStyle w:val="a5"/>
        <w:spacing w:line="636" w:lineRule="exact"/>
        <w:rPr>
          <w:rFonts w:eastAsia="方正仿宋_GBK"/>
          <w:color w:val="000000" w:themeColor="text1"/>
          <w:sz w:val="32"/>
          <w:szCs w:val="32"/>
        </w:rPr>
      </w:pPr>
    </w:p>
    <w:p w14:paraId="79C0600C" w14:textId="77777777" w:rsidR="00D400AF" w:rsidRDefault="00D400AF">
      <w:pPr>
        <w:pStyle w:val="TOC1"/>
        <w:spacing w:line="636" w:lineRule="exact"/>
      </w:pPr>
    </w:p>
    <w:p w14:paraId="64319901" w14:textId="77777777" w:rsidR="00D400AF" w:rsidRDefault="00D400AF">
      <w:pPr>
        <w:spacing w:line="636" w:lineRule="exact"/>
      </w:pPr>
    </w:p>
    <w:p w14:paraId="5DC7A3E3" w14:textId="77777777" w:rsidR="00D400AF" w:rsidRDefault="00D400AF">
      <w:pPr>
        <w:spacing w:line="636" w:lineRule="exact"/>
      </w:pPr>
    </w:p>
    <w:p w14:paraId="4EE72437" w14:textId="77777777" w:rsidR="00D400AF" w:rsidRDefault="00D400AF">
      <w:pPr>
        <w:spacing w:line="636" w:lineRule="exact"/>
      </w:pPr>
    </w:p>
    <w:p w14:paraId="14652946" w14:textId="77777777" w:rsidR="00D400AF" w:rsidRDefault="00D400AF">
      <w:pPr>
        <w:pStyle w:val="a5"/>
        <w:spacing w:line="636" w:lineRule="exact"/>
        <w:rPr>
          <w:rFonts w:eastAsia="方正仿宋_GBK"/>
          <w:color w:val="000000" w:themeColor="text1"/>
          <w:sz w:val="32"/>
          <w:szCs w:val="32"/>
        </w:rPr>
      </w:pPr>
    </w:p>
    <w:p w14:paraId="07ED2D5D" w14:textId="77777777" w:rsidR="00D400AF" w:rsidRDefault="00D400AF">
      <w:pPr>
        <w:pStyle w:val="TOC1"/>
        <w:spacing w:line="636" w:lineRule="exact"/>
      </w:pPr>
    </w:p>
    <w:p w14:paraId="30F1EE7A" w14:textId="77777777" w:rsidR="00D400AF" w:rsidRDefault="00D400AF">
      <w:pPr>
        <w:spacing w:line="636" w:lineRule="exact"/>
      </w:pPr>
    </w:p>
    <w:p w14:paraId="4C567FCF" w14:textId="77777777" w:rsidR="00D400AF" w:rsidRDefault="00D400AF">
      <w:pPr>
        <w:pStyle w:val="a5"/>
        <w:spacing w:line="636" w:lineRule="exact"/>
        <w:rPr>
          <w:rFonts w:eastAsia="方正仿宋_GBK"/>
          <w:color w:val="000000" w:themeColor="text1"/>
          <w:sz w:val="32"/>
          <w:szCs w:val="32"/>
        </w:rPr>
      </w:pPr>
    </w:p>
    <w:p w14:paraId="2D71F899" w14:textId="77777777" w:rsidR="00D400AF" w:rsidRDefault="00D400AF">
      <w:pPr>
        <w:pStyle w:val="TOC1"/>
        <w:spacing w:line="636" w:lineRule="exact"/>
      </w:pPr>
    </w:p>
    <w:p w14:paraId="085ADB9A" w14:textId="77777777" w:rsidR="00D400AF" w:rsidRDefault="00D400AF">
      <w:pPr>
        <w:spacing w:line="636" w:lineRule="exact"/>
      </w:pPr>
    </w:p>
    <w:p w14:paraId="20A76A81" w14:textId="77777777" w:rsidR="00D400AF" w:rsidRDefault="00D400AF">
      <w:pPr>
        <w:pStyle w:val="TOC1"/>
        <w:spacing w:line="636" w:lineRule="exact"/>
      </w:pPr>
    </w:p>
    <w:p w14:paraId="51AD9C3F" w14:textId="77777777" w:rsidR="00D400AF" w:rsidRDefault="00D400AF">
      <w:pPr>
        <w:spacing w:line="636" w:lineRule="exact"/>
      </w:pPr>
    </w:p>
    <w:p w14:paraId="0C4FFE5F" w14:textId="77777777" w:rsidR="00D400AF" w:rsidRDefault="00000000">
      <w:pPr>
        <w:spacing w:line="620" w:lineRule="exact"/>
        <w:ind w:firstLineChars="50" w:firstLine="140"/>
        <w:jc w:val="left"/>
      </w:pPr>
      <w:r>
        <w:rPr>
          <w:noProof/>
          <w:sz w:val="28"/>
        </w:rPr>
        <mc:AlternateContent>
          <mc:Choice Requires="wps">
            <w:drawing>
              <wp:anchor distT="0" distB="0" distL="114300" distR="114300" simplePos="0" relativeHeight="251659264" behindDoc="0" locked="0" layoutInCell="1" allowOverlap="1" wp14:anchorId="73DE420C" wp14:editId="3098C7C3">
                <wp:simplePos x="0" y="0"/>
                <wp:positionH relativeFrom="column">
                  <wp:posOffset>1270</wp:posOffset>
                </wp:positionH>
                <wp:positionV relativeFrom="paragraph">
                  <wp:posOffset>48895</wp:posOffset>
                </wp:positionV>
                <wp:extent cx="550799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wps:wsp>
                  </a:graphicData>
                </a:graphic>
              </wp:anchor>
            </w:drawing>
          </mc:Choice>
          <mc:Fallback>
            <w:pict>
              <v:line w14:anchorId="683E38E8"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pt,3.85pt" to="433.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">
                <v:stroke joinstyle="miter"/>
              </v:line>
            </w:pict>
          </mc:Fallback>
        </mc:AlternateContent>
      </w:r>
      <w:r>
        <w:rPr>
          <w:noProof/>
          <w:sz w:val="28"/>
        </w:rPr>
        <mc:AlternateContent>
          <mc:Choice Requires="wps">
            <w:drawing>
              <wp:anchor distT="0" distB="0" distL="114300" distR="114300" simplePos="0" relativeHeight="251660288" behindDoc="0" locked="0" layoutInCell="1" allowOverlap="1" wp14:anchorId="703451FD" wp14:editId="223A420F">
                <wp:simplePos x="0" y="0"/>
                <wp:positionH relativeFrom="column">
                  <wp:posOffset>10795</wp:posOffset>
                </wp:positionH>
                <wp:positionV relativeFrom="paragraph">
                  <wp:posOffset>404495</wp:posOffset>
                </wp:positionV>
                <wp:extent cx="55079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wps:wsp>
                  </a:graphicData>
                </a:graphic>
              </wp:anchor>
            </w:drawing>
          </mc:Choice>
          <mc:Fallback>
            <w:pict>
              <v:line w14:anchorId="15945141" id="直接连接符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85pt,31.85pt" to="434.5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">
                <v:stroke joinstyle="miter"/>
              </v:line>
            </w:pict>
          </mc:Fallback>
        </mc:AlternateContent>
      </w:r>
      <w:r>
        <w:rPr>
          <w:rFonts w:eastAsia="方正仿宋_GBK"/>
          <w:sz w:val="28"/>
          <w:szCs w:val="28"/>
        </w:rPr>
        <w:t>重庆市渝中区人民政府办公室</w:t>
      </w:r>
      <w:r>
        <w:rPr>
          <w:rFonts w:eastAsia="方正仿宋_GBK"/>
          <w:sz w:val="28"/>
          <w:szCs w:val="28"/>
        </w:rPr>
        <w:t xml:space="preserve">         </w:t>
      </w:r>
      <w:r>
        <w:rPr>
          <w:rFonts w:eastAsia="方正仿宋_GBK" w:hint="eastAsia"/>
          <w:sz w:val="28"/>
          <w:szCs w:val="28"/>
        </w:rPr>
        <w:t xml:space="preserve">   </w:t>
      </w:r>
      <w:r>
        <w:rPr>
          <w:rFonts w:eastAsia="方正仿宋_GBK"/>
          <w:sz w:val="28"/>
          <w:szCs w:val="28"/>
        </w:rPr>
        <w:t xml:space="preserve">   202</w:t>
      </w:r>
      <w:r>
        <w:rPr>
          <w:rFonts w:eastAsia="方正仿宋_GBK" w:hint="eastAsia"/>
          <w:sz w:val="28"/>
          <w:szCs w:val="28"/>
        </w:rPr>
        <w:t>4</w:t>
      </w:r>
      <w:r>
        <w:rPr>
          <w:rFonts w:eastAsia="方正仿宋_GBK"/>
          <w:sz w:val="28"/>
          <w:szCs w:val="28"/>
        </w:rPr>
        <w:t>年</w:t>
      </w:r>
      <w:r>
        <w:rPr>
          <w:rFonts w:eastAsia="方正仿宋_GBK" w:hint="eastAsia"/>
          <w:sz w:val="28"/>
          <w:szCs w:val="28"/>
        </w:rPr>
        <w:t>8</w:t>
      </w:r>
      <w:r>
        <w:rPr>
          <w:rFonts w:eastAsia="方正仿宋_GBK"/>
          <w:sz w:val="28"/>
          <w:szCs w:val="28"/>
        </w:rPr>
        <w:t>月</w:t>
      </w:r>
      <w:r>
        <w:rPr>
          <w:rFonts w:eastAsia="方正仿宋_GBK" w:hint="eastAsia"/>
          <w:sz w:val="28"/>
          <w:szCs w:val="28"/>
        </w:rPr>
        <w:t>12</w:t>
      </w:r>
      <w:r>
        <w:rPr>
          <w:rFonts w:eastAsia="方正仿宋_GBK"/>
          <w:sz w:val="28"/>
          <w:szCs w:val="28"/>
        </w:rPr>
        <w:t>日印发</w:t>
      </w:r>
    </w:p>
    <w:sectPr w:rsidR="00D400AF">
      <w:footerReference w:type="even" r:id="rId9"/>
      <w:footerReference w:type="default" r:id="rId10"/>
      <w:pgSz w:w="11906" w:h="16838"/>
      <w:pgMar w:top="1417" w:right="1587" w:bottom="1417"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C1FFC" w14:textId="77777777" w:rsidR="000A2197" w:rsidRDefault="000A2197">
      <w:r>
        <w:separator/>
      </w:r>
    </w:p>
  </w:endnote>
  <w:endnote w:type="continuationSeparator" w:id="0">
    <w:p w14:paraId="777D6404" w14:textId="77777777" w:rsidR="000A2197" w:rsidRDefault="000A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82A33" w14:textId="77777777" w:rsidR="00D400AF" w:rsidRDefault="00000000">
    <w:pPr>
      <w:pStyle w:val="a6"/>
    </w:pPr>
    <w:r>
      <w:rPr>
        <w:noProof/>
      </w:rPr>
      <mc:AlternateContent>
        <mc:Choice Requires="wps">
          <w:drawing>
            <wp:anchor distT="0" distB="0" distL="0" distR="0" simplePos="0" relativeHeight="251656192" behindDoc="0" locked="0" layoutInCell="1" allowOverlap="1" wp14:anchorId="27E4E277" wp14:editId="12D0C5DA">
              <wp:simplePos x="0" y="0"/>
              <wp:positionH relativeFrom="margin">
                <wp:align>outside</wp:align>
              </wp:positionH>
              <wp:positionV relativeFrom="paragraph">
                <wp:posOffset>0</wp:posOffset>
              </wp:positionV>
              <wp:extent cx="1082040" cy="260350"/>
              <wp:effectExtent l="0" t="0" r="0" b="0"/>
              <wp:wrapNone/>
              <wp:docPr id="4097" name="文本框 2"/>
              <wp:cNvGraphicFramePr/>
              <a:graphic xmlns:a="http://schemas.openxmlformats.org/drawingml/2006/main">
                <a:graphicData uri="http://schemas.microsoft.com/office/word/2010/wordprocessingShape">
                  <wps:wsp>
                    <wps:cNvSpPr/>
                    <wps:spPr>
                      <a:xfrm>
                        <a:off x="0" y="0"/>
                        <a:ext cx="1082040" cy="260350"/>
                      </a:xfrm>
                      <a:prstGeom prst="rect">
                        <a:avLst/>
                      </a:prstGeom>
                      <a:ln>
                        <a:noFill/>
                      </a:ln>
                    </wps:spPr>
                    <wps:txbx>
                      <w:txbxContent>
                        <w:p w14:paraId="38F75A55" w14:textId="77777777" w:rsidR="00D400AF" w:rsidRDefault="00000000">
                          <w:pPr>
                            <w:pStyle w:val="a6"/>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ascii="方正仿宋_GBK" w:eastAsia="方正仿宋_GBK" w:hAnsi="方正仿宋_GBK" w:cs="方正仿宋_GBK" w:hint="eastAsia"/>
                              <w:sz w:val="28"/>
                              <w:szCs w:val="28"/>
                            </w:rPr>
                            <w:t>—</w:t>
                          </w:r>
                        </w:p>
                      </w:txbxContent>
                    </wps:txbx>
                    <wps:bodyPr vert="horz" wrap="square" lIns="0" tIns="0" rIns="0" bIns="0" anchor="t">
                      <a:noAutofit/>
                    </wps:bodyPr>
                  </wps:wsp>
                </a:graphicData>
              </a:graphic>
            </wp:anchor>
          </w:drawing>
        </mc:Choice>
        <mc:Fallback>
          <w:pict>
            <v:rect w14:anchorId="27E4E277" id="文本框 2" o:spid="_x0000_s1026" style="position:absolute;margin-left:34pt;margin-top:0;width:85.2pt;height:20.5pt;z-index:251656192;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" filled="f" stroked="f">
              <v:textbox inset="0,0,0,0">
                <w:txbxContent>
                  <w:p w14:paraId="38F75A55" w14:textId="77777777" w:rsidR="00D400AF" w:rsidRDefault="00000000">
                    <w:pPr>
                      <w:pStyle w:val="a6"/>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ascii="方正仿宋_GBK" w:eastAsia="方正仿宋_GBK" w:hAnsi="方正仿宋_GBK" w:cs="方正仿宋_GBK" w:hint="eastAsia"/>
                        <w:sz w:val="28"/>
                        <w:szCs w:val="28"/>
                      </w:rPr>
                      <w:t>—</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E2CB" w14:textId="77777777" w:rsidR="00D400AF" w:rsidRDefault="00000000">
    <w:pPr>
      <w:pStyle w:val="a6"/>
    </w:pPr>
    <w:r>
      <w:rPr>
        <w:noProof/>
      </w:rPr>
      <mc:AlternateContent>
        <mc:Choice Requires="wps">
          <w:drawing>
            <wp:anchor distT="0" distB="0" distL="0" distR="0" simplePos="0" relativeHeight="251657216" behindDoc="0" locked="0" layoutInCell="1" allowOverlap="1" wp14:anchorId="6E42EEC5" wp14:editId="18CEECB6">
              <wp:simplePos x="0" y="0"/>
              <wp:positionH relativeFrom="margin">
                <wp:posOffset>4566920</wp:posOffset>
              </wp:positionH>
              <wp:positionV relativeFrom="paragraph">
                <wp:posOffset>-114300</wp:posOffset>
              </wp:positionV>
              <wp:extent cx="977900" cy="243205"/>
              <wp:effectExtent l="0" t="0" r="0" b="0"/>
              <wp:wrapNone/>
              <wp:docPr id="4098" name="文本框 1"/>
              <wp:cNvGraphicFramePr/>
              <a:graphic xmlns:a="http://schemas.openxmlformats.org/drawingml/2006/main">
                <a:graphicData uri="http://schemas.microsoft.com/office/word/2010/wordprocessingShape">
                  <wps:wsp>
                    <wps:cNvSpPr/>
                    <wps:spPr>
                      <a:xfrm>
                        <a:off x="0" y="0"/>
                        <a:ext cx="977900" cy="243205"/>
                      </a:xfrm>
                      <a:prstGeom prst="rect">
                        <a:avLst/>
                      </a:prstGeom>
                      <a:ln>
                        <a:noFill/>
                      </a:ln>
                    </wps:spPr>
                    <wps:txbx>
                      <w:txbxContent>
                        <w:p w14:paraId="2FBCDCEE" w14:textId="77777777" w:rsidR="00D400AF" w:rsidRDefault="00000000">
                          <w:pPr>
                            <w:pStyle w:val="a6"/>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ascii="方正仿宋_GBK" w:eastAsia="方正仿宋_GBK" w:hAnsi="方正仿宋_GBK" w:cs="方正仿宋_GBK" w:hint="eastAsia"/>
                              <w:sz w:val="28"/>
                              <w:szCs w:val="28"/>
                            </w:rPr>
                            <w:t>—</w:t>
                          </w:r>
                        </w:p>
                      </w:txbxContent>
                    </wps:txbx>
                    <wps:bodyPr vert="horz" wrap="square" lIns="0" tIns="0" rIns="0" bIns="0" anchor="t">
                      <a:noAutofit/>
                    </wps:bodyPr>
                  </wps:wsp>
                </a:graphicData>
              </a:graphic>
            </wp:anchor>
          </w:drawing>
        </mc:Choice>
        <mc:Fallback>
          <w:pict>
            <v:rect w14:anchorId="6E42EEC5" id="文本框 1" o:spid="_x0000_s1027" style="position:absolute;margin-left:359.6pt;margin-top:-9pt;width:77pt;height:19.15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" filled="f" stroked="f">
              <v:textbox inset="0,0,0,0">
                <w:txbxContent>
                  <w:p w14:paraId="2FBCDCEE" w14:textId="77777777" w:rsidR="00D400AF" w:rsidRDefault="00000000">
                    <w:pPr>
                      <w:pStyle w:val="a6"/>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ascii="方正仿宋_GBK" w:eastAsia="方正仿宋_GBK" w:hAnsi="方正仿宋_GBK" w:cs="方正仿宋_GBK" w:hint="eastAsia"/>
                        <w:sz w:val="28"/>
                        <w:szCs w:val="28"/>
                      </w:rPr>
                      <w:t>—</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B0946" w14:textId="77777777" w:rsidR="00D400AF" w:rsidRDefault="00000000">
    <w:pPr>
      <w:pStyle w:val="a6"/>
    </w:pPr>
    <w:r>
      <w:rPr>
        <w:noProof/>
      </w:rPr>
      <mc:AlternateContent>
        <mc:Choice Requires="wps">
          <w:drawing>
            <wp:anchor distT="0" distB="0" distL="114300" distR="114300" simplePos="0" relativeHeight="251659264" behindDoc="0" locked="0" layoutInCell="1" allowOverlap="1" wp14:anchorId="555BC062" wp14:editId="3BF04745">
              <wp:simplePos x="0" y="0"/>
              <wp:positionH relativeFrom="margin">
                <wp:posOffset>0</wp:posOffset>
              </wp:positionH>
              <wp:positionV relativeFrom="paragraph">
                <wp:posOffset>-132715</wp:posOffset>
              </wp:positionV>
              <wp:extent cx="1520825" cy="2705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20825"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0E6F44" w14:textId="77777777" w:rsidR="00D400AF" w:rsidRDefault="00000000">
                          <w:pPr>
                            <w:pStyle w:val="a6"/>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55BC062" id="_x0000_t202" coordsize="21600,21600" o:spt="202" path="m,l,21600r21600,l21600,xe">
              <v:stroke joinstyle="miter"/>
              <v:path gradientshapeok="t" o:connecttype="rect"/>
            </v:shapetype>
            <v:shape id="_x0000_s1028" type="#_x0000_t202" style="position:absolute;margin-left:0;margin-top:-10.45pt;width:119.75pt;height:21.3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" filled="f" stroked="f" strokeweight=".5pt">
              <v:textbox inset="0,0,0,0">
                <w:txbxContent>
                  <w:p w14:paraId="770E6F44" w14:textId="77777777" w:rsidR="00D400AF" w:rsidRDefault="00000000">
                    <w:pPr>
                      <w:pStyle w:val="a6"/>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F4CF" w14:textId="77777777" w:rsidR="00D400AF" w:rsidRDefault="00000000">
    <w:pPr>
      <w:pStyle w:val="a6"/>
    </w:pPr>
    <w:r>
      <w:rPr>
        <w:noProof/>
      </w:rPr>
      <mc:AlternateContent>
        <mc:Choice Requires="wps">
          <w:drawing>
            <wp:anchor distT="0" distB="0" distL="114300" distR="114300" simplePos="0" relativeHeight="251658240" behindDoc="0" locked="0" layoutInCell="1" allowOverlap="1" wp14:anchorId="0BEAE97A" wp14:editId="4E0BA4C4">
              <wp:simplePos x="0" y="0"/>
              <wp:positionH relativeFrom="margin">
                <wp:posOffset>4565650</wp:posOffset>
              </wp:positionH>
              <wp:positionV relativeFrom="paragraph">
                <wp:posOffset>-142240</wp:posOffset>
              </wp:positionV>
              <wp:extent cx="979170" cy="280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917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0C5BC7" w14:textId="77777777" w:rsidR="00D400AF" w:rsidRDefault="00000000">
                          <w:pPr>
                            <w:pStyle w:val="a6"/>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0BEAE97A" id="_x0000_t202" coordsize="21600,21600" o:spt="202" path="m,l,21600r21600,l21600,xe">
              <v:stroke joinstyle="miter"/>
              <v:path gradientshapeok="t" o:connecttype="rect"/>
            </v:shapetype>
            <v:shape id="_x0000_s1029" type="#_x0000_t202" style="position:absolute;margin-left:359.5pt;margin-top:-11.2pt;width:77.1pt;height:22.0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" filled="f" stroked="f" strokeweight=".5pt">
              <v:textbox inset="0,0,0,0">
                <w:txbxContent>
                  <w:p w14:paraId="3C0C5BC7" w14:textId="77777777" w:rsidR="00D400AF" w:rsidRDefault="00000000">
                    <w:pPr>
                      <w:pStyle w:val="a6"/>
                      <w:ind w:firstLineChars="100" w:firstLine="280"/>
                      <w:rPr>
                        <w:sz w:val="28"/>
                        <w:szCs w:val="28"/>
                      </w:rPr>
                    </w:pPr>
                    <w:r>
                      <w:rPr>
                        <w:rFonts w:ascii="方正仿宋_GBK" w:eastAsia="方正仿宋_GBK" w:hAnsi="方正仿宋_GBK" w:cs="方正仿宋_GBK"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BA493" w14:textId="77777777" w:rsidR="000A2197" w:rsidRDefault="000A2197">
      <w:r>
        <w:separator/>
      </w:r>
    </w:p>
  </w:footnote>
  <w:footnote w:type="continuationSeparator" w:id="0">
    <w:p w14:paraId="5485824B" w14:textId="77777777" w:rsidR="000A2197" w:rsidRDefault="000A2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evenAndOddHeaders/>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UzOWE4MWNiMTQ5NGY3ZDA4OWU3MDE3NTUzMzU2ZDkifQ=="/>
  </w:docVars>
  <w:rsids>
    <w:rsidRoot w:val="00D400AF"/>
    <w:rsid w:val="000A2197"/>
    <w:rsid w:val="00102C51"/>
    <w:rsid w:val="00BB2BEC"/>
    <w:rsid w:val="00D400AF"/>
    <w:rsid w:val="010D0DD2"/>
    <w:rsid w:val="014C483A"/>
    <w:rsid w:val="02237B4A"/>
    <w:rsid w:val="025D08EA"/>
    <w:rsid w:val="033624B9"/>
    <w:rsid w:val="04E628CF"/>
    <w:rsid w:val="060663F2"/>
    <w:rsid w:val="0739256A"/>
    <w:rsid w:val="07A11524"/>
    <w:rsid w:val="07C50DC1"/>
    <w:rsid w:val="08FE6029"/>
    <w:rsid w:val="097545F3"/>
    <w:rsid w:val="09D356AC"/>
    <w:rsid w:val="0BB7198C"/>
    <w:rsid w:val="0BBF6171"/>
    <w:rsid w:val="0BE04A65"/>
    <w:rsid w:val="0CB33C19"/>
    <w:rsid w:val="0D4E2564"/>
    <w:rsid w:val="0DD71251"/>
    <w:rsid w:val="0E39220B"/>
    <w:rsid w:val="0E7E0566"/>
    <w:rsid w:val="0EA25651"/>
    <w:rsid w:val="0EE3719C"/>
    <w:rsid w:val="0F0E7B3C"/>
    <w:rsid w:val="0F6F5495"/>
    <w:rsid w:val="0F9B27DF"/>
    <w:rsid w:val="167F44DD"/>
    <w:rsid w:val="16926171"/>
    <w:rsid w:val="16B20DAC"/>
    <w:rsid w:val="174523A6"/>
    <w:rsid w:val="18F759EF"/>
    <w:rsid w:val="1944371C"/>
    <w:rsid w:val="1A8E27D3"/>
    <w:rsid w:val="1D5E12C5"/>
    <w:rsid w:val="1D7C0366"/>
    <w:rsid w:val="1DD41F50"/>
    <w:rsid w:val="20794AE1"/>
    <w:rsid w:val="209E7DA3"/>
    <w:rsid w:val="20B35783"/>
    <w:rsid w:val="21B52099"/>
    <w:rsid w:val="226D5854"/>
    <w:rsid w:val="22F32E79"/>
    <w:rsid w:val="250D55E9"/>
    <w:rsid w:val="25EC2550"/>
    <w:rsid w:val="25F82554"/>
    <w:rsid w:val="27B627A8"/>
    <w:rsid w:val="296272C4"/>
    <w:rsid w:val="29663529"/>
    <w:rsid w:val="298773E9"/>
    <w:rsid w:val="29A749BD"/>
    <w:rsid w:val="29FF25E7"/>
    <w:rsid w:val="2A4B582C"/>
    <w:rsid w:val="2ADF5103"/>
    <w:rsid w:val="2FC02334"/>
    <w:rsid w:val="30821CA8"/>
    <w:rsid w:val="30F7796B"/>
    <w:rsid w:val="311C0F1B"/>
    <w:rsid w:val="32311209"/>
    <w:rsid w:val="32C97752"/>
    <w:rsid w:val="32EF76BF"/>
    <w:rsid w:val="3307027A"/>
    <w:rsid w:val="334525A5"/>
    <w:rsid w:val="346A4846"/>
    <w:rsid w:val="352431AE"/>
    <w:rsid w:val="354021EF"/>
    <w:rsid w:val="357240D1"/>
    <w:rsid w:val="36393C03"/>
    <w:rsid w:val="365D08DD"/>
    <w:rsid w:val="36637F57"/>
    <w:rsid w:val="37B24E1E"/>
    <w:rsid w:val="38051970"/>
    <w:rsid w:val="38C83D60"/>
    <w:rsid w:val="3BE63123"/>
    <w:rsid w:val="3D1D0DC6"/>
    <w:rsid w:val="3EA762F6"/>
    <w:rsid w:val="3F2A5A1C"/>
    <w:rsid w:val="3F4C7EBA"/>
    <w:rsid w:val="40804601"/>
    <w:rsid w:val="408B0AB1"/>
    <w:rsid w:val="420F2029"/>
    <w:rsid w:val="433230F1"/>
    <w:rsid w:val="4388765E"/>
    <w:rsid w:val="450665E4"/>
    <w:rsid w:val="458A282B"/>
    <w:rsid w:val="45A831F7"/>
    <w:rsid w:val="463E5527"/>
    <w:rsid w:val="49462887"/>
    <w:rsid w:val="4C2E5010"/>
    <w:rsid w:val="4F311DBB"/>
    <w:rsid w:val="4FC40734"/>
    <w:rsid w:val="501174D1"/>
    <w:rsid w:val="50317302"/>
    <w:rsid w:val="504D50C7"/>
    <w:rsid w:val="508C6EA0"/>
    <w:rsid w:val="50DB26D2"/>
    <w:rsid w:val="50F15C32"/>
    <w:rsid w:val="52F41D1E"/>
    <w:rsid w:val="52F44317"/>
    <w:rsid w:val="5354676C"/>
    <w:rsid w:val="53787CAE"/>
    <w:rsid w:val="547D645D"/>
    <w:rsid w:val="54D85252"/>
    <w:rsid w:val="55652CC8"/>
    <w:rsid w:val="556F1C75"/>
    <w:rsid w:val="558F60FA"/>
    <w:rsid w:val="56EA7B13"/>
    <w:rsid w:val="578F2F08"/>
    <w:rsid w:val="58675193"/>
    <w:rsid w:val="589D14DC"/>
    <w:rsid w:val="595F6791"/>
    <w:rsid w:val="599638EF"/>
    <w:rsid w:val="5A4F0DF0"/>
    <w:rsid w:val="5AA91A93"/>
    <w:rsid w:val="5D1755BF"/>
    <w:rsid w:val="5D7F4691"/>
    <w:rsid w:val="5F3B58FB"/>
    <w:rsid w:val="5F6366B5"/>
    <w:rsid w:val="5FC87F8B"/>
    <w:rsid w:val="603B13E0"/>
    <w:rsid w:val="619E2D33"/>
    <w:rsid w:val="63310878"/>
    <w:rsid w:val="63E9024F"/>
    <w:rsid w:val="649015CE"/>
    <w:rsid w:val="669D3DF1"/>
    <w:rsid w:val="66AD0527"/>
    <w:rsid w:val="673B261D"/>
    <w:rsid w:val="69B22B55"/>
    <w:rsid w:val="6A913C34"/>
    <w:rsid w:val="6C371BE0"/>
    <w:rsid w:val="6C7A67A3"/>
    <w:rsid w:val="6D68133A"/>
    <w:rsid w:val="6E3D27C7"/>
    <w:rsid w:val="6E514096"/>
    <w:rsid w:val="6F282B2F"/>
    <w:rsid w:val="710E5D1A"/>
    <w:rsid w:val="714B3F05"/>
    <w:rsid w:val="71995F66"/>
    <w:rsid w:val="71C53AE5"/>
    <w:rsid w:val="72490608"/>
    <w:rsid w:val="733C7DBB"/>
    <w:rsid w:val="74AA13A7"/>
    <w:rsid w:val="75D92DB1"/>
    <w:rsid w:val="762731E1"/>
    <w:rsid w:val="77D06559"/>
    <w:rsid w:val="77EB2A23"/>
    <w:rsid w:val="79424600"/>
    <w:rsid w:val="79B24069"/>
    <w:rsid w:val="7AFA06E7"/>
    <w:rsid w:val="7B2A303A"/>
    <w:rsid w:val="7B425234"/>
    <w:rsid w:val="7B590D1C"/>
    <w:rsid w:val="7F7B6CAB"/>
    <w:rsid w:val="7FDB3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1B8155"/>
  <w15:docId w15:val="{30DA80AB-0484-4305-9CB1-985E0953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5" w:qFormat="1"/>
    <w:lsdException w:name="Normal Indent" w:qFormat="1"/>
    <w:lsdException w:name="header" w:qFormat="1"/>
    <w:lsdException w:name="footer" w:qFormat="1"/>
    <w:lsdException w:name="caption" w:semiHidden="1" w:unhideWhenUsed="1" w:qFormat="1"/>
    <w:lsdException w:name="Title" w:uiPriority="99" w:qFormat="1"/>
    <w:lsdException w:name="Default Paragraph Font" w:qFormat="1"/>
    <w:lsdException w:name="Body Text" w:qFormat="1"/>
    <w:lsdException w:name="Message Header"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autoRedefine/>
    <w:qFormat/>
    <w:pPr>
      <w:jc w:val="both"/>
      <w:textAlignment w:val="baseline"/>
    </w:pPr>
    <w:rPr>
      <w:rFonts w:ascii="Times New Roman" w:eastAsia="宋体" w:hAnsi="Times New Roman" w:cs="Times New Roman"/>
      <w:kern w:val="2"/>
      <w:sz w:val="21"/>
      <w:szCs w:val="22"/>
    </w:rPr>
  </w:style>
  <w:style w:type="paragraph" w:styleId="1">
    <w:name w:val="heading 1"/>
    <w:basedOn w:val="a"/>
    <w:next w:val="a"/>
    <w:autoRedefine/>
    <w:qFormat/>
    <w:pPr>
      <w:adjustRightInd w:val="0"/>
      <w:spacing w:line="590" w:lineRule="exact"/>
      <w:jc w:val="center"/>
      <w:outlineLvl w:val="0"/>
    </w:pPr>
    <w:rPr>
      <w:rFonts w:eastAsia="方正小标宋_GBK"/>
      <w:kern w:val="44"/>
      <w:sz w:val="44"/>
    </w:rPr>
  </w:style>
  <w:style w:type="paragraph" w:styleId="2">
    <w:name w:val="heading 2"/>
    <w:basedOn w:val="a"/>
    <w:next w:val="a"/>
    <w:autoRedefine/>
    <w:qFormat/>
    <w:pPr>
      <w:adjustRightInd w:val="0"/>
      <w:ind w:firstLineChars="200" w:firstLine="632"/>
      <w:outlineLvl w:val="1"/>
    </w:pPr>
    <w:rPr>
      <w:rFonts w:eastAsia="方正黑体_GBK"/>
    </w:rPr>
  </w:style>
  <w:style w:type="paragraph" w:styleId="3">
    <w:name w:val="heading 3"/>
    <w:basedOn w:val="a"/>
    <w:next w:val="a"/>
    <w:link w:val="30"/>
    <w:autoRedefine/>
    <w:qFormat/>
    <w:pPr>
      <w:adjustRightInd w:val="0"/>
      <w:ind w:firstLineChars="200" w:firstLine="632"/>
      <w:outlineLvl w:val="2"/>
    </w:pPr>
    <w:rPr>
      <w:rFonts w:eastAsia="方正楷体_GBK"/>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autoRedefine/>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szCs w:val="24"/>
    </w:rPr>
  </w:style>
  <w:style w:type="paragraph" w:styleId="a4">
    <w:name w:val="Normal Indent"/>
    <w:basedOn w:val="a"/>
    <w:autoRedefine/>
    <w:qFormat/>
    <w:pPr>
      <w:widowControl w:val="0"/>
    </w:pPr>
    <w:rPr>
      <w:rFonts w:ascii="Calibri" w:hAnsi="Calibri" w:cs="宋体"/>
      <w:szCs w:val="24"/>
    </w:rPr>
  </w:style>
  <w:style w:type="paragraph" w:styleId="a5">
    <w:name w:val="Body Text"/>
    <w:basedOn w:val="a"/>
    <w:autoRedefine/>
    <w:qFormat/>
  </w:style>
  <w:style w:type="paragraph" w:styleId="TOC5">
    <w:name w:val="toc 5"/>
    <w:basedOn w:val="a"/>
    <w:next w:val="a"/>
    <w:autoRedefine/>
    <w:qFormat/>
    <w:pPr>
      <w:ind w:leftChars="800" w:left="1680"/>
    </w:pPr>
    <w:rPr>
      <w:rFonts w:eastAsia="方正仿宋_GBK"/>
      <w:sz w:val="32"/>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qFormat/>
  </w:style>
  <w:style w:type="paragraph" w:styleId="HTML">
    <w:name w:val="HTML Preformatted"/>
    <w:basedOn w:val="a"/>
    <w:autoRedefin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8">
    <w:name w:val="Normal (Web)"/>
    <w:basedOn w:val="a"/>
    <w:autoRedefine/>
    <w:qFormat/>
    <w:pPr>
      <w:spacing w:beforeAutospacing="1" w:afterAutospacing="1"/>
      <w:jc w:val="left"/>
    </w:pPr>
    <w:rPr>
      <w:kern w:val="0"/>
      <w:sz w:val="24"/>
    </w:rPr>
  </w:style>
  <w:style w:type="paragraph" w:styleId="a9">
    <w:name w:val="Title"/>
    <w:basedOn w:val="a"/>
    <w:next w:val="a"/>
    <w:autoRedefine/>
    <w:uiPriority w:val="99"/>
    <w:qFormat/>
    <w:pPr>
      <w:spacing w:before="240" w:after="60"/>
      <w:jc w:val="center"/>
      <w:outlineLvl w:val="0"/>
    </w:pPr>
    <w:rPr>
      <w:rFonts w:ascii="Cambria" w:hAnsi="Cambria"/>
      <w:b/>
      <w:bCs/>
    </w:rPr>
  </w:style>
  <w:style w:type="paragraph" w:styleId="aa">
    <w:name w:val="Body Text First Indent"/>
    <w:basedOn w:val="a5"/>
    <w:autoRedefine/>
    <w:qFormat/>
    <w:pPr>
      <w:ind w:firstLineChars="100" w:firstLine="420"/>
    </w:pPr>
  </w:style>
  <w:style w:type="table" w:styleId="ab">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next w:val="TOC2"/>
    <w:autoRedefine/>
    <w:qFormat/>
    <w:pPr>
      <w:spacing w:after="120"/>
    </w:pPr>
  </w:style>
  <w:style w:type="paragraph" w:customStyle="1" w:styleId="TOC2">
    <w:name w:val="TOC2"/>
    <w:basedOn w:val="a"/>
    <w:next w:val="a"/>
    <w:autoRedefine/>
    <w:qFormat/>
    <w:pPr>
      <w:ind w:left="420"/>
    </w:pPr>
    <w:rPr>
      <w:rFonts w:ascii="Calibri" w:hAnsi="Calibri"/>
    </w:rPr>
  </w:style>
  <w:style w:type="character" w:customStyle="1" w:styleId="NormalCharacter">
    <w:name w:val="NormalCharacter"/>
    <w:autoRedefine/>
    <w:qFormat/>
    <w:rPr>
      <w:rFonts w:ascii="Times New Roman" w:eastAsia="宋体" w:hAnsi="Times New Roman" w:cs="Times New Roman"/>
      <w:kern w:val="2"/>
      <w:sz w:val="21"/>
      <w:szCs w:val="22"/>
      <w:lang w:val="en-US" w:eastAsia="zh-CN" w:bidi="ar-SA"/>
    </w:rPr>
  </w:style>
  <w:style w:type="paragraph" w:customStyle="1" w:styleId="BodyTextIndent2">
    <w:name w:val="BodyTextIndent2"/>
    <w:basedOn w:val="a"/>
    <w:autoRedefine/>
    <w:qFormat/>
    <w:pPr>
      <w:spacing w:line="580" w:lineRule="exact"/>
      <w:ind w:firstLineChars="195" w:firstLine="624"/>
    </w:pPr>
    <w:rPr>
      <w:rFonts w:ascii="仿宋_GB2312" w:eastAsia="仿宋_GB2312"/>
      <w:sz w:val="32"/>
      <w:szCs w:val="24"/>
    </w:rPr>
  </w:style>
  <w:style w:type="paragraph" w:customStyle="1" w:styleId="ListParagrapha7dba133-ef14-493a-8ecc-93389b98c0e6">
    <w:name w:val="List Paragraph_a7dba133-ef14-493a-8ecc-93389b98c0e6"/>
    <w:basedOn w:val="a"/>
    <w:autoRedefine/>
    <w:uiPriority w:val="34"/>
    <w:qFormat/>
    <w:pPr>
      <w:ind w:firstLineChars="200" w:firstLine="420"/>
    </w:pPr>
  </w:style>
  <w:style w:type="paragraph" w:customStyle="1" w:styleId="10">
    <w:name w:val="样式 1 小三"/>
    <w:autoRedefine/>
    <w:qFormat/>
    <w:pPr>
      <w:widowControl w:val="0"/>
      <w:jc w:val="both"/>
    </w:pPr>
    <w:rPr>
      <w:rFonts w:ascii="Times New Roman" w:eastAsia="仿宋_GB2312" w:hAnsi="Times New Roman" w:cs="Times New Roman"/>
      <w:kern w:val="2"/>
      <w:sz w:val="30"/>
    </w:rPr>
  </w:style>
  <w:style w:type="character" w:customStyle="1" w:styleId="30">
    <w:name w:val="标题 3 字符"/>
    <w:link w:val="3"/>
    <w:autoRedefine/>
    <w:qFormat/>
    <w:rPr>
      <w:rFonts w:eastAsia="方正楷体_GBK"/>
    </w:rPr>
  </w:style>
  <w:style w:type="paragraph" w:customStyle="1" w:styleId="11">
    <w:name w:val="正文首行缩进1"/>
    <w:basedOn w:val="12"/>
    <w:autoRedefine/>
    <w:qFormat/>
    <w:pPr>
      <w:ind w:firstLineChars="100" w:firstLine="420"/>
    </w:pPr>
  </w:style>
  <w:style w:type="paragraph" w:customStyle="1" w:styleId="12">
    <w:name w:val="正文文本1"/>
    <w:basedOn w:val="a"/>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1203</Words>
  <Characters>6863</Characters>
  <Application>Microsoft Office Word</Application>
  <DocSecurity>0</DocSecurity>
  <Lines>57</Lines>
  <Paragraphs>16</Paragraphs>
  <ScaleCrop>false</ScaleCrop>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1025064172@qq.com</cp:lastModifiedBy>
  <cp:revision>3</cp:revision>
  <cp:lastPrinted>2024-08-22T07:32:00Z</cp:lastPrinted>
  <dcterms:created xsi:type="dcterms:W3CDTF">2023-07-11T09:40:00Z</dcterms:created>
  <dcterms:modified xsi:type="dcterms:W3CDTF">2024-12-27T09:08:00Z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E52EABFB349248318183397915B7C96F_13</vt:lpwstr>
  </property>
</Properties>
</file>