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1270">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重庆市渝中区信访办公室（本级）</w:t>
      </w:r>
    </w:p>
    <w:p w14:paraId="7241BD37">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2024年度决算公开说明</w:t>
      </w:r>
    </w:p>
    <w:p w14:paraId="0661E738">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kern w:val="2"/>
          <w:sz w:val="44"/>
          <w:szCs w:val="44"/>
        </w:rPr>
      </w:pPr>
    </w:p>
    <w:p w14:paraId="2F6E5FD3">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一、单位基本情况</w:t>
      </w:r>
    </w:p>
    <w:p w14:paraId="33EBECE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6C357BEA">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负责受理、交办、转送信访人提出和上级交办的信访事项，协调处理疑难复杂信访问题，排查调处信访矛盾纠纷，调度处置群众上访和群体性事件，督促开展社会稳定风险评估，代表区政府开展信访事项复查复核，向区委、区政府反映群众信访中提出的重要建议、意见和问题等。</w:t>
      </w:r>
    </w:p>
    <w:p w14:paraId="3464E2F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5D8F9A33">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内设综合科、办信科、督查科、信访稳定协调科</w:t>
      </w:r>
      <w:r>
        <w:rPr>
          <w:rFonts w:hint="default" w:ascii="Times New Roman" w:hAnsi="Times New Roman" w:eastAsia="方正仿宋_GBK" w:cs="Times New Roman"/>
          <w:sz w:val="32"/>
          <w:szCs w:val="32"/>
          <w:lang w:val="en-US" w:eastAsia="zh-CN"/>
        </w:rPr>
        <w:t>等</w:t>
      </w:r>
      <w:r>
        <w:rPr>
          <w:rFonts w:hint="default" w:ascii="Times New Roman" w:hAnsi="Times New Roman" w:eastAsia="仿宋_GB2312" w:cs="Times New Roman"/>
          <w:sz w:val="32"/>
          <w:szCs w:val="32"/>
          <w:shd w:val="clear" w:color="auto" w:fill="FFFFFF"/>
        </w:rPr>
        <w:t>4</w:t>
      </w:r>
      <w:r>
        <w:rPr>
          <w:rFonts w:hint="default" w:ascii="Times New Roman" w:hAnsi="Times New Roman" w:eastAsia="方正仿宋_GBK" w:cs="Times New Roman"/>
          <w:sz w:val="32"/>
          <w:szCs w:val="32"/>
        </w:rPr>
        <w:t>个科室，</w:t>
      </w:r>
      <w:r>
        <w:rPr>
          <w:rFonts w:hint="default" w:ascii="Times New Roman" w:hAnsi="Times New Roman" w:eastAsia="方正仿宋_GBK" w:cs="Times New Roman"/>
          <w:sz w:val="32"/>
          <w:szCs w:val="32"/>
          <w:lang w:val="en-US" w:eastAsia="zh-CN"/>
        </w:rPr>
        <w:t>行政编制</w:t>
      </w:r>
      <w:r>
        <w:rPr>
          <w:rFonts w:hint="default" w:ascii="Times New Roman" w:hAnsi="Times New Roman" w:eastAsia="仿宋_GB2312" w:cs="Times New Roman"/>
          <w:sz w:val="32"/>
          <w:szCs w:val="32"/>
          <w:shd w:val="clear" w:color="auto" w:fill="FFFFFF"/>
          <w:lang w:val="en-US" w:eastAsia="zh-CN"/>
        </w:rPr>
        <w:t>12</w:t>
      </w:r>
      <w:r>
        <w:rPr>
          <w:rFonts w:hint="default" w:ascii="Times New Roman" w:hAnsi="Times New Roman" w:eastAsia="方正仿宋_GBK" w:cs="Times New Roman"/>
          <w:sz w:val="32"/>
          <w:szCs w:val="32"/>
        </w:rPr>
        <w:t>人，实</w:t>
      </w:r>
      <w:r>
        <w:rPr>
          <w:rFonts w:hint="default" w:ascii="Times New Roman" w:hAnsi="Times New Roman" w:eastAsia="方正仿宋_GBK" w:cs="Times New Roman"/>
          <w:sz w:val="32"/>
          <w:szCs w:val="32"/>
          <w:lang w:val="en-US" w:eastAsia="zh-CN"/>
        </w:rPr>
        <w:t>有</w:t>
      </w:r>
      <w:r>
        <w:rPr>
          <w:rFonts w:hint="default" w:ascii="Times New Roman" w:hAnsi="Times New Roman" w:eastAsia="仿宋_GB2312" w:cs="Times New Roman"/>
          <w:sz w:val="32"/>
          <w:szCs w:val="32"/>
          <w:shd w:val="clear" w:color="auto" w:fill="FFFFFF"/>
          <w:lang w:val="en-US" w:eastAsia="zh-CN"/>
        </w:rPr>
        <w:t>11</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w:t>
      </w:r>
    </w:p>
    <w:p w14:paraId="6A76CE16">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rPr>
      </w:pPr>
      <w:r>
        <w:rPr>
          <w:rStyle w:val="10"/>
          <w:rFonts w:hint="default" w:ascii="Times New Roman" w:hAnsi="Times New Roman" w:eastAsia="方正黑体_GBK" w:cs="Times New Roman"/>
          <w:b w:val="0"/>
          <w:sz w:val="32"/>
          <w:szCs w:val="32"/>
          <w:shd w:val="clear" w:color="auto" w:fill="FFFFFF"/>
        </w:rPr>
        <w:t>二、单位决算收支情况说明</w:t>
      </w:r>
    </w:p>
    <w:p w14:paraId="477D167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2D10344F">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b/>
          <w:bCs/>
          <w:sz w:val="32"/>
          <w:szCs w:val="32"/>
          <w:shd w:val="clear" w:color="auto" w:fill="FFFFFF"/>
        </w:rPr>
      </w:pPr>
      <w:r>
        <w:rPr>
          <w:rStyle w:val="10"/>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b/>
          <w:bCs/>
          <w:sz w:val="32"/>
          <w:szCs w:val="32"/>
          <w:shd w:val="clear" w:color="auto" w:fill="FFFFFF"/>
        </w:rPr>
        <w:t>总体情况</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val="en-US" w:eastAsia="zh-CN"/>
        </w:rPr>
        <w:t>2024</w:t>
      </w:r>
      <w:r>
        <w:rPr>
          <w:rFonts w:hint="default" w:ascii="Times New Roman" w:hAnsi="Times New Roman" w:eastAsia="仿宋_GB2312" w:cs="Times New Roman"/>
          <w:sz w:val="32"/>
          <w:szCs w:val="32"/>
          <w:shd w:val="clear" w:color="auto" w:fill="FFFFFF"/>
        </w:rPr>
        <w:t>年度收入总计638.13万元，支出总计</w:t>
      </w:r>
      <w:r>
        <w:rPr>
          <w:rFonts w:hint="default" w:ascii="Times New Roman" w:hAnsi="Times New Roman" w:eastAsia="仿宋_GB2312" w:cs="Times New Roman"/>
          <w:sz w:val="32"/>
          <w:szCs w:val="32"/>
        </w:rPr>
        <w:t>638.13</w:t>
      </w:r>
      <w:r>
        <w:rPr>
          <w:rFonts w:hint="default" w:ascii="Times New Roman" w:hAnsi="Times New Roman" w:eastAsia="仿宋_GB2312" w:cs="Times New Roman"/>
          <w:sz w:val="32"/>
          <w:szCs w:val="32"/>
          <w:shd w:val="clear" w:color="auto" w:fill="FFFFFF"/>
        </w:rPr>
        <w:t>万元。收、支与2023年度相比，减少249.98万元，下降28.2%，主要原因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w:t>
      </w:r>
    </w:p>
    <w:p w14:paraId="0E515653">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仿宋_GB2312"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2024年度收入合计634.15万元，与2023年度相比，减少252.21万元，下降28.5%，主要原因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减少解决特殊疑难信访问题资金支出。其中：财政拨款收入634.15万元，占</w:t>
      </w:r>
      <w:r>
        <w:rPr>
          <w:rFonts w:hint="default" w:ascii="Times New Roman" w:hAnsi="Times New Roman" w:eastAsia="仿宋_GB2312" w:cs="Times New Roman"/>
          <w:sz w:val="32"/>
          <w:szCs w:val="32"/>
        </w:rPr>
        <w:t>100.0</w:t>
      </w:r>
      <w:r>
        <w:rPr>
          <w:rFonts w:hint="default" w:ascii="Times New Roman" w:hAnsi="Times New Roman" w:eastAsia="仿宋_GB2312" w:cs="Times New Roman"/>
          <w:sz w:val="32"/>
          <w:szCs w:val="32"/>
          <w:shd w:val="clear" w:color="auto" w:fill="FFFFFF"/>
        </w:rPr>
        <w:t>%；事业收入</w:t>
      </w:r>
      <w:r>
        <w:rPr>
          <w:rFonts w:hint="default" w:ascii="Times New Roman" w:hAnsi="Times New Roman" w:eastAsia="仿宋_GB2312" w:cs="Times New Roman"/>
          <w:sz w:val="32"/>
          <w:szCs w:val="32"/>
          <w:shd w:val="clear" w:color="auto" w:fill="FFFFFF"/>
          <w:lang w:val="en-US" w:eastAsia="zh-CN"/>
        </w:rPr>
        <w:t>0</w:t>
      </w:r>
      <w:r>
        <w:rPr>
          <w:rFonts w:hint="default" w:ascii="Times New Roman" w:hAnsi="Times New Roman" w:eastAsia="仿宋_GB2312" w:cs="Times New Roman"/>
          <w:sz w:val="32"/>
          <w:szCs w:val="32"/>
          <w:shd w:val="clear" w:color="auto" w:fill="FFFFFF"/>
        </w:rPr>
        <w:t>万元，占0.0%；经营收入</w:t>
      </w:r>
      <w:r>
        <w:rPr>
          <w:rFonts w:hint="default" w:ascii="Times New Roman" w:hAnsi="Times New Roman" w:eastAsia="仿宋_GB2312" w:cs="Times New Roman"/>
          <w:sz w:val="32"/>
          <w:szCs w:val="32"/>
          <w:shd w:val="clear" w:color="auto" w:fill="FFFFFF"/>
          <w:lang w:val="en-US" w:eastAsia="zh-CN"/>
        </w:rPr>
        <w:t>0</w:t>
      </w:r>
      <w:r>
        <w:rPr>
          <w:rFonts w:hint="default" w:ascii="Times New Roman" w:hAnsi="Times New Roman" w:eastAsia="仿宋_GB2312" w:cs="Times New Roman"/>
          <w:sz w:val="32"/>
          <w:szCs w:val="32"/>
          <w:shd w:val="clear" w:color="auto" w:fill="FFFFFF"/>
        </w:rPr>
        <w:t>万元，占0.0%；其他收入0万元，占0.0%。此外，使用非财政拨款结余和专用结余0万元，年初结转和结余3.97万元。</w:t>
      </w:r>
    </w:p>
    <w:p w14:paraId="42EFA74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仿宋_GB2312"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2024年度支出合计638.13万元，与2023年度相比，减少249.98万元，下降28.2%，主要原因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减少解决特殊疑难信访问题资金支出。其中：基本支出410.91万元，占64.</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%；项目支出</w:t>
      </w:r>
      <w:r>
        <w:rPr>
          <w:rFonts w:hint="default" w:ascii="Times New Roman" w:hAnsi="Times New Roman" w:eastAsia="仿宋_GB2312" w:cs="Times New Roman"/>
          <w:sz w:val="32"/>
          <w:szCs w:val="32"/>
        </w:rPr>
        <w:t>227.21</w:t>
      </w:r>
      <w:r>
        <w:rPr>
          <w:rFonts w:hint="default" w:ascii="Times New Roman" w:hAnsi="Times New Roman" w:eastAsia="仿宋_GB2312" w:cs="Times New Roman"/>
          <w:sz w:val="32"/>
          <w:szCs w:val="32"/>
          <w:shd w:val="clear" w:color="auto" w:fill="FFFFFF"/>
        </w:rPr>
        <w:t>万元，占35.6%；经营支出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shd w:val="clear" w:color="auto" w:fill="FFFFFF"/>
        </w:rPr>
        <w:t>万元，占0.0%。此外，结余分配</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shd w:val="clear" w:color="auto" w:fill="FFFFFF"/>
        </w:rPr>
        <w:t>万元。</w:t>
      </w:r>
    </w:p>
    <w:p w14:paraId="0F71739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仿宋_GB2312"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2024年度年末结转和结余</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shd w:val="clear" w:color="auto" w:fill="FFFFFF"/>
        </w:rPr>
        <w:t>万元，与2023年度相比，无增减。</w:t>
      </w:r>
    </w:p>
    <w:p w14:paraId="3B92C028">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14BFB2B7">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2024年度财政拨款收、支总计638.13万元。与2023年相比，财政拨款收、支总计各减少249.98万元，下降28.2%</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w:t>
      </w:r>
    </w:p>
    <w:p w14:paraId="18A1F92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6B0FFC2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Style w:val="10"/>
          <w:rFonts w:hint="default" w:ascii="Times New Roman" w:hAnsi="Times New Roman" w:eastAsia="仿宋_GB2312"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Style w:val="10"/>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rPr>
        <w:t>2024年度一般公共预算财政拨款收入634.15万元，与2023年度相比，减少252.21万元，下降28.5%</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减少解决特殊疑难信访问题资金支出。较年初预算数减少586.88万元，下降48.1%</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w:t>
      </w:r>
      <w:r>
        <w:rPr>
          <w:rFonts w:hint="default" w:ascii="Times New Roman" w:hAnsi="Times New Roman" w:eastAsia="仿宋_GB2312" w:cs="Times New Roman"/>
          <w:sz w:val="32"/>
          <w:szCs w:val="32"/>
          <w:shd w:val="clear" w:color="auto" w:fill="FFFFFF"/>
          <w:lang w:val="en-US" w:eastAsia="zh-CN"/>
        </w:rPr>
        <w:t>另</w:t>
      </w:r>
      <w:r>
        <w:rPr>
          <w:rFonts w:hint="default" w:ascii="Times New Roman" w:hAnsi="Times New Roman" w:eastAsia="仿宋_GB2312" w:cs="Times New Roman"/>
          <w:sz w:val="32"/>
          <w:szCs w:val="32"/>
          <w:shd w:val="clear" w:color="auto" w:fill="FFFFFF"/>
        </w:rPr>
        <w:t>年初财政拨款结转和结余3.97万元。</w:t>
      </w:r>
    </w:p>
    <w:p w14:paraId="10FE702B">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Style w:val="10"/>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rPr>
        <w:t>2024年度一般公共预算财政拨款支出638.13万元，与2023年度相比，减少249.98万元，下降28.2%</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减少解决特殊疑难信访问题资金支出。较年初预算数减少582.9万元，下降47.7%</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w:t>
      </w:r>
    </w:p>
    <w:p w14:paraId="790F1A7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Style w:val="10"/>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rPr>
        <w:t>2024年度年末一般公共预算财政拨款结转和结余0万元，与2023年度相比，无增减。</w:t>
      </w:r>
    </w:p>
    <w:p w14:paraId="5DF9A9DE">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Style w:val="10"/>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bCs/>
          <w:sz w:val="32"/>
          <w:szCs w:val="32"/>
          <w:shd w:val="clear" w:color="auto" w:fill="FFFFFF"/>
        </w:rPr>
        <w:t>本</w:t>
      </w:r>
      <w:r>
        <w:rPr>
          <w:rFonts w:hint="default" w:ascii="Times New Roman" w:hAnsi="Times New Roman" w:eastAsia="仿宋_GB2312" w:cs="Times New Roman"/>
          <w:sz w:val="32"/>
          <w:szCs w:val="32"/>
          <w:shd w:val="clear" w:color="auto" w:fill="FFFFFF"/>
        </w:rPr>
        <w:t>单位2024年度一般公共预算财政拨款支出主要用于以下几个方面：</w:t>
      </w:r>
    </w:p>
    <w:p w14:paraId="77D4CC5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（1）一般公共服务支出511.97万元，占80.2%，较年初预算数减少550.71万元，下降51.8%，主要原因</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w:t>
      </w:r>
    </w:p>
    <w:p w14:paraId="78743044">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（2）社会保障与就业支出68.19万元，占10.69%，较年初预算数减少18.27万元，下降21.1%，主要原因是二级事业单位从2024年起独立核算。</w:t>
      </w:r>
    </w:p>
    <w:p w14:paraId="692EAEE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（3）卫生健康支出22.58万元，占3.5%，较年初预算数减少8.58万元，下降27.5%，主要原因是二级事业单位从2024年起独立核算。</w:t>
      </w:r>
    </w:p>
    <w:p w14:paraId="75AE69AF">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（4）住房保障支出35.39万元，占5.</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%，较年初预算数减少5.34万元，下降13.1%，主要原因是二级事业单位从2024年起独立核算。</w:t>
      </w:r>
    </w:p>
    <w:p w14:paraId="563D2D7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733558B">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2024年度一般公共财政拨款基本支出410.91万元。其中：人员经费338.12万元，与2023年度相比，减少195.48万元，下降36.6%，</w:t>
      </w:r>
      <w:r>
        <w:rPr>
          <w:rFonts w:hint="default" w:ascii="Times New Roman" w:hAnsi="Times New Roman" w:eastAsia="仿宋_GB2312" w:cs="Times New Roman"/>
          <w:sz w:val="32"/>
          <w:szCs w:val="32"/>
          <w:shd w:val="clear" w:color="auto" w:fill="FFFFFF"/>
          <w:lang w:val="en-US" w:eastAsia="zh-CN"/>
        </w:rPr>
        <w:t>一是</w:t>
      </w:r>
      <w:r>
        <w:rPr>
          <w:rFonts w:hint="default" w:ascii="Times New Roman" w:hAnsi="Times New Roman" w:eastAsia="仿宋_GB2312" w:cs="Times New Roman"/>
          <w:sz w:val="32"/>
          <w:szCs w:val="32"/>
          <w:shd w:val="clear" w:color="auto" w:fill="FFFFFF"/>
        </w:rPr>
        <w:t>从2024年起</w:t>
      </w:r>
      <w:r>
        <w:rPr>
          <w:rFonts w:hint="default" w:ascii="Times New Roman" w:hAnsi="Times New Roman" w:eastAsia="仿宋_GB2312" w:cs="Times New Roman"/>
          <w:sz w:val="32"/>
          <w:szCs w:val="32"/>
          <w:shd w:val="clear" w:color="auto" w:fill="FFFFFF"/>
          <w:lang w:val="en-US" w:eastAsia="zh-CN"/>
        </w:rPr>
        <w:t>事业单位</w:t>
      </w:r>
      <w:r>
        <w:rPr>
          <w:rFonts w:hint="default" w:ascii="Times New Roman" w:hAnsi="Times New Roman" w:eastAsia="仿宋_GB2312" w:cs="Times New Roman"/>
          <w:sz w:val="32"/>
          <w:szCs w:val="32"/>
          <w:shd w:val="clear" w:color="auto" w:fill="FFFFFF"/>
        </w:rPr>
        <w:t>独立核算，</w:t>
      </w:r>
      <w:r>
        <w:rPr>
          <w:rFonts w:hint="default" w:ascii="Times New Roman" w:hAnsi="Times New Roman" w:eastAsia="仿宋_GB2312" w:cs="Times New Roman"/>
          <w:sz w:val="32"/>
          <w:szCs w:val="32"/>
          <w:shd w:val="clear" w:color="auto" w:fill="FFFFFF"/>
          <w:lang w:val="en-US" w:eastAsia="zh-CN"/>
        </w:rPr>
        <w:t>二是</w:t>
      </w:r>
      <w:r>
        <w:rPr>
          <w:rFonts w:hint="default" w:ascii="Times New Roman" w:hAnsi="Times New Roman" w:eastAsia="仿宋_GB2312" w:cs="Times New Roman"/>
          <w:sz w:val="32"/>
          <w:szCs w:val="32"/>
          <w:shd w:val="clear" w:color="auto" w:fill="FFFFFF"/>
        </w:rPr>
        <w:t>减少解决特殊疑难信访问题资金支出。人员经费用途主要包括基本工资、津贴补贴、奖金、绩效工资、机关事业单位基本养老保险缴费、职业年金缴费、职工基本医疗保险缴费、其他社会保障缴费、住房公积金、医疗费、其他工资福利支出、抚恤金、生活补助、医疗费补助。公用经费72.80万元，与2023年度相比，减少14.18万元，下降16.3%，主要原因是二级事业单位从2024年起独立核算。公用经费用途主要包括办公费、邮电费、培训费、劳务费、工会经费、福利费、公务用车运行维护费、其他交通费用、其他商品和服务支出。</w:t>
      </w:r>
    </w:p>
    <w:p w14:paraId="25761E86">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3A6E5816">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本单位2024年度无政府性基金预算财政拨款收支。</w:t>
      </w:r>
    </w:p>
    <w:p w14:paraId="36AE12E6">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3B961A7E">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本单位2024年度无国有资本经营预算财政拨款支出。</w:t>
      </w:r>
    </w:p>
    <w:p w14:paraId="282281D1">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rPr>
      </w:pPr>
      <w:r>
        <w:rPr>
          <w:rStyle w:val="10"/>
          <w:rFonts w:hint="default" w:ascii="Times New Roman" w:hAnsi="Times New Roman" w:eastAsia="方正黑体_GBK" w:cs="Times New Roman"/>
          <w:b w:val="0"/>
          <w:sz w:val="32"/>
          <w:szCs w:val="32"/>
          <w:shd w:val="clear" w:color="auto" w:fill="FFFFFF"/>
        </w:rPr>
        <w:t>三、财政拨款</w:t>
      </w:r>
      <w:r>
        <w:rPr>
          <w:rStyle w:val="10"/>
          <w:rFonts w:hint="eastAsia" w:ascii="Times New Roman" w:hAnsi="Times New Roman" w:eastAsia="方正黑体_GBK" w:cs="Times New Roman"/>
          <w:b w:val="0"/>
          <w:sz w:val="32"/>
          <w:szCs w:val="32"/>
          <w:shd w:val="clear" w:color="auto" w:fill="FFFFFF"/>
          <w:lang w:eastAsia="zh-CN"/>
        </w:rPr>
        <w:t>“</w:t>
      </w:r>
      <w:r>
        <w:rPr>
          <w:rStyle w:val="10"/>
          <w:rFonts w:hint="eastAsia" w:ascii="Times New Roman" w:hAnsi="Times New Roman" w:eastAsia="方正黑体_GBK" w:cs="Times New Roman"/>
          <w:b w:val="0"/>
          <w:sz w:val="32"/>
          <w:szCs w:val="32"/>
          <w:shd w:val="clear" w:color="auto" w:fill="FFFFFF"/>
        </w:rPr>
        <w:t>三公</w:t>
      </w:r>
      <w:r>
        <w:rPr>
          <w:rStyle w:val="10"/>
          <w:rFonts w:hint="eastAsia" w:ascii="Times New Roman" w:hAnsi="Times New Roman" w:eastAsia="方正黑体_GBK" w:cs="Times New Roman"/>
          <w:b w:val="0"/>
          <w:sz w:val="32"/>
          <w:szCs w:val="32"/>
          <w:shd w:val="clear" w:color="auto" w:fill="FFFFFF"/>
          <w:lang w:eastAsia="zh-CN"/>
        </w:rPr>
        <w:t>”</w:t>
      </w:r>
      <w:r>
        <w:rPr>
          <w:rStyle w:val="10"/>
          <w:rFonts w:hint="default" w:ascii="Times New Roman" w:hAnsi="Times New Roman" w:eastAsia="方正黑体_GBK" w:cs="Times New Roman"/>
          <w:b w:val="0"/>
          <w:sz w:val="32"/>
          <w:szCs w:val="32"/>
          <w:shd w:val="clear" w:color="auto" w:fill="FFFFFF"/>
        </w:rPr>
        <w:t>经费情况说明</w:t>
      </w:r>
    </w:p>
    <w:p w14:paraId="673B5E97">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经费支出总体情况说明</w:t>
      </w:r>
    </w:p>
    <w:p w14:paraId="0ABFE583">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三公</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经费支出共计6.64万元，较年初预算数减少11.86万元，下降64.1%，主要原因是主要原因是厉行节约，减少经费开支。较上年支出数增加0.39万元，增长6.2%，主要原因是车辆维护费增加。</w:t>
      </w:r>
    </w:p>
    <w:p w14:paraId="1B89F157">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经费分项支出情况</w:t>
      </w:r>
    </w:p>
    <w:p w14:paraId="2704DBF3">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2024年度本单位因公出国（境）费用0万元，与年初预算数和上年支出数持平，主要原因是无公出国（境）费用。</w:t>
      </w:r>
    </w:p>
    <w:p w14:paraId="5CDBE410">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公务车购置费0万元，与年初预算数和上年支出数持平，主要原因是未公购置务车。</w:t>
      </w:r>
    </w:p>
    <w:p w14:paraId="78D8A48E">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公务车运行维护费6.34万元，主要用于主要用于机要文件交换、信访稳定工作、离退休人员服务等工作用车所需车辆的燃料费、维修费、过桥过路费、保险费等。费用支出较年初预算数减少11.66万元，下降64.8%，主要原因是</w:t>
      </w:r>
      <w:bookmarkStart w:id="0" w:name="_GoBack"/>
      <w:bookmarkEnd w:id="0"/>
      <w:r>
        <w:rPr>
          <w:rFonts w:hint="default" w:ascii="Times New Roman" w:hAnsi="Times New Roman" w:eastAsia="仿宋_GB2312" w:cs="Times New Roman"/>
          <w:sz w:val="32"/>
          <w:szCs w:val="32"/>
          <w:shd w:val="clear" w:color="auto" w:fill="FFFFFF"/>
        </w:rPr>
        <w:t>厉行节约，减少经费开支。较上年支出数增加0.09万元，增长1.4%，主要原因是车辆维护费增加。</w:t>
      </w:r>
    </w:p>
    <w:p w14:paraId="51851A2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公务接待费0.30万元，主要用于接待</w:t>
      </w:r>
      <w:r>
        <w:rPr>
          <w:rFonts w:hint="default" w:ascii="Times New Roman" w:hAnsi="Times New Roman" w:eastAsia="仿宋_GB2312" w:cs="Times New Roman"/>
          <w:sz w:val="32"/>
          <w:szCs w:val="32"/>
          <w:shd w:val="clear" w:color="auto" w:fill="FFFFFF"/>
          <w:lang w:val="en-US" w:eastAsia="zh-CN"/>
        </w:rPr>
        <w:t>青岛市崂山区金家岭街道、新疆</w:t>
      </w:r>
      <w:r>
        <w:rPr>
          <w:rFonts w:hint="eastAsia" w:ascii="Times New Roman" w:hAnsi="Times New Roman" w:eastAsia="仿宋_GB2312" w:cs="Times New Roman"/>
          <w:sz w:val="32"/>
          <w:szCs w:val="32"/>
          <w:shd w:val="clear" w:color="auto" w:fill="FFFFFF"/>
          <w:lang w:val="en-US" w:eastAsia="zh-CN"/>
        </w:rPr>
        <w:t>生产</w:t>
      </w:r>
      <w:r>
        <w:rPr>
          <w:rFonts w:hint="default" w:ascii="Times New Roman" w:hAnsi="Times New Roman" w:eastAsia="仿宋_GB2312" w:cs="Times New Roman"/>
          <w:sz w:val="32"/>
          <w:szCs w:val="32"/>
          <w:shd w:val="clear" w:color="auto" w:fill="FFFFFF"/>
          <w:lang w:val="en-US" w:eastAsia="zh-CN"/>
        </w:rPr>
        <w:t>建设兵团信访局用餐</w:t>
      </w:r>
      <w:r>
        <w:rPr>
          <w:rFonts w:hint="default" w:ascii="Times New Roman" w:hAnsi="Times New Roman" w:eastAsia="仿宋_GB2312" w:cs="Times New Roman"/>
          <w:sz w:val="32"/>
          <w:szCs w:val="32"/>
          <w:shd w:val="clear" w:color="auto" w:fill="FFFFFF"/>
        </w:rPr>
        <w:t>。费用支出较年初预算数减少0.2万元，下降40.0%，主要原因是厉行节约，减少经费开支。较上年支出数增加0.3万元，增长100.0%，主要原因是上年未发生公务接待</w:t>
      </w:r>
      <w:r>
        <w:rPr>
          <w:rFonts w:hint="default" w:ascii="Times New Roman" w:hAnsi="Times New Roman" w:eastAsia="仿宋_GB2312" w:cs="Times New Roman"/>
          <w:sz w:val="32"/>
          <w:szCs w:val="32"/>
          <w:shd w:val="clear" w:color="auto" w:fill="FFFFFF"/>
          <w:lang w:eastAsia="zh-CN"/>
        </w:rPr>
        <w:t>。</w:t>
      </w:r>
    </w:p>
    <w:p w14:paraId="579B448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经费实物量情况</w:t>
      </w:r>
    </w:p>
    <w:p w14:paraId="260D034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本单位因公出国（境）共计0个团组，0人；公务用车购置0辆，公务车保有量为3辆；国内公务接待2批次30人，其中：国内外事接待0批次，0人；国（境）外公务接待0批次，0人。2024年本单位人均接待费100元，车均购置费0万元，车均维护费2.11万元。</w:t>
      </w:r>
    </w:p>
    <w:p w14:paraId="497A3821">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rPr>
      </w:pPr>
      <w:r>
        <w:rPr>
          <w:rStyle w:val="10"/>
          <w:rFonts w:hint="default" w:ascii="Times New Roman" w:hAnsi="Times New Roman" w:eastAsia="方正黑体_GBK" w:cs="Times New Roman"/>
          <w:b w:val="0"/>
          <w:bCs/>
          <w:sz w:val="32"/>
          <w:szCs w:val="32"/>
          <w:shd w:val="clear" w:color="auto" w:fill="FFFFFF"/>
        </w:rPr>
        <w:t>四、其他需要说明的事项</w:t>
      </w:r>
    </w:p>
    <w:p w14:paraId="1AF9C821">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14:paraId="42766EFA">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年度会议费支出0.39万元，与2023年度相比，减少0.6万元，下降60.6%，主要原因是厉行节约，减少会议费开支。本年度培训费支出3.36万元，与2023年度相比，减少0.93万元，下降21.7%，主要原因是厉行节约，减少培训费开支。</w:t>
      </w:r>
    </w:p>
    <w:p w14:paraId="1E6A7ABB">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5957CB9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本单位机关运行经费支出72.8万元，机关运行经费主要用于开支办公费、邮电费、培训费、劳务费、工会经费、福利费、公务用车运行维护费、其他交通费用、其他商品和服务支出。机关运行经费较上年支出数减少14.18万元，下降16.3%，主要原因是二级事业单位从2024年起独立核算。</w:t>
      </w:r>
    </w:p>
    <w:p w14:paraId="02927A44">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42BE76D0">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截至2024年12月31日，本单位共有车辆3辆，其中，副部（省）级及以上领导用车0辆、主要负责人用车0辆、机要通信用车0辆、应急保障用车3辆、执法执勤用车0辆，特种专业技术用车0辆，离退休干部用车0辆。单价100万元（含）以上专用设备0台（套）。</w:t>
      </w:r>
    </w:p>
    <w:p w14:paraId="1893DB1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73F2D2F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2024年度本单位政府采购支出总额2.73万元，其中：政府采购货物支出2.73万元、政府采购工程支出0万元、政府采购服务支出0万元。授予中小企业合同金额2.73万元，占政府采购支出总额的100.0%，其中：授予小微企业合同金额2.73万元，占政府采购支出总额的100.0 %。主要用于采购办公电脑等。</w:t>
      </w:r>
    </w:p>
    <w:p w14:paraId="3C7785BF">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五、2024年度预算绩效管理情况说明</w:t>
      </w:r>
    </w:p>
    <w:p w14:paraId="15CCF18D">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14:paraId="0C8F971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根据预算绩效管理要求，我单位对2个项目开展了绩效自评，其中，以填报目标自评表形式开展自评3项，涉及资金</w:t>
      </w:r>
      <w:r>
        <w:rPr>
          <w:rFonts w:hint="default" w:ascii="Times New Roman" w:hAnsi="Times New Roman" w:eastAsia="仿宋_GB2312" w:cs="Times New Roman"/>
          <w:sz w:val="32"/>
          <w:szCs w:val="32"/>
          <w:shd w:val="clear" w:color="auto" w:fill="FFFFFF"/>
          <w:lang w:val="en-US" w:eastAsia="zh-CN"/>
        </w:rPr>
        <w:t>226.97</w:t>
      </w:r>
      <w:r>
        <w:rPr>
          <w:rFonts w:hint="default" w:ascii="Times New Roman" w:hAnsi="Times New Roman" w:eastAsia="仿宋_GB2312" w:cs="Times New Roman"/>
          <w:sz w:val="32"/>
          <w:szCs w:val="32"/>
          <w:shd w:val="clear" w:color="auto" w:fill="FFFFFF"/>
        </w:rPr>
        <w:t>万元。</w:t>
      </w:r>
    </w:p>
    <w:p w14:paraId="2294B737">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rPr>
      </w:pPr>
      <w:r>
        <w:rPr>
          <w:rFonts w:hint="default" w:ascii="Times New Roman" w:hAnsi="Times New Roman" w:eastAsia="方正楷体_GBK" w:cs="Times New Roman"/>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lang w:val="en-US" w:eastAsia="zh-CN"/>
        </w:rPr>
        <w:t>二</w:t>
      </w:r>
      <w:r>
        <w:rPr>
          <w:rFonts w:hint="default" w:ascii="Times New Roman" w:hAnsi="Times New Roman" w:eastAsia="方正楷体_GBK" w:cs="Times New Roman"/>
          <w:b w:val="0"/>
          <w:bCs w:val="0"/>
          <w:sz w:val="32"/>
          <w:szCs w:val="32"/>
          <w:shd w:val="clear" w:color="auto" w:fill="FFFFFF"/>
        </w:rPr>
        <w:t>）绩效自评</w:t>
      </w:r>
      <w:r>
        <w:rPr>
          <w:rFonts w:hint="default" w:ascii="Times New Roman" w:hAnsi="Times New Roman" w:eastAsia="方正楷体_GBK" w:cs="Times New Roman"/>
          <w:b w:val="0"/>
          <w:bCs w:val="0"/>
          <w:sz w:val="32"/>
          <w:szCs w:val="32"/>
          <w:shd w:val="clear" w:color="auto" w:fill="FFFFFF"/>
          <w:lang w:val="en-US" w:eastAsia="zh-CN"/>
        </w:rPr>
        <w:t>结果</w:t>
      </w:r>
    </w:p>
    <w:p w14:paraId="3EFE0767">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绩效目标自评表</w:t>
      </w:r>
    </w:p>
    <w:p w14:paraId="3D6D0811">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注明：见附件整体监控绩效自评表、全区信访稳定专项经费绩效自评表、信访稳定工作经费绩效自评表。</w:t>
      </w:r>
    </w:p>
    <w:p w14:paraId="359D2FE5">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绩效自评报告或案例</w:t>
      </w:r>
    </w:p>
    <w:p w14:paraId="3386239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本部门未委托第三方开展绩效自评</w:t>
      </w:r>
      <w:r>
        <w:rPr>
          <w:rFonts w:hint="default" w:ascii="Times New Roman" w:hAnsi="Times New Roman" w:eastAsia="仿宋_GB2312" w:cs="Times New Roman"/>
          <w:sz w:val="32"/>
          <w:szCs w:val="32"/>
          <w:shd w:val="clear" w:color="auto" w:fill="FFFFFF"/>
          <w:lang w:eastAsia="zh-CN"/>
        </w:rPr>
        <w:t>。</w:t>
      </w:r>
    </w:p>
    <w:p w14:paraId="424B0B4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关于绩效自评结果的说明</w:t>
      </w:r>
    </w:p>
    <w:p w14:paraId="1B34E615">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本部门绩效自评均已完成年度绩效目标</w:t>
      </w:r>
      <w:r>
        <w:rPr>
          <w:rFonts w:hint="default" w:ascii="Times New Roman" w:hAnsi="Times New Roman" w:eastAsia="仿宋_GB2312" w:cs="Times New Roman"/>
          <w:sz w:val="32"/>
          <w:szCs w:val="32"/>
          <w:shd w:val="clear" w:color="auto" w:fill="FFFFFF"/>
          <w:lang w:eastAsia="zh-CN"/>
        </w:rPr>
        <w:t>。</w:t>
      </w:r>
    </w:p>
    <w:p w14:paraId="57936764">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t>六、专业名词解释</w:t>
      </w:r>
    </w:p>
    <w:p w14:paraId="1D33360F">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指本年度从本级财政部门取得的财政拨款，包括一般公共预算财政拨款和政府性基金预算财政拨款。</w:t>
      </w:r>
    </w:p>
    <w:p w14:paraId="3A3A8E53">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（二）事业收入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指事业单位开展专业业务活动及其辅助活动取得的现金流入；事业单位收到的财政专户实际核拨的教育收费等资金在此反映。</w:t>
      </w:r>
    </w:p>
    <w:p w14:paraId="630BC46E">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（三）经营收入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指事业单位在专业业务活动及其辅助活动之外开展非独立核算经营活动取得的现金流入。</w:t>
      </w:r>
    </w:p>
    <w:p w14:paraId="0CC4BA6C">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（四）其他收入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仿宋_GB2312" w:cs="Times New Roman"/>
          <w:sz w:val="32"/>
          <w:szCs w:val="32"/>
          <w:shd w:val="clear" w:color="auto" w:fill="FFFFFF"/>
        </w:rPr>
        <w:t>指单位取得的除</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财政拨款收入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事业收入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经营收入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CF5E0A">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（五）使用非财政拨款结余：</w:t>
      </w:r>
      <w:r>
        <w:rPr>
          <w:rFonts w:hint="default" w:ascii="Times New Roman" w:hAnsi="Times New Roman" w:eastAsia="仿宋_GB2312" w:cs="Times New Roman"/>
          <w:sz w:val="32"/>
          <w:szCs w:val="32"/>
          <w:shd w:val="clear" w:color="auto" w:fill="FFFFFF"/>
        </w:rPr>
        <w:t>指单位在当年的</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财政拨款收入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事业收入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经营收入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其他收入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等不足以安排当年支出的情况下，使用以前年度积累的非财政拨款结余弥补本年度收支缺口的资金。</w:t>
      </w:r>
    </w:p>
    <w:p w14:paraId="25EE4E80">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（六）年初结转和结余：</w:t>
      </w:r>
      <w:r>
        <w:rPr>
          <w:rFonts w:hint="default" w:ascii="Times New Roman" w:hAnsi="Times New Roman" w:eastAsia="仿宋_GB2312" w:cs="Times New Roman"/>
          <w:sz w:val="32"/>
          <w:szCs w:val="32"/>
          <w:shd w:val="clear" w:color="auto" w:fill="FFFFFF"/>
        </w:rPr>
        <w:t>指单位上年结转本年使用的基本支出结转、项目支出结转和结余、经营结余。</w:t>
      </w:r>
    </w:p>
    <w:p w14:paraId="780DAEEA">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（七）结余分配：</w:t>
      </w:r>
      <w:r>
        <w:rPr>
          <w:rFonts w:hint="default" w:ascii="Times New Roman" w:hAnsi="Times New Roman" w:eastAsia="仿宋_GB2312" w:cs="Times New Roman"/>
          <w:sz w:val="32"/>
          <w:szCs w:val="32"/>
          <w:shd w:val="clear" w:color="auto" w:fill="FFFFFF"/>
        </w:rPr>
        <w:t>指单位按照国家有关规定，缴纳所得税、提取专用基金、转入非财政拨款结余等当年结余的分配情况。</w:t>
      </w:r>
    </w:p>
    <w:p w14:paraId="52648A5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（八）年末结转和结余：</w:t>
      </w:r>
      <w:r>
        <w:rPr>
          <w:rFonts w:hint="default" w:ascii="Times New Roman" w:hAnsi="Times New Roman" w:eastAsia="仿宋_GB2312" w:cs="Times New Roman"/>
          <w:sz w:val="32"/>
          <w:szCs w:val="32"/>
          <w:shd w:val="clear" w:color="auto" w:fill="FFFFFF"/>
        </w:rPr>
        <w:t>指单位结转下年的基本支出结转、项目支出结转和结余、经营结余。</w:t>
      </w:r>
    </w:p>
    <w:p w14:paraId="71DB088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（九）基本支出：</w:t>
      </w:r>
      <w:r>
        <w:rPr>
          <w:rFonts w:hint="default" w:ascii="Times New Roman" w:hAnsi="Times New Roman" w:eastAsia="仿宋_GB2312"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工资福利支出</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和</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对个人和家庭的补助</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；公用经费指政府收支分类经济科目中除</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工资福利支出</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和</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对个人和家庭的补助</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外的其他支出。</w:t>
      </w:r>
    </w:p>
    <w:p w14:paraId="05055175">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（十）项目支出：</w:t>
      </w:r>
      <w:r>
        <w:rPr>
          <w:rFonts w:hint="default" w:ascii="Times New Roman" w:hAnsi="Times New Roman" w:eastAsia="仿宋_GB2312" w:cs="Times New Roman"/>
          <w:sz w:val="32"/>
          <w:szCs w:val="32"/>
          <w:shd w:val="clear" w:color="auto" w:fill="FFFFFF"/>
        </w:rPr>
        <w:t>指在基本支出之外为完成特定行政任务和事业发展目标所发生的支出。</w:t>
      </w:r>
    </w:p>
    <w:p w14:paraId="2A4266A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（十一）经营支出：</w:t>
      </w:r>
      <w:r>
        <w:rPr>
          <w:rFonts w:hint="default" w:ascii="Times New Roman" w:hAnsi="Times New Roman" w:eastAsia="仿宋_GB2312" w:cs="Times New Roman"/>
          <w:sz w:val="32"/>
          <w:szCs w:val="32"/>
          <w:shd w:val="clear" w:color="auto" w:fill="FFFFFF"/>
        </w:rPr>
        <w:t>指事业单位在专业业务活动及其辅助活动之外开展非独立核算经营活动发生的支出。</w:t>
      </w:r>
    </w:p>
    <w:p w14:paraId="61A8AB66">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（十二）</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三公</w:t>
      </w:r>
      <w:r>
        <w:rPr>
          <w:rFonts w:hint="eastAsia" w:ascii="Times New Roman" w:hAnsi="Times New Roman" w:eastAsia="方正楷体_GBK" w:cs="Times New Roman"/>
          <w:b w:val="0"/>
          <w:bCs w:val="0"/>
          <w:sz w:val="32"/>
          <w:szCs w:val="32"/>
          <w:shd w:val="clear" w:color="auto" w:fill="FFFFFF"/>
          <w:lang w:eastAsia="zh-CN"/>
        </w:rPr>
        <w:t>”</w:t>
      </w:r>
      <w:r>
        <w:rPr>
          <w:rFonts w:hint="default" w:ascii="Times New Roman" w:hAnsi="Times New Roman" w:eastAsia="方正楷体_GBK" w:cs="Times New Roman"/>
          <w:b w:val="0"/>
          <w:bCs w:val="0"/>
          <w:sz w:val="32"/>
          <w:szCs w:val="32"/>
          <w:shd w:val="clear" w:color="auto" w:fill="FFFFFF"/>
        </w:rPr>
        <w:t>经费：</w:t>
      </w:r>
      <w:r>
        <w:rPr>
          <w:rFonts w:hint="default" w:ascii="Times New Roman" w:hAnsi="Times New Roman" w:eastAsia="仿宋_GB2312"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25761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（十三）机关运行经费：</w:t>
      </w:r>
      <w:r>
        <w:rPr>
          <w:rFonts w:hint="default" w:ascii="Times New Roman" w:hAnsi="Times New Roman" w:eastAsia="仿宋_GB2312"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E2C03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（十四）工资福利支出（支出经济分类科目类级）：</w:t>
      </w:r>
      <w:r>
        <w:rPr>
          <w:rFonts w:hint="default" w:ascii="Times New Roman" w:hAnsi="Times New Roman" w:eastAsia="仿宋_GB2312" w:cs="Times New Roman"/>
          <w:sz w:val="32"/>
          <w:szCs w:val="32"/>
          <w:shd w:val="clear" w:color="auto" w:fill="FFFFFF"/>
        </w:rPr>
        <w:t>反映单位开支的在职职工和编制外长期聘用人员的各类劳动报酬，以及为上述人员缴纳的各项社会保险费等。</w:t>
      </w:r>
    </w:p>
    <w:p w14:paraId="503E4629">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（十五）商品和服务支出（支出经济分类科目类级）：</w:t>
      </w:r>
      <w:r>
        <w:rPr>
          <w:rFonts w:hint="default" w:ascii="Times New Roman" w:hAnsi="Times New Roman" w:eastAsia="仿宋_GB2312" w:cs="Times New Roman"/>
          <w:sz w:val="32"/>
          <w:szCs w:val="32"/>
          <w:shd w:val="clear" w:color="auto" w:fill="FFFFFF"/>
        </w:rPr>
        <w:t>反映单位购买商品和服务的支出（不包括用于购置固定资产的支出、战略性和应急储备支出）。</w:t>
      </w:r>
    </w:p>
    <w:p w14:paraId="339AABC6">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（十六）对个人和家庭的补助（支出经济分类科目类级）：</w:t>
      </w:r>
      <w:r>
        <w:rPr>
          <w:rFonts w:hint="default" w:ascii="Times New Roman" w:hAnsi="Times New Roman" w:eastAsia="仿宋_GB2312" w:cs="Times New Roman"/>
          <w:sz w:val="32"/>
          <w:szCs w:val="32"/>
          <w:shd w:val="clear" w:color="auto" w:fill="FFFFFF"/>
        </w:rPr>
        <w:t>反映用于对个人和家庭的补助支出。</w:t>
      </w:r>
    </w:p>
    <w:p w14:paraId="3C3CB96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（十七）其他资本性支出（支出经济分类科目类级）：</w:t>
      </w:r>
      <w:r>
        <w:rPr>
          <w:rFonts w:hint="default" w:ascii="Times New Roman" w:hAnsi="Times New Roman" w:eastAsia="仿宋_GB2312"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1D41040">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rPr>
      </w:pPr>
      <w:r>
        <w:rPr>
          <w:rStyle w:val="10"/>
          <w:rFonts w:hint="default" w:ascii="Times New Roman" w:hAnsi="Times New Roman" w:eastAsia="方正黑体_GBK" w:cs="Times New Roman"/>
          <w:b w:val="0"/>
          <w:sz w:val="32"/>
          <w:szCs w:val="32"/>
          <w:shd w:val="clear" w:color="auto" w:fill="FFFFFF"/>
        </w:rPr>
        <w:t>七、决算公开联系方式及信息反馈渠道</w:t>
      </w:r>
    </w:p>
    <w:p w14:paraId="24C34F91">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本单位决算公开信息反馈和联系方式：</w:t>
      </w:r>
    </w:p>
    <w:p w14:paraId="2AA16141">
      <w:pPr>
        <w:pStyle w:val="12"/>
        <w:keepNext w:val="0"/>
        <w:keepLines w:val="0"/>
        <w:pageBreakBefore w:val="0"/>
        <w:kinsoku/>
        <w:wordWrap/>
        <w:overflowPunct/>
        <w:topLinePunct w:val="0"/>
        <w:autoSpaceDE/>
        <w:autoSpaceDN/>
        <w:bidi w:val="0"/>
        <w:adjustRightInd/>
        <w:spacing w:before="0" w:beforeAutospacing="0" w:after="0" w:afterAutospacing="0" w:line="594"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 xml:space="preserve">彭瑾 </w:t>
      </w: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023-6370200</w:t>
      </w:r>
      <w:r>
        <w:rPr>
          <w:rFonts w:hint="default" w:ascii="Times New Roman" w:hAnsi="Times New Roman" w:eastAsia="仿宋_GB2312" w:cs="Times New Roman"/>
          <w:sz w:val="32"/>
          <w:szCs w:val="32"/>
          <w:shd w:val="clear" w:color="auto" w:fill="FFFFFF"/>
          <w:lang w:val="en-US" w:eastAsia="zh-CN"/>
        </w:rPr>
        <w:t>9</w:t>
      </w:r>
    </w:p>
    <w:p w14:paraId="7A172007">
      <w:pPr>
        <w:pStyle w:val="12"/>
        <w:keepNext w:val="0"/>
        <w:keepLines w:val="0"/>
        <w:pageBreakBefore w:val="0"/>
        <w:kinsoku/>
        <w:wordWrap/>
        <w:overflowPunct/>
        <w:topLinePunct w:val="0"/>
        <w:autoSpaceDE/>
        <w:autoSpaceDN/>
        <w:bidi w:val="0"/>
        <w:adjustRightInd/>
        <w:spacing w:before="0" w:beforeAutospacing="0" w:after="0" w:afterAutospacing="0" w:line="594"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p>
    <w:p w14:paraId="0A19A758">
      <w:pPr>
        <w:pStyle w:val="12"/>
        <w:spacing w:before="0" w:beforeAutospacing="0" w:after="0" w:afterAutospacing="0" w:line="596" w:lineRule="exact"/>
        <w:ind w:firstLine="640" w:firstLineChars="200"/>
        <w:rPr>
          <w:rFonts w:hint="default" w:ascii="Times New Roman" w:hAnsi="Times New Roman" w:eastAsia="仿宋_GB2312" w:cs="Times New Roman"/>
          <w:sz w:val="32"/>
          <w:szCs w:val="32"/>
          <w:shd w:val="clear" w:color="auto" w:fill="FFFFFF"/>
          <w:lang w:val="en-US" w:eastAsia="zh-CN"/>
        </w:rPr>
      </w:pPr>
    </w:p>
    <w:p w14:paraId="60C03989">
      <w:pPr>
        <w:pStyle w:val="12"/>
        <w:spacing w:before="0" w:beforeAutospacing="0" w:after="0" w:afterAutospacing="0" w:line="596" w:lineRule="exact"/>
        <w:ind w:firstLine="640" w:firstLineChars="200"/>
        <w:rPr>
          <w:rFonts w:hint="default" w:ascii="Times New Roman" w:hAnsi="Times New Roman" w:eastAsia="仿宋_GB2312" w:cs="Times New Roman"/>
          <w:sz w:val="32"/>
          <w:szCs w:val="32"/>
          <w:shd w:val="clear" w:color="auto" w:fill="FFFFFF"/>
          <w:lang w:val="en-US" w:eastAsia="zh-CN"/>
        </w:rPr>
      </w:pPr>
    </w:p>
    <w:p w14:paraId="3AFE5F47">
      <w:pPr>
        <w:rPr>
          <w:rFonts w:hint="default" w:ascii="Times New Roman" w:hAnsi="Times New Roman" w:cs="Times New Roman"/>
          <w:sz w:val="18"/>
          <w:szCs w:val="18"/>
        </w:rPr>
      </w:pPr>
    </w:p>
    <w:sectPr>
      <w:headerReference r:id="rId3" w:type="default"/>
      <w:footerReference r:id="rId4" w:type="default"/>
      <w:pgSz w:w="11850" w:h="16783"/>
      <w:pgMar w:top="1984" w:right="1446" w:bottom="1644" w:left="1446"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13E2">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480" w:firstLineChars="200"/>
      <w:jc w:val="both"/>
      <w:textAlignment w:val="auto"/>
    </w:pPr>
    <w:r>
      <mc:AlternateContent>
        <mc:Choice Requires="wps">
          <w:drawing>
            <wp:anchor distT="0" distB="0" distL="114300" distR="114300" simplePos="0" relativeHeight="251660288" behindDoc="0" locked="0" layoutInCell="1" allowOverlap="0">
              <wp:simplePos x="0" y="0"/>
              <wp:positionH relativeFrom="margin">
                <wp:posOffset>-389890</wp:posOffset>
              </wp:positionH>
              <wp:positionV relativeFrom="paragraph">
                <wp:posOffset>-447675</wp:posOffset>
              </wp:positionV>
              <wp:extent cx="1399540" cy="44958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399540" cy="449580"/>
                      </a:xfrm>
                      <a:prstGeom prst="rect">
                        <a:avLst/>
                      </a:prstGeom>
                      <a:noFill/>
                      <a:ln w="6350">
                        <a:noFill/>
                      </a:ln>
                      <a:effectLst/>
                    </wps:spPr>
                    <wps:txbx>
                      <w:txbxContent>
                        <w:p w14:paraId="112293A0">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sz w:val="28"/>
                              <w:szCs w:val="28"/>
                            </w:rPr>
                          </w:pPr>
                          <w:r>
                            <w:rPr>
                              <w:rFonts w:hint="eastAsia" w:ascii="方正楷体_GBK" w:hAnsi="方正楷体_GBK" w:eastAsia="方正楷体_GBK" w:cs="方正楷体_GBK"/>
                              <w:b w:val="0"/>
                              <w:bCs w:val="0"/>
                              <w:sz w:val="32"/>
                              <w:szCs w:val="32"/>
                              <w:shd w:val="clear" w:color="auto" w:fill="FFFFFF"/>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0.7pt;margin-top:-35.25pt;height:35.4pt;width:110.2pt;mso-position-horizontal-relative:margin;z-index:251660288;mso-width-relative:page;mso-height-relative:page;" filled="f" stroked="f" coordsize="21600,21600" o:allowoverlap="f" o:gfxdata="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22KRdcAAAAIAQAADwAAAAAAAAABACAAAAAiAAAAZHJzL2Rv&#10;d25yZXYueG1sUEsBAhQAFAAAAAgAh07iQDqrC+Y7AgAAaAQAAA4AAAAAAAAAAQAgAAAAJgEAAGRy&#10;cy9lMm9Eb2MueG1sUEsFBgAAAAAGAAYAWQEAANMFAAAAAA==&#10;">
              <v:fill on="f" focussize="0,0"/>
              <v:stroke on="f" weight="0.5pt"/>
              <v:imagedata o:title=""/>
              <o:lock v:ext="edit" aspectratio="f"/>
              <v:textbox inset="0mm,0mm,0mm,0mm">
                <w:txbxContent>
                  <w:p w14:paraId="112293A0">
                    <w:pPr>
                      <w:pStyle w:val="6"/>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sz w:val="28"/>
                        <w:szCs w:val="28"/>
                      </w:rPr>
                    </w:pPr>
                    <w:r>
                      <w:rPr>
                        <w:rFonts w:hint="eastAsia" w:ascii="方正楷体_GBK" w:hAnsi="方正楷体_GBK" w:eastAsia="方正楷体_GBK" w:cs="方正楷体_GBK"/>
                        <w:b w:val="0"/>
                        <w:bCs w:val="0"/>
                        <w:sz w:val="32"/>
                        <w:szCs w:val="32"/>
                        <w:shd w:val="clear" w:color="auto" w:fill="FFFFFF"/>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45F0BF">
                          <w:pPr>
                            <w:pStyle w:val="3"/>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45F0BF">
                    <w:pPr>
                      <w:pStyle w:val="3"/>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056B">
    <w:pPr>
      <w:pStyle w:val="4"/>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12F5"/>
    <w:rsid w:val="000239C6"/>
    <w:rsid w:val="000336AF"/>
    <w:rsid w:val="0007282A"/>
    <w:rsid w:val="00084867"/>
    <w:rsid w:val="000917D3"/>
    <w:rsid w:val="000954A4"/>
    <w:rsid w:val="00097956"/>
    <w:rsid w:val="000B7405"/>
    <w:rsid w:val="000B7602"/>
    <w:rsid w:val="000E1A9B"/>
    <w:rsid w:val="00105BC9"/>
    <w:rsid w:val="00117641"/>
    <w:rsid w:val="00170A04"/>
    <w:rsid w:val="00184D58"/>
    <w:rsid w:val="00186AFB"/>
    <w:rsid w:val="001B5B36"/>
    <w:rsid w:val="001D3BB7"/>
    <w:rsid w:val="001F39FD"/>
    <w:rsid w:val="002037B7"/>
    <w:rsid w:val="00204CB4"/>
    <w:rsid w:val="0022699A"/>
    <w:rsid w:val="00255020"/>
    <w:rsid w:val="002628B0"/>
    <w:rsid w:val="0028266D"/>
    <w:rsid w:val="002A30B4"/>
    <w:rsid w:val="002A4003"/>
    <w:rsid w:val="002B254B"/>
    <w:rsid w:val="002B6B33"/>
    <w:rsid w:val="002C11E6"/>
    <w:rsid w:val="002D47DE"/>
    <w:rsid w:val="002E0D9A"/>
    <w:rsid w:val="0034050A"/>
    <w:rsid w:val="003411D6"/>
    <w:rsid w:val="00353234"/>
    <w:rsid w:val="00363025"/>
    <w:rsid w:val="0036691F"/>
    <w:rsid w:val="00377B5D"/>
    <w:rsid w:val="003858F2"/>
    <w:rsid w:val="003969A7"/>
    <w:rsid w:val="00396EA8"/>
    <w:rsid w:val="003A7001"/>
    <w:rsid w:val="003A727E"/>
    <w:rsid w:val="003B57FA"/>
    <w:rsid w:val="003C3F5C"/>
    <w:rsid w:val="003C57BE"/>
    <w:rsid w:val="003F1CB3"/>
    <w:rsid w:val="003F36F2"/>
    <w:rsid w:val="00401C9F"/>
    <w:rsid w:val="004133F1"/>
    <w:rsid w:val="0043736B"/>
    <w:rsid w:val="0044504F"/>
    <w:rsid w:val="00457AE2"/>
    <w:rsid w:val="00466C9B"/>
    <w:rsid w:val="00486CFC"/>
    <w:rsid w:val="00491DDD"/>
    <w:rsid w:val="0049722D"/>
    <w:rsid w:val="004A277A"/>
    <w:rsid w:val="004C401A"/>
    <w:rsid w:val="004E445A"/>
    <w:rsid w:val="00504E4E"/>
    <w:rsid w:val="005051FA"/>
    <w:rsid w:val="00514E9F"/>
    <w:rsid w:val="00524E37"/>
    <w:rsid w:val="00527545"/>
    <w:rsid w:val="00550ABE"/>
    <w:rsid w:val="005578A4"/>
    <w:rsid w:val="00570E5B"/>
    <w:rsid w:val="00574BAF"/>
    <w:rsid w:val="005A6FBA"/>
    <w:rsid w:val="005E33E6"/>
    <w:rsid w:val="005F5037"/>
    <w:rsid w:val="005F7092"/>
    <w:rsid w:val="00623A85"/>
    <w:rsid w:val="00637E9A"/>
    <w:rsid w:val="00661686"/>
    <w:rsid w:val="006718BB"/>
    <w:rsid w:val="006D18E9"/>
    <w:rsid w:val="007044AE"/>
    <w:rsid w:val="00717E8B"/>
    <w:rsid w:val="00720D7A"/>
    <w:rsid w:val="007320A6"/>
    <w:rsid w:val="00735D30"/>
    <w:rsid w:val="0074450B"/>
    <w:rsid w:val="007604E0"/>
    <w:rsid w:val="00770383"/>
    <w:rsid w:val="007819D4"/>
    <w:rsid w:val="007A0D6C"/>
    <w:rsid w:val="007B419D"/>
    <w:rsid w:val="007B7C4B"/>
    <w:rsid w:val="007B7D36"/>
    <w:rsid w:val="007C3F15"/>
    <w:rsid w:val="007D3D39"/>
    <w:rsid w:val="007E6042"/>
    <w:rsid w:val="007F3BEF"/>
    <w:rsid w:val="00811FFF"/>
    <w:rsid w:val="00817EAA"/>
    <w:rsid w:val="00843D74"/>
    <w:rsid w:val="00847D41"/>
    <w:rsid w:val="0086737D"/>
    <w:rsid w:val="00873561"/>
    <w:rsid w:val="008B3842"/>
    <w:rsid w:val="008B58A4"/>
    <w:rsid w:val="008E5015"/>
    <w:rsid w:val="009173A7"/>
    <w:rsid w:val="009220C1"/>
    <w:rsid w:val="0092554B"/>
    <w:rsid w:val="0095266C"/>
    <w:rsid w:val="009848FF"/>
    <w:rsid w:val="00984C6A"/>
    <w:rsid w:val="00994AF7"/>
    <w:rsid w:val="009B67B8"/>
    <w:rsid w:val="009C14C9"/>
    <w:rsid w:val="009D2B67"/>
    <w:rsid w:val="009E1452"/>
    <w:rsid w:val="00A01F2C"/>
    <w:rsid w:val="00A412A1"/>
    <w:rsid w:val="00A566F9"/>
    <w:rsid w:val="00A65B06"/>
    <w:rsid w:val="00A76BE6"/>
    <w:rsid w:val="00A87ECF"/>
    <w:rsid w:val="00AA6A99"/>
    <w:rsid w:val="00AC754E"/>
    <w:rsid w:val="00AD5A1B"/>
    <w:rsid w:val="00AE113E"/>
    <w:rsid w:val="00AE3CCF"/>
    <w:rsid w:val="00AF1077"/>
    <w:rsid w:val="00AF2751"/>
    <w:rsid w:val="00B03CCD"/>
    <w:rsid w:val="00B153FD"/>
    <w:rsid w:val="00B17C5C"/>
    <w:rsid w:val="00B5121B"/>
    <w:rsid w:val="00B8265E"/>
    <w:rsid w:val="00B944B7"/>
    <w:rsid w:val="00B9606D"/>
    <w:rsid w:val="00BB4648"/>
    <w:rsid w:val="00BC6107"/>
    <w:rsid w:val="00BD08FE"/>
    <w:rsid w:val="00BE00E7"/>
    <w:rsid w:val="00BE2B89"/>
    <w:rsid w:val="00BF0D89"/>
    <w:rsid w:val="00BF1967"/>
    <w:rsid w:val="00BF566E"/>
    <w:rsid w:val="00BF6FF2"/>
    <w:rsid w:val="00C10E9E"/>
    <w:rsid w:val="00C16FE9"/>
    <w:rsid w:val="00C20C3E"/>
    <w:rsid w:val="00C251BD"/>
    <w:rsid w:val="00C5163E"/>
    <w:rsid w:val="00C74670"/>
    <w:rsid w:val="00CA259C"/>
    <w:rsid w:val="00CB29B5"/>
    <w:rsid w:val="00CD445A"/>
    <w:rsid w:val="00CF1220"/>
    <w:rsid w:val="00CF2ACF"/>
    <w:rsid w:val="00D03AAF"/>
    <w:rsid w:val="00D04806"/>
    <w:rsid w:val="00D512F8"/>
    <w:rsid w:val="00D51F0E"/>
    <w:rsid w:val="00D66BEE"/>
    <w:rsid w:val="00D67118"/>
    <w:rsid w:val="00D72E4F"/>
    <w:rsid w:val="00D8322C"/>
    <w:rsid w:val="00DA311F"/>
    <w:rsid w:val="00DB0687"/>
    <w:rsid w:val="00DB531F"/>
    <w:rsid w:val="00DC4175"/>
    <w:rsid w:val="00DD0539"/>
    <w:rsid w:val="00DF6803"/>
    <w:rsid w:val="00E052A3"/>
    <w:rsid w:val="00E07662"/>
    <w:rsid w:val="00E2744D"/>
    <w:rsid w:val="00E368E9"/>
    <w:rsid w:val="00E46F89"/>
    <w:rsid w:val="00E5242D"/>
    <w:rsid w:val="00E60EDB"/>
    <w:rsid w:val="00E755DC"/>
    <w:rsid w:val="00E93326"/>
    <w:rsid w:val="00EB67CE"/>
    <w:rsid w:val="00ED4F51"/>
    <w:rsid w:val="00EE1E33"/>
    <w:rsid w:val="00EF4BAF"/>
    <w:rsid w:val="00F23534"/>
    <w:rsid w:val="00F35993"/>
    <w:rsid w:val="00F36CA6"/>
    <w:rsid w:val="00F375A3"/>
    <w:rsid w:val="00F73512"/>
    <w:rsid w:val="00F73F90"/>
    <w:rsid w:val="00FB4B3B"/>
    <w:rsid w:val="00FB6525"/>
    <w:rsid w:val="00FD728F"/>
    <w:rsid w:val="00FE4901"/>
    <w:rsid w:val="01474EBF"/>
    <w:rsid w:val="01F3521E"/>
    <w:rsid w:val="03B87EA0"/>
    <w:rsid w:val="03E3214F"/>
    <w:rsid w:val="044C50BA"/>
    <w:rsid w:val="04FF116A"/>
    <w:rsid w:val="05653FE9"/>
    <w:rsid w:val="05BC6D49"/>
    <w:rsid w:val="06194FF1"/>
    <w:rsid w:val="06465907"/>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9A1676"/>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147CB9"/>
    <w:rsid w:val="173708E3"/>
    <w:rsid w:val="17C374FC"/>
    <w:rsid w:val="17FD7CA7"/>
    <w:rsid w:val="182E4AB6"/>
    <w:rsid w:val="189079DC"/>
    <w:rsid w:val="189B0D0B"/>
    <w:rsid w:val="18B43F7C"/>
    <w:rsid w:val="191C433B"/>
    <w:rsid w:val="194A1770"/>
    <w:rsid w:val="19B906A4"/>
    <w:rsid w:val="1A6B409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6A7FE7"/>
    <w:rsid w:val="1FBB35CD"/>
    <w:rsid w:val="1FCD26AF"/>
    <w:rsid w:val="20642787"/>
    <w:rsid w:val="21556F04"/>
    <w:rsid w:val="221D583C"/>
    <w:rsid w:val="22403BD3"/>
    <w:rsid w:val="229E155F"/>
    <w:rsid w:val="22AD3177"/>
    <w:rsid w:val="235417B6"/>
    <w:rsid w:val="23773C65"/>
    <w:rsid w:val="24B92327"/>
    <w:rsid w:val="24C14514"/>
    <w:rsid w:val="252D4D73"/>
    <w:rsid w:val="2533755C"/>
    <w:rsid w:val="25791755"/>
    <w:rsid w:val="26396DF4"/>
    <w:rsid w:val="27167136"/>
    <w:rsid w:val="271B442C"/>
    <w:rsid w:val="27B23302"/>
    <w:rsid w:val="27E70AD2"/>
    <w:rsid w:val="29310A5F"/>
    <w:rsid w:val="29C37A35"/>
    <w:rsid w:val="2A076083"/>
    <w:rsid w:val="2A73162E"/>
    <w:rsid w:val="2B167953"/>
    <w:rsid w:val="2B200583"/>
    <w:rsid w:val="2B2729C0"/>
    <w:rsid w:val="2B8209DE"/>
    <w:rsid w:val="2B821C91"/>
    <w:rsid w:val="2BF81A22"/>
    <w:rsid w:val="2C636760"/>
    <w:rsid w:val="2C6762A3"/>
    <w:rsid w:val="2FA86D99"/>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0B4637"/>
    <w:rsid w:val="36C9128A"/>
    <w:rsid w:val="37841E99"/>
    <w:rsid w:val="37BF1123"/>
    <w:rsid w:val="383C3F15"/>
    <w:rsid w:val="38BE4696"/>
    <w:rsid w:val="3939115E"/>
    <w:rsid w:val="395907A8"/>
    <w:rsid w:val="39B82A39"/>
    <w:rsid w:val="39C42CA8"/>
    <w:rsid w:val="39DC4FD6"/>
    <w:rsid w:val="39F03D7A"/>
    <w:rsid w:val="39F33306"/>
    <w:rsid w:val="3A2C1C67"/>
    <w:rsid w:val="3A6A77C9"/>
    <w:rsid w:val="3ADD7F09"/>
    <w:rsid w:val="3B1705E5"/>
    <w:rsid w:val="3B18334B"/>
    <w:rsid w:val="3B36794F"/>
    <w:rsid w:val="3B691AD2"/>
    <w:rsid w:val="3B6F6EE0"/>
    <w:rsid w:val="3C0812EB"/>
    <w:rsid w:val="3C566AD6"/>
    <w:rsid w:val="3C594871"/>
    <w:rsid w:val="3C6A5B02"/>
    <w:rsid w:val="3D083B3A"/>
    <w:rsid w:val="3D2757A1"/>
    <w:rsid w:val="3D3D4FC4"/>
    <w:rsid w:val="3DDF3AB1"/>
    <w:rsid w:val="3E150D94"/>
    <w:rsid w:val="3E1D0952"/>
    <w:rsid w:val="3E42660A"/>
    <w:rsid w:val="3E7555B1"/>
    <w:rsid w:val="3E787ED9"/>
    <w:rsid w:val="3F032E93"/>
    <w:rsid w:val="3F0527E5"/>
    <w:rsid w:val="3F4C52C6"/>
    <w:rsid w:val="3F694D83"/>
    <w:rsid w:val="3F885DCC"/>
    <w:rsid w:val="3FCD675E"/>
    <w:rsid w:val="4004000C"/>
    <w:rsid w:val="40760DD1"/>
    <w:rsid w:val="40BD5482"/>
    <w:rsid w:val="40D17F0F"/>
    <w:rsid w:val="40F938F8"/>
    <w:rsid w:val="411B6CE5"/>
    <w:rsid w:val="412070D7"/>
    <w:rsid w:val="41314E40"/>
    <w:rsid w:val="41E0734B"/>
    <w:rsid w:val="426C1EA8"/>
    <w:rsid w:val="42736402"/>
    <w:rsid w:val="42E86A87"/>
    <w:rsid w:val="43307B09"/>
    <w:rsid w:val="439A3EB9"/>
    <w:rsid w:val="43BB152F"/>
    <w:rsid w:val="44920FD9"/>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3B50DC"/>
    <w:rsid w:val="4FA233B6"/>
    <w:rsid w:val="504B6EAA"/>
    <w:rsid w:val="50F06B6E"/>
    <w:rsid w:val="51890380"/>
    <w:rsid w:val="51D21804"/>
    <w:rsid w:val="52234D33"/>
    <w:rsid w:val="522F6E0C"/>
    <w:rsid w:val="52463BA1"/>
    <w:rsid w:val="52F163D4"/>
    <w:rsid w:val="531A2DB4"/>
    <w:rsid w:val="53C0244D"/>
    <w:rsid w:val="53DD4D4E"/>
    <w:rsid w:val="53E578CE"/>
    <w:rsid w:val="53F47F72"/>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9A3915"/>
    <w:rsid w:val="5DA80C2C"/>
    <w:rsid w:val="5EAF3DFA"/>
    <w:rsid w:val="5F2D4A41"/>
    <w:rsid w:val="60C74F6C"/>
    <w:rsid w:val="61015958"/>
    <w:rsid w:val="61025A59"/>
    <w:rsid w:val="613D5BBC"/>
    <w:rsid w:val="61536C39"/>
    <w:rsid w:val="62631AFA"/>
    <w:rsid w:val="62944DD7"/>
    <w:rsid w:val="6319381F"/>
    <w:rsid w:val="63C25DC5"/>
    <w:rsid w:val="63C62057"/>
    <w:rsid w:val="63EA49DC"/>
    <w:rsid w:val="64571EF5"/>
    <w:rsid w:val="64FB113D"/>
    <w:rsid w:val="656152C6"/>
    <w:rsid w:val="6587477F"/>
    <w:rsid w:val="658C3A08"/>
    <w:rsid w:val="65C031CA"/>
    <w:rsid w:val="65CE6852"/>
    <w:rsid w:val="66267C04"/>
    <w:rsid w:val="663F505A"/>
    <w:rsid w:val="666C2D2F"/>
    <w:rsid w:val="66AF5D7C"/>
    <w:rsid w:val="66EE5541"/>
    <w:rsid w:val="670F055A"/>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4F47C7"/>
    <w:rsid w:val="708F6F7F"/>
    <w:rsid w:val="70D94BD3"/>
    <w:rsid w:val="71574775"/>
    <w:rsid w:val="71C34D91"/>
    <w:rsid w:val="72B74F9B"/>
    <w:rsid w:val="72DB435C"/>
    <w:rsid w:val="72E2613A"/>
    <w:rsid w:val="72F771F4"/>
    <w:rsid w:val="734F6DAB"/>
    <w:rsid w:val="73934AD2"/>
    <w:rsid w:val="750837F0"/>
    <w:rsid w:val="754758CF"/>
    <w:rsid w:val="75595ECD"/>
    <w:rsid w:val="757B7431"/>
    <w:rsid w:val="764F62AB"/>
    <w:rsid w:val="765C45EC"/>
    <w:rsid w:val="768A7619"/>
    <w:rsid w:val="76BD23AB"/>
    <w:rsid w:val="772E1EBA"/>
    <w:rsid w:val="772F7DE9"/>
    <w:rsid w:val="775C59C6"/>
    <w:rsid w:val="781926BC"/>
    <w:rsid w:val="796D60A4"/>
    <w:rsid w:val="79A031D5"/>
    <w:rsid w:val="79B47FDF"/>
    <w:rsid w:val="79E569A9"/>
    <w:rsid w:val="7A1525F7"/>
    <w:rsid w:val="7AB149C5"/>
    <w:rsid w:val="7AFA41F7"/>
    <w:rsid w:val="7B420052"/>
    <w:rsid w:val="7B8437E3"/>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4537</Words>
  <Characters>5067</Characters>
  <Lines>336</Lines>
  <Paragraphs>233</Paragraphs>
  <TotalTime>2</TotalTime>
  <ScaleCrop>false</ScaleCrop>
  <LinksUpToDate>false</LinksUpToDate>
  <CharactersWithSpaces>5074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徐林</cp:lastModifiedBy>
  <dcterms:modified xsi:type="dcterms:W3CDTF">2025-10-23T03:02:12Z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0493D0595A8B43ABBBAF5DAC000CDF27</vt:lpwstr>
  </property>
  <property fmtid="{D5CDD505-2E9C-101B-9397-08002B2CF9AE}" pid="4" name="KSOTemplateDocerSaveRecord">
    <vt:lpwstr>eyJoZGlkIjoiZWE1YWExMzEyYzRjNDU0ZjlkODU3NDQ2YTdiMjNjNzYiLCJ1c2VySWQiOiIxNjA3MjI3ODgzIn0=</vt:lpwstr>
  </property>
</Properties>
</file>