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bookmarkStart w:id="3" w:name="_GoBack"/>
      <w:bookmarkEnd w:id="3"/>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重庆市渝中区医疗保障局</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一、部门基本情况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贯彻执行国家医疗保险、生育保险、医疗救助等医疗保障制度的法律、政策、规划、标准和医疗保障地方性法规、规章及相关政策、规划、标准；组织实施医疗保障基金监督管理办法和支付方式改革，建立健全医疗保障基金安全防控机制，监督管理区医疗保障基金；贯彻执行医疗保障筹资和待遇政策及城乡医疗保障待遇标准；组织实施药品、医用耗材、医疗服务项目、医疗服务设施等地方医保目录和支付标准；组织实施药品、医用耗材价</w:t>
      </w:r>
      <w:r>
        <w:rPr>
          <w:rFonts w:hint="eastAsia" w:ascii="Times New Roman" w:hAnsi="Times New Roman" w:eastAsia="方正仿宋_GBK" w:cs="Times New Roman"/>
          <w:sz w:val="32"/>
          <w:szCs w:val="32"/>
        </w:rPr>
        <w:t>格和医疗服务项目、医疗服务设施收费等政策；落实价格信息监测和信息发布制度；执行药品、医用耗材的招标采购政策；组织实施定点医药机构协议和支付管理办法。执行医疗保障信用评价体系和信息披露制度，监督管理全区纳入医保范围的医疗服务行为和医疗费用，依法查处医疗保障领域违法违规行为；负责全区医疗保障经办管理、公共服务体系和信息化建设；组织实施异地就医管理和费用结算政策；执行医疗保障关系转移接续制度；完成区委、区政府交办的其他任务。</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渝中区医疗保障局机关现设有综合科、待遇管理科、监督管理科共3个科室；下属事业单位渝中区医疗保障事务中心现设有综合科（统计信息档案科）、基金财务科、参保工作科、医疗待遇一科、医疗待遇二科、特定人员管理科、医药机构服务科、稽核督查科共8个科室。截至2024年12月区医保局及下属事业单位在编39人（其中正处1人、副处4人、四级调研员1人，一级主任科员 (科长)11人、二级主任科员（科长）9人、三级主任科员7人，四级主任科员3人，一级科员2人，新招录1人），退休人员2人，聘用人员27人，其中医保经办窗口工作人员26人，执法车辆驾驶员1人。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2024年度收入总计14226.40万元，支出总计</w:t>
      </w:r>
      <w:r>
        <w:rPr>
          <w:rFonts w:ascii="方正仿宋_GBK" w:hAnsi="方正仿宋_GBK" w:eastAsia="方正仿宋_GBK" w:cs="方正仿宋_GBK"/>
          <w:sz w:val="32"/>
          <w:szCs w:val="32"/>
        </w:rPr>
        <w:t>14226.40</w:t>
      </w:r>
      <w:r>
        <w:rPr>
          <w:rFonts w:ascii="方正仿宋_GBK" w:hAnsi="方正仿宋_GBK" w:eastAsia="方正仿宋_GBK" w:cs="方正仿宋_GBK"/>
          <w:sz w:val="32"/>
          <w:szCs w:val="32"/>
          <w:shd w:val="clear" w:color="auto" w:fill="FFFFFF"/>
        </w:rPr>
        <w:t>万元。收、支与2023年度相比，增加3090.50万元，增长27.8%，主要原因</w:t>
      </w:r>
      <w:r>
        <w:rPr>
          <w:rFonts w:hint="eastAsia" w:ascii="方正仿宋_GBK" w:hAnsi="方正仿宋_GBK" w:eastAsia="方正仿宋_GBK" w:cs="方正仿宋_GBK"/>
          <w:sz w:val="32"/>
          <w:szCs w:val="32"/>
          <w:shd w:val="clear" w:color="auto" w:fill="FFFFFF"/>
          <w:lang w:val="en-US" w:eastAsia="zh-CN"/>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2024年度收入合计14226.40万元，与2023年度相比，增加3090.50万元，增长27.8%，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14226.40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14226.40</w:t>
      </w:r>
      <w:r>
        <w:rPr>
          <w:rFonts w:ascii="方正仿宋_GBK" w:hAnsi="方正仿宋_GBK" w:eastAsia="方正仿宋_GBK" w:cs="方正仿宋_GBK"/>
          <w:sz w:val="32"/>
          <w:szCs w:val="32"/>
          <w:shd w:val="clear" w:color="auto" w:fill="FFFFFF"/>
        </w:rPr>
        <w:t>万元，与2023年度相比，增加3090.50万元，增长27.8%，</w:t>
      </w:r>
      <w:bookmarkStart w:id="0" w:name="OLE_LINK1"/>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bookmarkEnd w:id="0"/>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983.42</w:t>
      </w:r>
      <w:r>
        <w:rPr>
          <w:rFonts w:ascii="方正仿宋_GBK" w:hAnsi="方正仿宋_GBK" w:eastAsia="方正仿宋_GBK" w:cs="方正仿宋_GBK"/>
          <w:sz w:val="32"/>
          <w:szCs w:val="32"/>
          <w:shd w:val="clear" w:color="auto" w:fill="FFFFFF"/>
        </w:rPr>
        <w:t>万元，占6.91%；项目支出</w:t>
      </w:r>
      <w:r>
        <w:rPr>
          <w:rFonts w:ascii="方正仿宋_GBK" w:hAnsi="方正仿宋_GBK" w:eastAsia="方正仿宋_GBK" w:cs="方正仿宋_GBK"/>
          <w:sz w:val="32"/>
          <w:szCs w:val="32"/>
        </w:rPr>
        <w:t>13242.98</w:t>
      </w:r>
      <w:r>
        <w:rPr>
          <w:rFonts w:ascii="方正仿宋_GBK" w:hAnsi="方正仿宋_GBK" w:eastAsia="方正仿宋_GBK" w:cs="方正仿宋_GBK"/>
          <w:sz w:val="32"/>
          <w:szCs w:val="32"/>
          <w:shd w:val="clear" w:color="auto" w:fill="FFFFFF"/>
        </w:rPr>
        <w:t>万元，占93.09%；经营支出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2024年度财政拨款收、支总计14226.40万元。与2023年度相比，增加3090.50万元，增长27.8%，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14226.40</w:t>
      </w:r>
      <w:r>
        <w:rPr>
          <w:rFonts w:ascii="方正仿宋_GBK" w:hAnsi="方正仿宋_GBK" w:eastAsia="方正仿宋_GBK" w:cs="方正仿宋_GBK"/>
          <w:sz w:val="32"/>
          <w:szCs w:val="32"/>
          <w:shd w:val="clear" w:color="auto" w:fill="FFFFFF"/>
        </w:rPr>
        <w:t>万元，与2023年度相比，增加3090.50万元，增长27.8%。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较年初预算数增加348.48万元，增长2.5%。</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14226.40</w:t>
      </w:r>
      <w:r>
        <w:rPr>
          <w:rFonts w:ascii="方正仿宋_GBK" w:hAnsi="方正仿宋_GBK" w:eastAsia="方正仿宋_GBK" w:cs="方正仿宋_GBK"/>
          <w:sz w:val="32"/>
          <w:szCs w:val="32"/>
          <w:shd w:val="clear" w:color="auto" w:fill="FFFFFF"/>
        </w:rPr>
        <w:t>万元，与2023年度相比，增加3090.50万元，增长27.8%。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较年初预算数增加348.48万元，增长2.5%。</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rPr>
        <w:t>一是上级支持医疗保障事业发展专项经费增加，用于医疗救助专项，能力建设等重点工作；二是人员变动，参公事业人员32名，比上年增加2名，不断加强医疗保障工作队伍建设，2024年新增公招、遴选人员共2名，配齐配强人员队伍。</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%，较年初预算数增加0.31万元，增长100.0%，主要原因是</w:t>
      </w:r>
      <w:r>
        <w:rPr>
          <w:rFonts w:hint="eastAsia" w:ascii="方正仿宋_GBK" w:hAnsi="方正仿宋_GBK" w:eastAsia="方正仿宋_GBK" w:cs="方正仿宋_GBK"/>
          <w:sz w:val="32"/>
          <w:szCs w:val="32"/>
          <w:shd w:val="clear" w:color="auto" w:fill="FFFFFF"/>
        </w:rPr>
        <w:t>实际工作需要，年中追加基层党建工作活动等经费。</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112.97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0.79</w:t>
      </w:r>
      <w:r>
        <w:rPr>
          <w:rFonts w:ascii="方正仿宋_GBK" w:hAnsi="方正仿宋_GBK" w:eastAsia="方正仿宋_GBK" w:cs="方正仿宋_GBK"/>
          <w:sz w:val="32"/>
          <w:szCs w:val="32"/>
          <w:shd w:val="clear" w:color="auto" w:fill="FFFFFF"/>
        </w:rPr>
        <w:t>%，较年初预算数增加1.27万元，增长1.1%，主要原因是</w:t>
      </w:r>
      <w:r>
        <w:rPr>
          <w:rFonts w:hint="eastAsia" w:ascii="方正仿宋_GBK" w:hAnsi="方正仿宋_GBK" w:eastAsia="方正仿宋_GBK" w:cs="方正仿宋_GBK"/>
          <w:sz w:val="32"/>
          <w:szCs w:val="32"/>
          <w:shd w:val="clear" w:color="auto" w:fill="FFFFFF"/>
          <w:lang w:val="en-US" w:eastAsia="zh-CN"/>
        </w:rPr>
        <w:t>当年有新进人员，</w:t>
      </w:r>
      <w:r>
        <w:rPr>
          <w:rFonts w:hint="eastAsia" w:ascii="方正仿宋_GBK" w:hAnsi="方正仿宋_GBK" w:eastAsia="方正仿宋_GBK" w:cs="方正仿宋_GBK"/>
          <w:sz w:val="32"/>
          <w:szCs w:val="32"/>
          <w:shd w:val="clear" w:color="auto" w:fill="FFFFFF"/>
        </w:rPr>
        <w:t>工资发放数额较上年增多</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缴纳社保金额增加。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14034.00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98.65</w:t>
      </w:r>
      <w:r>
        <w:rPr>
          <w:rFonts w:ascii="方正仿宋_GBK" w:hAnsi="方正仿宋_GBK" w:eastAsia="方正仿宋_GBK" w:cs="方正仿宋_GBK"/>
          <w:sz w:val="32"/>
          <w:szCs w:val="32"/>
          <w:shd w:val="clear" w:color="auto" w:fill="FFFFFF"/>
        </w:rPr>
        <w:t>%，较年初预算数增加277.61万元，增长2.0%，主要原因是</w:t>
      </w:r>
      <w:r>
        <w:rPr>
          <w:rFonts w:hint="eastAsia" w:ascii="方正仿宋_GBK" w:hAnsi="方正仿宋_GBK" w:eastAsia="方正仿宋_GBK" w:cs="方正仿宋_GBK"/>
          <w:sz w:val="32"/>
          <w:szCs w:val="32"/>
          <w:shd w:val="clear" w:color="auto" w:fill="FFFFFF"/>
          <w:lang w:val="en-US" w:eastAsia="zh-CN"/>
        </w:rPr>
        <w:t>当年有新进人员，</w:t>
      </w:r>
      <w:r>
        <w:rPr>
          <w:rFonts w:hint="eastAsia" w:ascii="方正仿宋_GBK" w:hAnsi="方正仿宋_GBK" w:eastAsia="方正仿宋_GBK" w:cs="方正仿宋_GBK"/>
          <w:sz w:val="32"/>
          <w:szCs w:val="32"/>
          <w:shd w:val="clear" w:color="auto" w:fill="FFFFFF"/>
        </w:rPr>
        <w:t>工资发放数额较上年增多</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缴纳社保金额增加。</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0.56</w:t>
      </w:r>
      <w:r>
        <w:rPr>
          <w:rFonts w:ascii="方正仿宋_GBK" w:hAnsi="方正仿宋_GBK" w:eastAsia="方正仿宋_GBK" w:cs="方正仿宋_GBK"/>
          <w:sz w:val="32"/>
          <w:szCs w:val="32"/>
          <w:shd w:val="clear" w:color="auto" w:fill="FFFFFF"/>
        </w:rPr>
        <w:t>%，较年初预算数增加69.29万元，增长704.9%，主要原因是</w:t>
      </w:r>
      <w:r>
        <w:rPr>
          <w:rFonts w:hint="eastAsia" w:ascii="方正仿宋_GBK" w:hAnsi="方正仿宋_GBK" w:eastAsia="方正仿宋_GBK" w:cs="方正仿宋_GBK"/>
          <w:sz w:val="32"/>
          <w:szCs w:val="32"/>
          <w:shd w:val="clear" w:color="auto" w:fill="FFFFFF"/>
          <w:lang w:val="en-US" w:eastAsia="zh-CN"/>
        </w:rPr>
        <w:t>当年有新进人员，</w:t>
      </w:r>
      <w:r>
        <w:rPr>
          <w:rFonts w:hint="eastAsia" w:ascii="方正仿宋_GBK" w:hAnsi="方正仿宋_GBK" w:eastAsia="方正仿宋_GBK" w:cs="方正仿宋_GBK"/>
          <w:sz w:val="32"/>
          <w:szCs w:val="32"/>
          <w:shd w:val="clear" w:color="auto" w:fill="FFFFFF"/>
        </w:rPr>
        <w:t>工资发放数额较上年增多</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缴纳社保金额增加。</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983.42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798.52</w:t>
      </w:r>
      <w:r>
        <w:rPr>
          <w:rFonts w:ascii="方正仿宋_GBK" w:hAnsi="方正仿宋_GBK" w:eastAsia="方正仿宋_GBK" w:cs="方正仿宋_GBK"/>
          <w:sz w:val="32"/>
          <w:szCs w:val="32"/>
          <w:shd w:val="clear" w:color="auto" w:fill="FFFFFF"/>
        </w:rPr>
        <w:t>万元，与2023年度相比，增加14.75万元，增长1.9%，</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当年有新进人员，</w:t>
      </w:r>
      <w:r>
        <w:rPr>
          <w:rFonts w:hint="eastAsia" w:ascii="方正仿宋_GBK" w:hAnsi="方正仿宋_GBK" w:eastAsia="方正仿宋_GBK" w:cs="方正仿宋_GBK"/>
          <w:sz w:val="32"/>
          <w:szCs w:val="32"/>
          <w:shd w:val="clear" w:color="auto" w:fill="FFFFFF"/>
        </w:rPr>
        <w:t>工资发放数额较上年增多</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缴纳社保金额增加。</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Times New Roman"/>
          <w:sz w:val="32"/>
          <w:szCs w:val="32"/>
        </w:rPr>
        <w:t>单位职工工资、津补贴、社保、公积金等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184.90</w:t>
      </w:r>
      <w:r>
        <w:rPr>
          <w:rFonts w:ascii="方正仿宋_GBK" w:hAnsi="方正仿宋_GBK" w:eastAsia="方正仿宋_GBK" w:cs="方正仿宋_GBK"/>
          <w:sz w:val="32"/>
          <w:szCs w:val="32"/>
          <w:shd w:val="clear" w:color="auto" w:fill="FFFFFF"/>
        </w:rPr>
        <w:t>万元，与2023年度相比，增加9.34万元，增长5.3%，</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当年有新进人员，</w:t>
      </w:r>
      <w:r>
        <w:rPr>
          <w:rFonts w:hint="eastAsia" w:ascii="方正仿宋_GBK" w:hAnsi="方正仿宋_GBK" w:eastAsia="方正仿宋_GBK" w:cs="方正仿宋_GBK"/>
          <w:sz w:val="32"/>
          <w:szCs w:val="32"/>
          <w:shd w:val="clear" w:color="auto" w:fill="FFFFFF"/>
        </w:rPr>
        <w:t>工资发放数额较上年增多</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缴纳社保金额增加。</w:t>
      </w:r>
      <w:r>
        <w:rPr>
          <w:rFonts w:hint="eastAsia" w:eastAsia="仿宋_GB2312" w:cs="Times New Roman"/>
          <w:sz w:val="32"/>
          <w:szCs w:val="32"/>
          <w:lang w:val="en-US" w:eastAsia="zh-CN"/>
        </w:rPr>
        <w:t>公用</w:t>
      </w:r>
      <w:r>
        <w:rPr>
          <w:rFonts w:ascii="方正仿宋_GBK" w:hAnsi="方正仿宋_GBK" w:eastAsia="方正仿宋_GBK" w:cs="方正仿宋_GBK"/>
          <w:sz w:val="32"/>
          <w:szCs w:val="32"/>
          <w:shd w:val="clear" w:color="auto" w:fill="FFFFFF"/>
        </w:rPr>
        <w:t>经费用途主要包括</w:t>
      </w:r>
      <w:r>
        <w:rPr>
          <w:rFonts w:ascii="Times New Roman" w:hAnsi="Times New Roman" w:eastAsia="方正仿宋_GBK" w:cs="Times New Roman"/>
          <w:sz w:val="32"/>
          <w:szCs w:val="32"/>
        </w:rPr>
        <w:t>办公费、宣传费、劳务费、会议费等。</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本部门2024年度无政府性基金预算财政拨款收支。</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本部门2024年度无国有资本经营预算财政拨款支出。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1.47</w:t>
      </w:r>
      <w:r>
        <w:rPr>
          <w:rFonts w:ascii="方正仿宋_GBK" w:hAnsi="方正仿宋_GBK" w:eastAsia="方正仿宋_GBK" w:cs="方正仿宋_GBK"/>
          <w:sz w:val="32"/>
          <w:szCs w:val="32"/>
          <w:shd w:val="clear" w:color="auto" w:fill="FFFFFF"/>
        </w:rPr>
        <w:t>万元，较年初预算数减少1.53万元，下降51.0%，主要原因是</w:t>
      </w:r>
      <w:r>
        <w:rPr>
          <w:rFonts w:hint="eastAsia" w:ascii="方正仿宋_GBK" w:hAnsi="方正仿宋_GBK" w:eastAsia="方正仿宋_GBK" w:cs="方正仿宋_GBK"/>
          <w:sz w:val="32"/>
          <w:szCs w:val="32"/>
          <w:shd w:val="clear" w:color="auto" w:fill="FFFFFF"/>
        </w:rPr>
        <w:t>落实厉行节约规定，压减开支。</w:t>
      </w:r>
      <w:r>
        <w:rPr>
          <w:rFonts w:ascii="方正仿宋_GBK" w:hAnsi="方正仿宋_GBK" w:eastAsia="方正仿宋_GBK" w:cs="方正仿宋_GBK"/>
          <w:sz w:val="32"/>
          <w:szCs w:val="32"/>
          <w:shd w:val="clear" w:color="auto" w:fill="FFFFFF"/>
        </w:rPr>
        <w:t>较上年支出数减少0.55万元，下降27.2%，主要原因是</w:t>
      </w:r>
      <w:r>
        <w:rPr>
          <w:rFonts w:hint="eastAsia" w:ascii="方正仿宋_GBK" w:hAnsi="方正仿宋_GBK" w:eastAsia="方正仿宋_GBK" w:cs="方正仿宋_GBK"/>
          <w:sz w:val="32"/>
          <w:szCs w:val="32"/>
          <w:shd w:val="clear" w:color="auto" w:fill="FFFFFF"/>
        </w:rPr>
        <w:t>落实厉行节约规定，压减开支。</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rPr>
        <w:t>用于履行公务活动机动车辆</w:t>
      </w:r>
      <w:r>
        <w:rPr>
          <w:rFonts w:hint="eastAsia" w:ascii="方正仿宋_GBK" w:hAnsi="方正仿宋_GBK" w:eastAsia="方正仿宋_GBK" w:cs="方正仿宋_GBK"/>
          <w:sz w:val="32"/>
          <w:szCs w:val="32"/>
          <w:shd w:val="clear" w:color="auto" w:fill="FFFFFF"/>
          <w:lang w:val="en-US" w:eastAsia="zh-CN"/>
        </w:rPr>
        <w:t>的运行维护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费用支出较年初预算数减少1.78万元，下降59.3%，主要原因是</w:t>
      </w:r>
      <w:r>
        <w:rPr>
          <w:rFonts w:hint="eastAsia" w:ascii="方正仿宋_GBK" w:hAnsi="方正仿宋_GBK" w:eastAsia="方正仿宋_GBK" w:cs="方正仿宋_GBK"/>
          <w:sz w:val="32"/>
          <w:szCs w:val="32"/>
          <w:shd w:val="clear" w:color="auto" w:fill="FFFFFF"/>
        </w:rPr>
        <w:t>落实厉行节约规定，压减开支。</w:t>
      </w:r>
      <w:r>
        <w:rPr>
          <w:rFonts w:ascii="方正仿宋_GBK" w:hAnsi="方正仿宋_GBK" w:eastAsia="方正仿宋_GBK" w:cs="方正仿宋_GBK"/>
          <w:sz w:val="32"/>
          <w:szCs w:val="32"/>
          <w:shd w:val="clear" w:color="auto" w:fill="FFFFFF"/>
        </w:rPr>
        <w:t>较上年支出数减少0.17万元，下降12.2%，主要原因是</w:t>
      </w:r>
      <w:r>
        <w:rPr>
          <w:rFonts w:hint="eastAsia" w:ascii="方正仿宋_GBK" w:hAnsi="方正仿宋_GBK" w:eastAsia="方正仿宋_GBK" w:cs="方正仿宋_GBK"/>
          <w:sz w:val="32"/>
          <w:szCs w:val="32"/>
          <w:shd w:val="clear" w:color="auto" w:fill="FFFFFF"/>
        </w:rPr>
        <w:t>落实厉行节约规定，压减开支。</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公务活动中产生的合规接待费用</w:t>
      </w:r>
      <w:r>
        <w:rPr>
          <w:rFonts w:hint="eastAsia" w:ascii="方正仿宋_GBK" w:hAnsi="方正仿宋_GBK" w:eastAsia="方正仿宋_GBK" w:cs="方正仿宋_GBK"/>
          <w:sz w:val="32"/>
          <w:szCs w:val="32"/>
          <w:shd w:val="clear" w:color="auto" w:fill="FFFFFF"/>
          <w:lang w:val="en-US" w:eastAsia="zh-CN"/>
        </w:rPr>
        <w:t>如餐饮费、住宿费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费用支出较年初预算数增加0.24万元，增长100.0%，主要原因</w:t>
      </w:r>
      <w:r>
        <w:rPr>
          <w:rFonts w:hint="eastAsia" w:ascii="方正仿宋_GBK" w:hAnsi="方正仿宋_GBK" w:eastAsia="方正仿宋_GBK" w:cs="方正仿宋_GBK"/>
          <w:sz w:val="32"/>
          <w:szCs w:val="32"/>
          <w:shd w:val="clear" w:color="auto" w:fill="FFFFFF"/>
          <w:lang w:val="en-US" w:eastAsia="zh-CN"/>
        </w:rPr>
        <w:t>是接待上级部门检查，当年实际发生公务接待费0.24万元。</w:t>
      </w:r>
      <w:r>
        <w:rPr>
          <w:rFonts w:ascii="方正仿宋_GBK" w:hAnsi="方正仿宋_GBK" w:eastAsia="方正仿宋_GBK" w:cs="方正仿宋_GBK"/>
          <w:sz w:val="32"/>
          <w:szCs w:val="32"/>
          <w:shd w:val="clear" w:color="auto" w:fill="FFFFFF"/>
        </w:rPr>
        <w:t>较上年支出数减少0.38万元，下降61.3%，</w:t>
      </w:r>
      <w:bookmarkStart w:id="1" w:name="OLE_LINK2"/>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落实厉行节约规定，压减开支。</w:t>
      </w:r>
      <w:bookmarkEnd w:id="1"/>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81.40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9.49</w:t>
      </w:r>
      <w:r>
        <w:rPr>
          <w:rFonts w:ascii="方正仿宋_GBK" w:hAnsi="方正仿宋_GBK" w:eastAsia="方正仿宋_GBK" w:cs="方正仿宋_GBK"/>
          <w:sz w:val="32"/>
          <w:szCs w:val="32"/>
          <w:shd w:val="clear" w:color="auto" w:fill="FFFFFF"/>
        </w:rPr>
        <w:t>万元，与2023年度相比，增加9.49万元，增长100.0%，</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sz w:val="32"/>
          <w:szCs w:val="32"/>
          <w:shd w:val="clear" w:color="auto" w:fill="FFFFFF"/>
        </w:rPr>
        <w:t>为推动医疗保障事业发展召开各类工作调研会、研讨会</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万元，与2023年度相比，增加0.09万元，增长42.9%，主要原因是</w:t>
      </w:r>
      <w:r>
        <w:rPr>
          <w:rFonts w:hint="eastAsia" w:ascii="方正仿宋_GBK" w:hAnsi="方正仿宋_GBK" w:eastAsia="方正仿宋_GBK" w:cs="方正仿宋_GBK"/>
          <w:sz w:val="32"/>
          <w:szCs w:val="32"/>
          <w:shd w:val="clear" w:color="auto" w:fill="FFFFFF"/>
        </w:rPr>
        <w:t>为推动医疗保障事业发展召开各类工作调研会、研讨会</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164.51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机关运行经费主要用于开支办公费、劳务费、会议费等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机关运行经费较上年支出数减少11.05万元，下降6.3%，主要原因是</w:t>
      </w:r>
      <w:r>
        <w:rPr>
          <w:rFonts w:hint="eastAsia" w:ascii="方正仿宋_GBK" w:hAnsi="方正仿宋_GBK" w:eastAsia="方正仿宋_GBK" w:cs="方正仿宋_GBK"/>
          <w:sz w:val="32"/>
          <w:szCs w:val="32"/>
          <w:shd w:val="clear" w:color="auto" w:fill="FFFFFF"/>
        </w:rPr>
        <w:t>落实厉行节约规定，压减开支。</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0.58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0.58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0.58万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0.58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复印纸等。</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textAlignment w:val="auto"/>
        <w:rPr>
          <w:rStyle w:val="14"/>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rPr>
        <w:t>根据预算绩效管理要求，我局对部门整体和</w:t>
      </w:r>
      <w:r>
        <w:rPr>
          <w:rFonts w:hint="eastAsia" w:ascii="Times New Roman" w:hAnsi="Times New Roman" w:eastAsia="方正仿宋_GBK"/>
          <w:sz w:val="32"/>
          <w:szCs w:val="32"/>
          <w:lang w:val="en-US" w:eastAsia="zh-CN"/>
        </w:rPr>
        <w:t>8</w:t>
      </w:r>
      <w:r>
        <w:rPr>
          <w:rFonts w:hint="default" w:ascii="Times New Roman" w:hAnsi="Times New Roman" w:eastAsia="方正仿宋_GBK"/>
          <w:sz w:val="32"/>
          <w:szCs w:val="32"/>
        </w:rPr>
        <w:t>个项目开展了绩效自评，其中，以填报目标自评表形式开展自评</w:t>
      </w:r>
      <w:r>
        <w:rPr>
          <w:rFonts w:hint="eastAsia" w:ascii="Times New Roman" w:hAnsi="Times New Roman" w:eastAsia="方正仿宋_GBK"/>
          <w:sz w:val="32"/>
          <w:szCs w:val="32"/>
          <w:lang w:val="en-US" w:eastAsia="zh-CN"/>
        </w:rPr>
        <w:t>8</w:t>
      </w:r>
      <w:r>
        <w:rPr>
          <w:rFonts w:hint="default" w:ascii="Times New Roman" w:hAnsi="Times New Roman" w:eastAsia="方正仿宋_GBK"/>
          <w:sz w:val="32"/>
          <w:szCs w:val="32"/>
        </w:rPr>
        <w:t>项，涉及资金</w:t>
      </w:r>
      <w:r>
        <w:rPr>
          <w:rFonts w:hint="eastAsia" w:ascii="Times New Roman" w:hAnsi="Times New Roman" w:eastAsia="方正仿宋_GBK"/>
          <w:sz w:val="32"/>
          <w:szCs w:val="32"/>
          <w:lang w:val="en-US" w:eastAsia="zh-CN"/>
        </w:rPr>
        <w:t>13242.98</w:t>
      </w:r>
      <w:r>
        <w:rPr>
          <w:rFonts w:hint="default" w:ascii="Times New Roman" w:hAnsi="Times New Roman" w:eastAsia="方正仿宋_GBK"/>
          <w:sz w:val="32"/>
          <w:szCs w:val="32"/>
        </w:rPr>
        <w:t>万元</w:t>
      </w:r>
      <w:r>
        <w:rPr>
          <w:rFonts w:hint="eastAsia" w:ascii="Times New Roman" w:hAnsi="Times New Roman" w:eastAsia="方正仿宋_GBK"/>
          <w:sz w:val="32"/>
          <w:szCs w:val="32"/>
          <w:lang w:eastAsia="zh-CN"/>
        </w:rPr>
        <w:t>。</w:t>
      </w:r>
    </w:p>
    <w:p>
      <w:pPr>
        <w:pStyle w:val="13"/>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我部门</w:t>
      </w:r>
      <w:r>
        <w:rPr>
          <w:rFonts w:hint="eastAsia" w:ascii="方正仿宋_GBK" w:hAnsi="方正仿宋_GBK" w:eastAsia="方正仿宋_GBK" w:cs="方正仿宋_GBK"/>
          <w:sz w:val="32"/>
          <w:szCs w:val="32"/>
          <w:shd w:val="clear" w:color="auto" w:fill="FFFFFF"/>
          <w:lang w:val="en-US" w:eastAsia="zh-CN"/>
        </w:rPr>
        <w:t>未委托第三方</w:t>
      </w:r>
      <w:r>
        <w:rPr>
          <w:rFonts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default" w:ascii="方正仿宋_GBK" w:hAnsi="方正仿宋_GBK" w:eastAsia="方正仿宋_GBK" w:cs="方正仿宋_GBK"/>
          <w:sz w:val="32"/>
          <w:szCs w:val="32"/>
          <w:shd w:val="clear" w:color="auto" w:fill="FFFFFF"/>
        </w:rPr>
      </w:pPr>
      <w:bookmarkStart w:id="2" w:name="OLE_LINK3"/>
      <w:r>
        <w:rPr>
          <w:rFonts w:ascii="方正仿宋_GBK" w:hAnsi="方正仿宋_GBK" w:eastAsia="方正仿宋_GBK" w:cs="方正仿宋_GBK"/>
          <w:sz w:val="32"/>
          <w:szCs w:val="32"/>
          <w:shd w:val="clear" w:color="auto" w:fill="FFFFFF"/>
        </w:rPr>
        <w:t>区财政局</w:t>
      </w:r>
      <w:r>
        <w:rPr>
          <w:rFonts w:hint="eastAsia" w:ascii="方正仿宋_GBK" w:hAnsi="方正仿宋_GBK" w:eastAsia="方正仿宋_GBK" w:cs="方正仿宋_GBK"/>
          <w:sz w:val="32"/>
          <w:szCs w:val="32"/>
          <w:shd w:val="clear" w:color="auto" w:fill="FFFFFF"/>
          <w:lang w:val="en-US" w:eastAsia="zh-CN"/>
        </w:rPr>
        <w:t>未委托第三方</w:t>
      </w:r>
      <w:r>
        <w:rPr>
          <w:rFonts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bookmarkEnd w:id="2"/>
    <w:p>
      <w:pPr>
        <w:pStyle w:val="13"/>
        <w:keepNext w:val="0"/>
        <w:keepLines w:val="0"/>
        <w:pageBreakBefore w:val="0"/>
        <w:widowControl/>
        <w:kinsoku/>
        <w:wordWrap/>
        <w:overflowPunct/>
        <w:topLinePunct w:val="0"/>
        <w:autoSpaceDE w:val="0"/>
        <w:autoSpaceDN/>
        <w:bidi w:val="0"/>
        <w:adjustRightInd/>
        <w:spacing w:before="0" w:beforeAutospacing="0" w:after="0" w:afterAutospacing="0" w:line="594" w:lineRule="exact"/>
        <w:textAlignment w:val="auto"/>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 xml:space="preserve"> 023-63551115</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jc w:val="both"/>
        <w:textAlignment w:val="auto"/>
        <w:rPr>
          <w:rStyle w:val="11"/>
          <w:rFonts w:ascii="方正仿宋_GBK" w:hAnsi="方正仿宋_GBK" w:eastAsia="方正仿宋_GBK" w:cs="方正仿宋_GBK"/>
          <w:sz w:val="32"/>
          <w:szCs w:val="32"/>
          <w:shd w:val="clear" w:color="auto" w:fill="FFFF00"/>
        </w:rPr>
      </w:pP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6840" w:h="11915" w:orient="landscape"/>
          <w:pgMar w:top="1800" w:right="1440" w:bottom="1800" w:left="144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重庆市渝中区医疗保障局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14,226.40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14,226.40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14,226.40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14,226.40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u w:color="auto"/>
              </w:rPr>
              <w:t>重庆市渝中区医疗保障局</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14,226.40</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14,226.40</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6,382.63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6,382.63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重庆市渝中区医疗保障局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14,226.40</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983.42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13,242.98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13,242.67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6,382.63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6,330.43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505.24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重庆市渝中区医疗保障局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14,226.40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983.42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13,242.98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14,034.00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13,242.67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6,382.63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6,330.43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739.13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505.24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739.13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739.13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重庆市渝中区医疗保障局</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798.52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重庆市渝中区医疗保障局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184.90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164.51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36BDC"/>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482E13"/>
    <w:rsid w:val="0969353F"/>
    <w:rsid w:val="098305D0"/>
    <w:rsid w:val="098A0877"/>
    <w:rsid w:val="0A5C4B69"/>
    <w:rsid w:val="0A86124A"/>
    <w:rsid w:val="0AB54CC0"/>
    <w:rsid w:val="0B9335CE"/>
    <w:rsid w:val="0C7927C4"/>
    <w:rsid w:val="0C9B098C"/>
    <w:rsid w:val="0CB30B95"/>
    <w:rsid w:val="0D673E11"/>
    <w:rsid w:val="0DDA54E4"/>
    <w:rsid w:val="0E084ABF"/>
    <w:rsid w:val="0E3A5F83"/>
    <w:rsid w:val="0E74421A"/>
    <w:rsid w:val="0EA46639"/>
    <w:rsid w:val="0EC6180C"/>
    <w:rsid w:val="0F497FB6"/>
    <w:rsid w:val="0F752A3A"/>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68E2C18"/>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06674"/>
    <w:rsid w:val="1F4B0B02"/>
    <w:rsid w:val="1FBB35CD"/>
    <w:rsid w:val="1FCD26AF"/>
    <w:rsid w:val="20642787"/>
    <w:rsid w:val="208C237D"/>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02DAD"/>
    <w:rsid w:val="2B167953"/>
    <w:rsid w:val="2B200583"/>
    <w:rsid w:val="2B220436"/>
    <w:rsid w:val="2B8209DE"/>
    <w:rsid w:val="2BE53302"/>
    <w:rsid w:val="2C6762A3"/>
    <w:rsid w:val="2DA90959"/>
    <w:rsid w:val="2DC750DF"/>
    <w:rsid w:val="2EBF7B3E"/>
    <w:rsid w:val="2EDE1934"/>
    <w:rsid w:val="2FCA4B37"/>
    <w:rsid w:val="2FE029D7"/>
    <w:rsid w:val="2FF06E00"/>
    <w:rsid w:val="302C2CD7"/>
    <w:rsid w:val="30562E26"/>
    <w:rsid w:val="30586FEC"/>
    <w:rsid w:val="30EC7046"/>
    <w:rsid w:val="31381A24"/>
    <w:rsid w:val="315F0B22"/>
    <w:rsid w:val="319D022C"/>
    <w:rsid w:val="31C90022"/>
    <w:rsid w:val="31D84415"/>
    <w:rsid w:val="32285F6F"/>
    <w:rsid w:val="32770556"/>
    <w:rsid w:val="329C0913"/>
    <w:rsid w:val="32AA0460"/>
    <w:rsid w:val="3337290D"/>
    <w:rsid w:val="338B2E7E"/>
    <w:rsid w:val="33E31118"/>
    <w:rsid w:val="33EF7674"/>
    <w:rsid w:val="342D7BC6"/>
    <w:rsid w:val="34475F39"/>
    <w:rsid w:val="352930DB"/>
    <w:rsid w:val="35573069"/>
    <w:rsid w:val="355F6038"/>
    <w:rsid w:val="358C217E"/>
    <w:rsid w:val="35937598"/>
    <w:rsid w:val="35D270FC"/>
    <w:rsid w:val="36C9128A"/>
    <w:rsid w:val="372E3953"/>
    <w:rsid w:val="37841E99"/>
    <w:rsid w:val="37BF1123"/>
    <w:rsid w:val="383C3F15"/>
    <w:rsid w:val="38BE4696"/>
    <w:rsid w:val="3939115E"/>
    <w:rsid w:val="39B82A39"/>
    <w:rsid w:val="39BB1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6536BF"/>
    <w:rsid w:val="3E7555B1"/>
    <w:rsid w:val="3E787ED9"/>
    <w:rsid w:val="3EEC37F3"/>
    <w:rsid w:val="3F032E93"/>
    <w:rsid w:val="3F0527E5"/>
    <w:rsid w:val="3F4814B0"/>
    <w:rsid w:val="3F5E5D98"/>
    <w:rsid w:val="3F694D83"/>
    <w:rsid w:val="3F6A0F14"/>
    <w:rsid w:val="3F885DCC"/>
    <w:rsid w:val="3FCD675E"/>
    <w:rsid w:val="3FD86860"/>
    <w:rsid w:val="4004000C"/>
    <w:rsid w:val="40D54604"/>
    <w:rsid w:val="411B6CE5"/>
    <w:rsid w:val="412070D7"/>
    <w:rsid w:val="41314E40"/>
    <w:rsid w:val="41E0734B"/>
    <w:rsid w:val="426554D0"/>
    <w:rsid w:val="426C1EA8"/>
    <w:rsid w:val="42736402"/>
    <w:rsid w:val="42E86A87"/>
    <w:rsid w:val="43126C3E"/>
    <w:rsid w:val="43307B09"/>
    <w:rsid w:val="43470647"/>
    <w:rsid w:val="438D0E97"/>
    <w:rsid w:val="43BB152F"/>
    <w:rsid w:val="44494994"/>
    <w:rsid w:val="44C37687"/>
    <w:rsid w:val="45CB699A"/>
    <w:rsid w:val="465B470D"/>
    <w:rsid w:val="469D6AD4"/>
    <w:rsid w:val="471E6C84"/>
    <w:rsid w:val="4748792B"/>
    <w:rsid w:val="475A732B"/>
    <w:rsid w:val="475D719D"/>
    <w:rsid w:val="47674801"/>
    <w:rsid w:val="47882112"/>
    <w:rsid w:val="48225EF7"/>
    <w:rsid w:val="488F422B"/>
    <w:rsid w:val="48E36915"/>
    <w:rsid w:val="495C4A24"/>
    <w:rsid w:val="497135DF"/>
    <w:rsid w:val="4A1605D9"/>
    <w:rsid w:val="4A263DF2"/>
    <w:rsid w:val="4A6F6675"/>
    <w:rsid w:val="4ABF0746"/>
    <w:rsid w:val="4B0502DF"/>
    <w:rsid w:val="4B135857"/>
    <w:rsid w:val="4B7951CB"/>
    <w:rsid w:val="4B7C315C"/>
    <w:rsid w:val="4CCF773C"/>
    <w:rsid w:val="4D7D3384"/>
    <w:rsid w:val="4DAC4ACA"/>
    <w:rsid w:val="4DBE01D2"/>
    <w:rsid w:val="4EC92552"/>
    <w:rsid w:val="4EFC6D10"/>
    <w:rsid w:val="4F0C6BA3"/>
    <w:rsid w:val="4F10477D"/>
    <w:rsid w:val="4F186D58"/>
    <w:rsid w:val="4FEA65B7"/>
    <w:rsid w:val="5042146E"/>
    <w:rsid w:val="50F06B6E"/>
    <w:rsid w:val="51B70892"/>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104F09"/>
    <w:rsid w:val="5F2D4A41"/>
    <w:rsid w:val="60C74F6C"/>
    <w:rsid w:val="61025A59"/>
    <w:rsid w:val="613D5BBC"/>
    <w:rsid w:val="61536C39"/>
    <w:rsid w:val="61E64F4A"/>
    <w:rsid w:val="62010D4D"/>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08707C"/>
    <w:rsid w:val="6D41707F"/>
    <w:rsid w:val="6D903FF5"/>
    <w:rsid w:val="6D9B2B16"/>
    <w:rsid w:val="6DA955B8"/>
    <w:rsid w:val="6DE346AB"/>
    <w:rsid w:val="6DE5391A"/>
    <w:rsid w:val="6EFD1324"/>
    <w:rsid w:val="6F5A53AC"/>
    <w:rsid w:val="6FAC003D"/>
    <w:rsid w:val="6FE55E12"/>
    <w:rsid w:val="6FFB2E76"/>
    <w:rsid w:val="708F6F7F"/>
    <w:rsid w:val="70D456A0"/>
    <w:rsid w:val="70D94BD3"/>
    <w:rsid w:val="71520131"/>
    <w:rsid w:val="71C34D91"/>
    <w:rsid w:val="71F861A0"/>
    <w:rsid w:val="72DB435C"/>
    <w:rsid w:val="72E2613A"/>
    <w:rsid w:val="72F771F4"/>
    <w:rsid w:val="734150D5"/>
    <w:rsid w:val="736650B0"/>
    <w:rsid w:val="73934AD2"/>
    <w:rsid w:val="750837F0"/>
    <w:rsid w:val="754758CF"/>
    <w:rsid w:val="761275E6"/>
    <w:rsid w:val="764F62AB"/>
    <w:rsid w:val="765C45EC"/>
    <w:rsid w:val="766157A6"/>
    <w:rsid w:val="768A7619"/>
    <w:rsid w:val="76AA36E6"/>
    <w:rsid w:val="772E1EBA"/>
    <w:rsid w:val="77303AE2"/>
    <w:rsid w:val="77EB79F7"/>
    <w:rsid w:val="796D60A4"/>
    <w:rsid w:val="797B5841"/>
    <w:rsid w:val="79A031D5"/>
    <w:rsid w:val="7A1525F7"/>
    <w:rsid w:val="7A2F078E"/>
    <w:rsid w:val="7B420052"/>
    <w:rsid w:val="7B5931B3"/>
    <w:rsid w:val="7B861484"/>
    <w:rsid w:val="7BD06A28"/>
    <w:rsid w:val="7C3A7C0B"/>
    <w:rsid w:val="7C5248E4"/>
    <w:rsid w:val="7C566698"/>
    <w:rsid w:val="7C5866A3"/>
    <w:rsid w:val="7CA12887"/>
    <w:rsid w:val="7CBE2F89"/>
    <w:rsid w:val="7D7406BB"/>
    <w:rsid w:val="7DE94331"/>
    <w:rsid w:val="7E5413C6"/>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TotalTime>1</TotalTime>
  <ScaleCrop>false</ScaleCrop>
  <LinksUpToDate>false</LinksUpToDate>
  <CharactersWithSpaces>26968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2025-10-16T06:53:58Z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642F6BE94A3247B887EF823429A39346_13</vt:lpwstr>
  </property>
  <property fmtid="{D5CDD505-2E9C-101B-9397-08002B2CF9AE}" pid="4" name="KSOTemplateDocerSaveRecord">
    <vt:lpwstr>eyJoZGlkIjoiMDUwMjYyMTAwZTM5NTcxOGVhNzI3YWZjMDRhMjZkZDEifQ==</vt:lpwstr>
  </property>
</Properties>
</file>