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bookmarkStart w:id="0" w:name="_GoBack"/>
      <w:bookmarkEnd w:id="0"/>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重庆市渝中区医疗保障事务中心</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一、部门基本情况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cs="Times New Roman"/>
          <w:sz w:val="32"/>
          <w:szCs w:val="32"/>
          <w:highlight w:val="none"/>
        </w:rPr>
        <w:t>贯彻执行国家医疗保险、生育保险、医疗救助等医疗保障制度的法律、政策、规划、标准和医疗保障地方性法规、规章及相关政策、规划、标准；组织实施医疗保障基金监督管理办法和支付方式改革，建立健全医疗保障基金安全防控机制，监督管理区医疗保障基金；贯彻执行医疗保障筹资和待遇政策及城乡医疗保障待遇标准；组织实施药品、医用耗材、医疗服务项目、医疗服务设施等地方医保目录和支付标准；组织实施药品、医用耗材价格和医疗服务项目、医疗服务设施收费等政策；落实价格信息监测和信息发布制度；执行药品、医用耗材的招标采购政策；组织实施定点医药机构协议和支付管理办法。执行医疗保障信用评价体系和信息披露制度，监督管理全区纳入医保范围的医疗服务行为和医疗费用，依法查处医疗保障领域违法违规行为；负责全区医疗保障经办管理、公共服务体系和信息化建设；组织实施异地就医管理和费用结算政策；执行医疗保障关系转移接续制度；完成区委、区政府交办的其他任务。</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渝中区医疗保障局下属事业单位渝中区医疗保障事务中心现设有综合科（统计信息档案科）、基金财务科、参保工作科、医疗待遇一科、医疗待遇二科、特定人员管理科、医药机构服务科、稽核督查科共8个科室。</w:t>
      </w:r>
      <w:r>
        <w:rPr>
          <w:rFonts w:hint="eastAsia" w:ascii="Times New Roman" w:hAnsi="Times New Roman" w:eastAsia="方正仿宋_GBK"/>
          <w:kern w:val="0"/>
          <w:sz w:val="32"/>
          <w:szCs w:val="32"/>
        </w:rPr>
        <w:t>截至202</w:t>
      </w:r>
      <w:r>
        <w:rPr>
          <w:rFonts w:hint="eastAsia" w:eastAsia="方正仿宋_GBK"/>
          <w:kern w:val="0"/>
          <w:sz w:val="32"/>
          <w:szCs w:val="32"/>
          <w:lang w:val="en-US" w:eastAsia="zh-CN"/>
        </w:rPr>
        <w:t>4</w:t>
      </w:r>
      <w:r>
        <w:rPr>
          <w:rFonts w:hint="eastAsia" w:ascii="Times New Roman" w:hAnsi="Times New Roman" w:eastAsia="方正仿宋_GBK"/>
          <w:kern w:val="0"/>
          <w:sz w:val="32"/>
          <w:szCs w:val="32"/>
        </w:rPr>
        <w:t>年12月</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lang w:val="en-US" w:eastAsia="zh-CN"/>
        </w:rPr>
        <w:t>渝中</w:t>
      </w:r>
      <w:r>
        <w:rPr>
          <w:rFonts w:hint="eastAsia" w:ascii="Times New Roman" w:hAnsi="Times New Roman" w:eastAsia="方正仿宋_GBK"/>
          <w:kern w:val="0"/>
          <w:sz w:val="32"/>
          <w:szCs w:val="32"/>
        </w:rPr>
        <w:t>区医保</w:t>
      </w:r>
      <w:r>
        <w:rPr>
          <w:rFonts w:hint="eastAsia" w:ascii="仿宋_GB2312" w:hAnsi="仿宋" w:eastAsia="仿宋_GB2312" w:cs="Times New Roman"/>
          <w:sz w:val="32"/>
          <w:szCs w:val="32"/>
          <w:highlight w:val="none"/>
        </w:rPr>
        <w:t>中心在编32人（其中副处1人、四级调研员1人，一级主任科员 (科长)10人、二级主任科员（科长）8人、三级主任科员6人，四级主任科员3人，一级科员2人，新招录1人）退休人员2人，聘用人员27人，其中医保经办窗口工作人员26人，执法车辆驾驶员1人。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2024年度收入总计502.28万元，支出总计</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万元。收、支与2023年度相比，增加502.28万元，增长100.0%，主要原因是</w:t>
      </w:r>
      <w:r>
        <w:rPr>
          <w:rFonts w:hint="eastAsia" w:ascii="仿宋_GB2312" w:hAnsi="仿宋" w:eastAsia="仿宋_GB2312"/>
          <w:sz w:val="32"/>
          <w:szCs w:val="32"/>
          <w:highlight w:val="none"/>
        </w:rPr>
        <w:t>主要原因</w:t>
      </w:r>
      <w:r>
        <w:rPr>
          <w:rFonts w:hint="eastAsia" w:ascii="仿宋_GB2312" w:hAnsi="仿宋" w:eastAsia="仿宋_GB2312"/>
          <w:sz w:val="32"/>
          <w:szCs w:val="32"/>
          <w:highlight w:val="none"/>
          <w:lang w:val="en-US" w:eastAsia="zh-CN"/>
        </w:rPr>
        <w:t>一</w:t>
      </w:r>
      <w:r>
        <w:rPr>
          <w:rFonts w:hint="eastAsia" w:ascii="仿宋_GB2312" w:hAnsi="仿宋" w:eastAsia="仿宋_GB2312"/>
          <w:sz w:val="32"/>
          <w:szCs w:val="32"/>
          <w:highlight w:val="none"/>
        </w:rPr>
        <w:t>是2024年</w:t>
      </w:r>
      <w:r>
        <w:rPr>
          <w:rFonts w:hint="eastAsia" w:ascii="仿宋_GB2312" w:hAnsi="仿宋" w:eastAsia="仿宋_GB2312"/>
          <w:sz w:val="32"/>
          <w:szCs w:val="32"/>
          <w:highlight w:val="none"/>
          <w:lang w:val="en-US" w:eastAsia="zh-CN"/>
        </w:rPr>
        <w:t>3月</w:t>
      </w:r>
      <w:r>
        <w:rPr>
          <w:rFonts w:hint="eastAsia" w:ascii="仿宋_GB2312" w:hAnsi="仿宋" w:eastAsia="仿宋_GB2312"/>
          <w:sz w:val="32"/>
          <w:szCs w:val="32"/>
          <w:highlight w:val="none"/>
        </w:rPr>
        <w:t>起二级单位分开预决算，中心人员经费由二级单位编制；二是人员变动，参公事业人员32名，比上年增加2名，</w:t>
      </w:r>
      <w:r>
        <w:rPr>
          <w:rFonts w:hint="eastAsia" w:ascii="仿宋_GB2312" w:hAnsi="仿宋" w:eastAsia="仿宋_GB2312"/>
          <w:sz w:val="32"/>
          <w:szCs w:val="32"/>
          <w:highlight w:val="none"/>
          <w:lang w:val="en-US" w:eastAsia="zh-CN"/>
        </w:rPr>
        <w:t>为</w:t>
      </w:r>
      <w:r>
        <w:rPr>
          <w:rFonts w:hint="eastAsia" w:ascii="仿宋_GB2312" w:hAnsi="仿宋" w:eastAsia="仿宋_GB2312"/>
          <w:sz w:val="32"/>
          <w:szCs w:val="32"/>
          <w:highlight w:val="none"/>
        </w:rPr>
        <w:t>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2024年度收入合计502.28万元，与2023年度相比，增加502.28万元，增长100.0%，</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方正仿宋_GBK" w:eastAsia="方正仿宋_GBK" w:cs="方正仿宋_GBK"/>
          <w:sz w:val="32"/>
          <w:szCs w:val="32"/>
          <w:shd w:val="clear" w:color="auto" w:fill="FFFFFF"/>
        </w:rPr>
        <w:t>是2024年</w:t>
      </w:r>
      <w:r>
        <w:rPr>
          <w:rFonts w:hint="eastAsia" w:ascii="方正仿宋_GBK" w:hAnsi="方正仿宋_GBK" w:eastAsia="方正仿宋_GBK" w:cs="方正仿宋_GBK"/>
          <w:sz w:val="32"/>
          <w:szCs w:val="32"/>
          <w:shd w:val="clear" w:color="auto" w:fill="FFFFFF"/>
          <w:lang w:val="en-US" w:eastAsia="zh-CN"/>
        </w:rPr>
        <w:t>3月</w:t>
      </w:r>
      <w:r>
        <w:rPr>
          <w:rFonts w:hint="eastAsia" w:ascii="方正仿宋_GBK" w:hAnsi="方正仿宋_GBK" w:eastAsia="方正仿宋_GBK" w:cs="方正仿宋_GBK"/>
          <w:sz w:val="32"/>
          <w:szCs w:val="32"/>
          <w:shd w:val="clear" w:color="auto" w:fill="FFFFFF"/>
        </w:rPr>
        <w:t>起二级单位分开预决算，中心人员经费由二级单位编制；二是人员变动，参公事业人员32名，比上年增加2名，</w:t>
      </w:r>
      <w:r>
        <w:rPr>
          <w:rFonts w:hint="eastAsia" w:ascii="方正仿宋_GBK" w:hAnsi="方正仿宋_GBK" w:eastAsia="方正仿宋_GBK" w:cs="方正仿宋_GBK"/>
          <w:sz w:val="32"/>
          <w:szCs w:val="32"/>
          <w:shd w:val="clear" w:color="auto" w:fill="FFFFFF"/>
          <w:lang w:val="en-US" w:eastAsia="zh-CN"/>
        </w:rPr>
        <w:t>为</w:t>
      </w:r>
      <w:r>
        <w:rPr>
          <w:rFonts w:hint="eastAsia" w:ascii="方正仿宋_GBK" w:hAnsi="方正仿宋_GBK" w:eastAsia="方正仿宋_GBK" w:cs="方正仿宋_GBK"/>
          <w:sz w:val="32"/>
          <w:szCs w:val="32"/>
          <w:shd w:val="clear" w:color="auto" w:fill="FFFFFF"/>
        </w:rPr>
        <w:t>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其中：财政拨款收入502.28万元，占100.00%；事业收入0.00万元，占0.00%；经营收入0.00万元，占0.00%；其他收入0.00万元，占0.00%。此外，使用非财政拨款结余和专用结余0.00万元，年初结转和结余0.00万元。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万元，与2023年度相比，增加502.28万元，增长100.0%，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2024年度财政拨款收、支总计502.28万元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与2023年相比，增长100.0%。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万元，与2023年度相比，增加502.28万元，增长100.0%。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较年初预算数增加502.28万元，增长100.0%。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万元，与2023年度相比，增加502.28万元，增长100.0%。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较年初预算数增加502.28万元，增长100.0%。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73.26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14.59</w:t>
      </w:r>
      <w:r>
        <w:rPr>
          <w:rFonts w:ascii="方正仿宋_GBK" w:hAnsi="方正仿宋_GBK" w:eastAsia="方正仿宋_GBK" w:cs="方正仿宋_GBK"/>
          <w:sz w:val="32"/>
          <w:szCs w:val="32"/>
          <w:shd w:val="clear" w:color="auto" w:fill="FFFFFF"/>
        </w:rPr>
        <w:t>%，较年初预算数增加73.26万元，增长100.0%，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373.67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74.40</w:t>
      </w:r>
      <w:r>
        <w:rPr>
          <w:rFonts w:ascii="方正仿宋_GBK" w:hAnsi="方正仿宋_GBK" w:eastAsia="方正仿宋_GBK" w:cs="方正仿宋_GBK"/>
          <w:sz w:val="32"/>
          <w:szCs w:val="32"/>
          <w:shd w:val="clear" w:color="auto" w:fill="FFFFFF"/>
        </w:rPr>
        <w:t>%，较年初预算数增加373.67万元，增长100.0%，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住房保障支出55.34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11.02</w:t>
      </w:r>
      <w:r>
        <w:rPr>
          <w:rFonts w:ascii="方正仿宋_GBK" w:hAnsi="方正仿宋_GBK" w:eastAsia="方正仿宋_GBK" w:cs="方正仿宋_GBK"/>
          <w:sz w:val="32"/>
          <w:szCs w:val="32"/>
          <w:shd w:val="clear" w:color="auto" w:fill="FFFFFF"/>
        </w:rPr>
        <w:t>%，较年初预算数增加55.34万元，增长100.0%，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502.28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481.89</w:t>
      </w:r>
      <w:r>
        <w:rPr>
          <w:rFonts w:ascii="方正仿宋_GBK" w:hAnsi="方正仿宋_GBK" w:eastAsia="方正仿宋_GBK" w:cs="方正仿宋_GBK"/>
          <w:sz w:val="32"/>
          <w:szCs w:val="32"/>
          <w:shd w:val="clear" w:color="auto" w:fill="FFFFFF"/>
        </w:rPr>
        <w:t>万元，与2023年度相比，增加481.89万元，增长100.0%，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cs="Times New Roman"/>
          <w:sz w:val="32"/>
          <w:szCs w:val="32"/>
        </w:rPr>
        <w:t>单位职工工资、津补贴、社保、公积金等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20.39</w:t>
      </w:r>
      <w:r>
        <w:rPr>
          <w:rFonts w:ascii="方正仿宋_GBK" w:hAnsi="方正仿宋_GBK" w:eastAsia="方正仿宋_GBK" w:cs="方正仿宋_GBK"/>
          <w:sz w:val="32"/>
          <w:szCs w:val="32"/>
          <w:shd w:val="clear" w:color="auto" w:fill="FFFFFF"/>
        </w:rPr>
        <w:t>万元，与2023年度相比，增加20.39万元，增长100.0%，</w:t>
      </w:r>
      <w:r>
        <w:rPr>
          <w:rFonts w:hint="eastAsia" w:ascii="方正仿宋_GBK" w:hAnsi="方正仿宋_GBK" w:eastAsia="方正仿宋_GBK" w:cs="方正仿宋_GBK"/>
          <w:sz w:val="32"/>
          <w:szCs w:val="32"/>
          <w:shd w:val="clear" w:color="auto" w:fill="FFFFFF"/>
        </w:rPr>
        <w:t>主要原因一是2024年3月起二级单位分开预决算，中心人员经费由二级单位编制；二是人员变动，参公事业人员32名，比上年增加2名，为不断加强医疗保障工作队伍建设，2024年新增公招、遴选人员共2名，配齐配强人员队伍。</w:t>
      </w:r>
      <w:r>
        <w:rPr>
          <w:rFonts w:hint="eastAsia" w:eastAsia="仿宋_GB2312" w:cs="Times New Roman"/>
          <w:sz w:val="32"/>
          <w:szCs w:val="32"/>
          <w:lang w:val="en-US" w:eastAsia="zh-CN"/>
        </w:rPr>
        <w:t>公用</w:t>
      </w:r>
      <w:r>
        <w:rPr>
          <w:rFonts w:ascii="方正仿宋_GBK" w:hAnsi="方正仿宋_GBK" w:eastAsia="方正仿宋_GBK" w:cs="方正仿宋_GBK"/>
          <w:sz w:val="32"/>
          <w:szCs w:val="32"/>
          <w:shd w:val="clear" w:color="auto" w:fill="FFFFFF"/>
        </w:rPr>
        <w:t>经费用途主要包括</w:t>
      </w:r>
      <w:r>
        <w:rPr>
          <w:rFonts w:ascii="Times New Roman" w:hAnsi="Times New Roman" w:eastAsia="方正仿宋_GBK" w:cs="Times New Roman"/>
          <w:sz w:val="32"/>
          <w:szCs w:val="32"/>
        </w:rPr>
        <w:t>办公费、宣传费、劳务费、会议费等。</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20.39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机关运行经费主要用于开支办公费、劳务费、会议费等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机关运行经费较上年支出数增加20.39万元，增长100.0%，主要原因是</w:t>
      </w:r>
      <w:r>
        <w:rPr>
          <w:rFonts w:hint="eastAsia" w:ascii="方正仿宋_GBK" w:hAnsi="方正仿宋_GBK" w:eastAsia="方正仿宋_GBK" w:cs="方正仿宋_GBK"/>
          <w:sz w:val="32"/>
          <w:szCs w:val="32"/>
          <w:shd w:val="clear" w:color="auto" w:fill="FFFFFF"/>
        </w:rPr>
        <w:t>2024年3月起二级单位分开预决算，中心人员经费由二级单位编制</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1280" w:firstLineChars="4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keepNext w:val="0"/>
        <w:keepLines w:val="0"/>
        <w:pageBreakBefore w:val="0"/>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7"/>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textAlignment w:val="auto"/>
        <w:rPr>
          <w:rStyle w:val="14"/>
          <w:rFonts w:hint="eastAsia"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rPr>
        <w:t>根据预算绩效管理要求，我局对部门整体和</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rPr>
        <w:t>个项目开展了绩效自评，其中，以填报目标自评表形式开展自评</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0</w:t>
      </w:r>
      <w:r>
        <w:rPr>
          <w:rFonts w:hint="default" w:ascii="Times New Roman" w:hAnsi="Times New Roman" w:eastAsia="方正仿宋_GBK"/>
          <w:sz w:val="32"/>
          <w:szCs w:val="32"/>
        </w:rPr>
        <w:t>万元</w:t>
      </w:r>
    </w:p>
    <w:p>
      <w:pPr>
        <w:pStyle w:val="13"/>
        <w:keepNext w:val="0"/>
        <w:keepLines w:val="0"/>
        <w:pageBreakBefore w:val="0"/>
        <w:kinsoku/>
        <w:wordWrap/>
        <w:overflowPunct/>
        <w:topLinePunct w:val="0"/>
        <w:autoSpaceDE w:val="0"/>
        <w:autoSpaceDN/>
        <w:bidi w:val="0"/>
        <w:adjustRightInd/>
        <w:spacing w:before="0" w:beforeAutospacing="0" w:after="0" w:afterAutospacing="0" w:line="594"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7"/>
        <w:keepNext w:val="0"/>
        <w:keepLines w:val="0"/>
        <w:pageBreakBefore w:val="0"/>
        <w:kinsoku/>
        <w:wordWrap/>
        <w:overflowPunct/>
        <w:topLinePunct w:val="0"/>
        <w:autoSpaceDE w:val="0"/>
        <w:autoSpaceDN/>
        <w:bidi w:val="0"/>
        <w:adjustRightInd/>
        <w:spacing w:beforeAutospacing="0" w:afterAutospacing="0" w:line="594" w:lineRule="exact"/>
        <w:ind w:firstLine="64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我部门</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7"/>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7"/>
        <w:keepNext w:val="0"/>
        <w:keepLines w:val="0"/>
        <w:pageBreakBefore w:val="0"/>
        <w:kinsoku/>
        <w:wordWrap/>
        <w:overflowPunct/>
        <w:topLinePunct w:val="0"/>
        <w:autoSpaceDE w:val="0"/>
        <w:autoSpaceDN/>
        <w:bidi w:val="0"/>
        <w:adjustRightInd/>
        <w:spacing w:beforeAutospacing="0" w:afterAutospacing="0" w:line="594"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区财政局</w:t>
      </w:r>
      <w:r>
        <w:rPr>
          <w:rFonts w:hint="eastAsia" w:ascii="方正仿宋_GBK" w:hAnsi="方正仿宋_GBK" w:eastAsia="方正仿宋_GBK" w:cs="方正仿宋_GBK"/>
          <w:sz w:val="32"/>
          <w:szCs w:val="32"/>
          <w:shd w:val="clear" w:color="auto" w:fill="FFFFFF"/>
          <w:lang w:val="en-US" w:eastAsia="zh-CN"/>
        </w:rPr>
        <w:t>未委托第三方</w:t>
      </w:r>
      <w:r>
        <w:rPr>
          <w:rFonts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kinsoku/>
        <w:wordWrap/>
        <w:overflowPunct/>
        <w:topLinePunct w:val="0"/>
        <w:autoSpaceDE w:val="0"/>
        <w:autoSpaceDN/>
        <w:bidi w:val="0"/>
        <w:adjustRightInd/>
        <w:spacing w:before="0" w:beforeAutospacing="0" w:after="0" w:afterAutospacing="0" w:line="594" w:lineRule="exact"/>
        <w:textAlignment w:val="auto"/>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kinsoku/>
        <w:wordWrap/>
        <w:overflowPunct/>
        <w:topLinePunct w:val="0"/>
        <w:autoSpaceDN/>
        <w:bidi w:val="0"/>
        <w:adjustRightInd/>
        <w:spacing w:before="0" w:beforeAutospacing="0" w:after="0" w:afterAutospacing="0" w:line="594" w:lineRule="exact"/>
        <w:ind w:firstLine="643" w:firstLineChars="200"/>
        <w:textAlignment w:val="auto"/>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keepNext w:val="0"/>
        <w:keepLines w:val="0"/>
        <w:pageBreakBefore w:val="0"/>
        <w:kinsoku/>
        <w:wordWrap/>
        <w:overflowPunct/>
        <w:topLinePunct w:val="0"/>
        <w:autoSpaceDN/>
        <w:bidi w:val="0"/>
        <w:adjustRightInd/>
        <w:spacing w:before="0" w:beforeAutospacing="0" w:after="0" w:afterAutospacing="0" w:line="594"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 xml:space="preserve"> 023-63551115</w:t>
      </w:r>
    </w:p>
    <w:p>
      <w:pPr>
        <w:pStyle w:val="12"/>
        <w:autoSpaceDE w:val="0"/>
        <w:spacing w:line="596" w:lineRule="exact"/>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jc w:val="both"/>
        <w:rPr>
          <w:rStyle w:val="11"/>
          <w:rFonts w:ascii="方正仿宋_GBK" w:hAnsi="方正仿宋_GBK" w:eastAsia="方正仿宋_GBK" w:cs="方正仿宋_GBK"/>
          <w:sz w:val="32"/>
          <w:szCs w:val="32"/>
          <w:shd w:val="clear" w:color="auto" w:fill="FFFF00"/>
        </w:rPr>
        <w:sectPr>
          <w:footerReference r:id="rId3" w:type="default"/>
          <w:pgSz w:w="16840" w:h="11915" w:orient="landscape"/>
          <w:pgMar w:top="1800" w:right="1440" w:bottom="1800" w:left="144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重庆市渝中区医疗保障事务中心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73.26</w:t>
            </w: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502.28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u w:color="auto"/>
              </w:rPr>
              <w:t>重庆市渝中区医疗保障事务中心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重庆市渝中区医疗保障事务中心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502.28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重庆市渝中区医疗保障事务中心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481.89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重庆市渝中区医疗保障事务中心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重庆市渝中区医疗保障事务中心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DE53C9"/>
    <w:rsid w:val="03E3214F"/>
    <w:rsid w:val="044C50BA"/>
    <w:rsid w:val="05BC6D49"/>
    <w:rsid w:val="06194FF1"/>
    <w:rsid w:val="06A2550B"/>
    <w:rsid w:val="06F80EE2"/>
    <w:rsid w:val="07001CCA"/>
    <w:rsid w:val="075678DB"/>
    <w:rsid w:val="079D7CC7"/>
    <w:rsid w:val="08051BCA"/>
    <w:rsid w:val="086C12F4"/>
    <w:rsid w:val="08B80EF6"/>
    <w:rsid w:val="08BA052C"/>
    <w:rsid w:val="08DB07BA"/>
    <w:rsid w:val="0969353F"/>
    <w:rsid w:val="098305D0"/>
    <w:rsid w:val="098A0877"/>
    <w:rsid w:val="0A2C527E"/>
    <w:rsid w:val="0A5C4B69"/>
    <w:rsid w:val="0A86124A"/>
    <w:rsid w:val="0AB54CC0"/>
    <w:rsid w:val="0B9335CE"/>
    <w:rsid w:val="0C7927C4"/>
    <w:rsid w:val="0C9B098C"/>
    <w:rsid w:val="0D673E11"/>
    <w:rsid w:val="0DDA54E4"/>
    <w:rsid w:val="0E084ABF"/>
    <w:rsid w:val="0E3A5F83"/>
    <w:rsid w:val="0E74421A"/>
    <w:rsid w:val="0EA46639"/>
    <w:rsid w:val="0EA6339C"/>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13A30"/>
    <w:rsid w:val="13871C70"/>
    <w:rsid w:val="13A71CB4"/>
    <w:rsid w:val="13AF1D43"/>
    <w:rsid w:val="13CE1647"/>
    <w:rsid w:val="13DA0C25"/>
    <w:rsid w:val="13FD55AB"/>
    <w:rsid w:val="14200702"/>
    <w:rsid w:val="14907817"/>
    <w:rsid w:val="163A6CEE"/>
    <w:rsid w:val="173708E3"/>
    <w:rsid w:val="174C19C7"/>
    <w:rsid w:val="177237D5"/>
    <w:rsid w:val="17C374FC"/>
    <w:rsid w:val="189079DC"/>
    <w:rsid w:val="189B0D0B"/>
    <w:rsid w:val="18AF03BF"/>
    <w:rsid w:val="18B43F7C"/>
    <w:rsid w:val="194A1770"/>
    <w:rsid w:val="19B906A4"/>
    <w:rsid w:val="19FB026E"/>
    <w:rsid w:val="1B6F15B6"/>
    <w:rsid w:val="1BAA2EDC"/>
    <w:rsid w:val="1C5C0973"/>
    <w:rsid w:val="1CA55E64"/>
    <w:rsid w:val="1CCC4A65"/>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21449D"/>
    <w:rsid w:val="21556F04"/>
    <w:rsid w:val="21F000C9"/>
    <w:rsid w:val="22403BD3"/>
    <w:rsid w:val="23DA37D9"/>
    <w:rsid w:val="24B92327"/>
    <w:rsid w:val="24C14514"/>
    <w:rsid w:val="2533755C"/>
    <w:rsid w:val="25791755"/>
    <w:rsid w:val="26396DF4"/>
    <w:rsid w:val="26DF2D2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15074A"/>
    <w:rsid w:val="30562E26"/>
    <w:rsid w:val="30586FEC"/>
    <w:rsid w:val="30EC7046"/>
    <w:rsid w:val="315F0B22"/>
    <w:rsid w:val="319D022C"/>
    <w:rsid w:val="31A4505B"/>
    <w:rsid w:val="31C90022"/>
    <w:rsid w:val="31D84415"/>
    <w:rsid w:val="32210BD4"/>
    <w:rsid w:val="32285F6F"/>
    <w:rsid w:val="32770556"/>
    <w:rsid w:val="329C0913"/>
    <w:rsid w:val="32AA0460"/>
    <w:rsid w:val="32F62438"/>
    <w:rsid w:val="3337290D"/>
    <w:rsid w:val="33E31118"/>
    <w:rsid w:val="33EF7674"/>
    <w:rsid w:val="342D7BC6"/>
    <w:rsid w:val="34475F39"/>
    <w:rsid w:val="352930DB"/>
    <w:rsid w:val="35573069"/>
    <w:rsid w:val="355F6038"/>
    <w:rsid w:val="358C217E"/>
    <w:rsid w:val="35937598"/>
    <w:rsid w:val="36C9128A"/>
    <w:rsid w:val="372E3953"/>
    <w:rsid w:val="37555BEF"/>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9F584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D400B1"/>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625ED2"/>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735506"/>
    <w:rsid w:val="59C068B7"/>
    <w:rsid w:val="5A3B59D6"/>
    <w:rsid w:val="5AD134D8"/>
    <w:rsid w:val="5B6503B1"/>
    <w:rsid w:val="5C0F7EC4"/>
    <w:rsid w:val="5C263CE4"/>
    <w:rsid w:val="5C5D2777"/>
    <w:rsid w:val="5CF66BF3"/>
    <w:rsid w:val="5D290C69"/>
    <w:rsid w:val="5F2D4A41"/>
    <w:rsid w:val="60C74F6C"/>
    <w:rsid w:val="61025A59"/>
    <w:rsid w:val="6124632F"/>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7600EC"/>
    <w:rsid w:val="66967186"/>
    <w:rsid w:val="66EE5541"/>
    <w:rsid w:val="67924660"/>
    <w:rsid w:val="683200C2"/>
    <w:rsid w:val="68407834"/>
    <w:rsid w:val="6883293E"/>
    <w:rsid w:val="688412AD"/>
    <w:rsid w:val="68EB1B71"/>
    <w:rsid w:val="69475C96"/>
    <w:rsid w:val="6A7A7424"/>
    <w:rsid w:val="6AAD2300"/>
    <w:rsid w:val="6B474EF5"/>
    <w:rsid w:val="6BBF53FD"/>
    <w:rsid w:val="6C560CAE"/>
    <w:rsid w:val="6C576495"/>
    <w:rsid w:val="6D903FF5"/>
    <w:rsid w:val="6DA955B8"/>
    <w:rsid w:val="6DE346AB"/>
    <w:rsid w:val="6DE5391A"/>
    <w:rsid w:val="6E4251A3"/>
    <w:rsid w:val="6EFD1324"/>
    <w:rsid w:val="6F5A53AC"/>
    <w:rsid w:val="6FAC003D"/>
    <w:rsid w:val="6FC73A4D"/>
    <w:rsid w:val="6FE55E12"/>
    <w:rsid w:val="6FFB2E76"/>
    <w:rsid w:val="70057D4F"/>
    <w:rsid w:val="708F6F7F"/>
    <w:rsid w:val="70D94BD3"/>
    <w:rsid w:val="71520131"/>
    <w:rsid w:val="71C34D91"/>
    <w:rsid w:val="72AD36B4"/>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A5361A9"/>
    <w:rsid w:val="7B420052"/>
    <w:rsid w:val="7B6A6FA8"/>
    <w:rsid w:val="7B861484"/>
    <w:rsid w:val="7BD06A28"/>
    <w:rsid w:val="7C0F7238"/>
    <w:rsid w:val="7C3A7C0B"/>
    <w:rsid w:val="7C5248E4"/>
    <w:rsid w:val="7C566698"/>
    <w:rsid w:val="7C5866A3"/>
    <w:rsid w:val="7C9B0C30"/>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spacing w:before="100" w:beforeAutospacing="1" w:after="100" w:afterAutospacing="1"/>
      <w:outlineLvl w:val="0"/>
    </w:pPr>
    <w:rPr>
      <w:rFonts w:ascii="宋体" w:hAnsi="Times New Roman" w:eastAsia="宋体" w:cs="宋体"/>
      <w:b/>
      <w:bCs/>
      <w:kern w:val="36"/>
      <w:sz w:val="48"/>
      <w:szCs w:val="48"/>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4032</Words>
  <Characters>22989</Characters>
  <Lines>191</Lines>
  <Paragraphs>53</Paragraphs>
  <TotalTime>2</TotalTime>
  <ScaleCrop>false</ScaleCrop>
  <LinksUpToDate>false</LinksUpToDate>
  <CharactersWithSpaces>26968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2025-10-16T06:54:20Z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3439B4B38EBF42BD9DF5BE6C1E678345_13</vt:lpwstr>
  </property>
  <property fmtid="{D5CDD505-2E9C-101B-9397-08002B2CF9AE}" pid="4" name="KSOTemplateDocerSaveRecord">
    <vt:lpwstr>eyJoZGlkIjoiMDUwMjYyMTAwZTM5NTcxOGVhNzI3YWZjMDRhMjZkZDEifQ==</vt:lpwstr>
  </property>
</Properties>
</file>