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lang w:eastAsia="zh-CN"/>
        </w:rPr>
        <w:t>重庆市</w:t>
      </w:r>
      <w:r>
        <w:rPr>
          <w:rFonts w:hint="eastAsia" w:ascii="Times New Roman" w:hAnsi="Times New Roman" w:eastAsia="方正小标宋_GBK"/>
          <w:sz w:val="44"/>
          <w:szCs w:val="44"/>
        </w:rPr>
        <w:t>渝中区医疗保障局202</w:t>
      </w:r>
      <w:r>
        <w:rPr>
          <w:rFonts w:hint="eastAsia" w:ascii="Times New Roman" w:hAnsi="Times New Roman" w:eastAsia="方正小标宋_GBK"/>
          <w:sz w:val="44"/>
          <w:szCs w:val="44"/>
          <w:lang w:val="en-US" w:eastAsia="zh-CN"/>
        </w:rPr>
        <w:t>4</w:t>
      </w:r>
      <w:r>
        <w:rPr>
          <w:rFonts w:hint="eastAsia" w:ascii="Times New Roman" w:hAnsi="Times New Roman" w:eastAsia="方正小标宋_GBK"/>
          <w:sz w:val="44"/>
          <w:szCs w:val="44"/>
        </w:rPr>
        <w:t>年部门预算情况说明</w:t>
      </w:r>
    </w:p>
    <w:p>
      <w:pPr>
        <w:spacing w:line="578" w:lineRule="exact"/>
        <w:jc w:val="center"/>
        <w:rPr>
          <w:rFonts w:hint="eastAsia" w:ascii="Times New Roman" w:hAnsi="Times New Roman" w:eastAsia="方正小标宋_GBK"/>
          <w:sz w:val="44"/>
          <w:szCs w:val="44"/>
        </w:rPr>
      </w:pP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一、单位基本情况</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（一）职能职责</w:t>
      </w:r>
      <w:r>
        <w:rPr>
          <w:rFonts w:hint="eastAsia" w:ascii="Times New Roman" w:hAnsi="Times New Roman" w:eastAsia="方正仿宋_GBK"/>
          <w:sz w:val="32"/>
        </w:rPr>
        <w:t>。</w:t>
      </w:r>
    </w:p>
    <w:p>
      <w:pPr>
        <w:pStyle w:val="4"/>
        <w:shd w:val="clear" w:color="auto" w:fill="FFFFFF"/>
        <w:spacing w:before="0" w:beforeAutospacing="0" w:after="0" w:afterAutospacing="0" w:line="574"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贯彻执行国家医疗保险、生育保险、医疗救助等医疗保障制度的法律、政策、规划、标准和医疗保障地方性法规、规章及相关政策、规划、标准；组织实施医疗保障基金监督管理办法和支付方式改革，建立健全医疗保障基金安全防控机制，监督管理区医疗保障基金；贯彻执行医疗保障筹资和待遇政策及城乡医疗保障待遇标准；组织实施药品、医用耗材、医疗服务项目、医疗服务设施等地方医保目录和支付标准；组织实施药品、医用耗材价格和医疗服务项目、医疗服务设施收费等政策。落实价格信息监测和信息发布制度；执行药品、医用耗材的招标采购政策；组织实施定点医药机构协议和支付管理办法。执行医疗保障信用评价体系和信息披露制度，监督管理全区纳入医保范围的医疗服务行为和医疗费用，依法查处医疗保障领域违法违规行为；负责全区医疗保障经办管理、公共服务体系和信息化建设。组织实施异地就医管理和费用结算政策。执行医疗保障关系转移接续制度；完成区委、区政府交办的其他任务。</w:t>
      </w:r>
    </w:p>
    <w:p>
      <w:pPr>
        <w:pStyle w:val="7"/>
        <w:tabs>
          <w:tab w:val="center" w:pos="4153"/>
          <w:tab w:val="left" w:pos="7275"/>
        </w:tabs>
        <w:spacing w:line="600" w:lineRule="exact"/>
        <w:ind w:firstLine="640"/>
        <w:jc w:val="left"/>
        <w:rPr>
          <w:rFonts w:hint="eastAsia" w:ascii="仿宋_GB2312" w:hAnsi="仿宋_GB2312" w:eastAsia="仿宋_GB2312" w:cs="仿宋_GB2312"/>
          <w:sz w:val="32"/>
        </w:rPr>
      </w:pPr>
      <w:r>
        <w:rPr>
          <w:rFonts w:hint="eastAsia" w:ascii="方正楷体_GBK" w:hAnsi="方正楷体_GBK" w:eastAsia="方正楷体_GBK" w:cs="方正楷体_GBK"/>
          <w:sz w:val="32"/>
        </w:rPr>
        <w:t>（二）单位构成</w:t>
      </w:r>
      <w:r>
        <w:rPr>
          <w:rFonts w:hint="eastAsia" w:ascii="Times New Roman" w:hAnsi="Times New Roman" w:eastAsia="方正仿宋_GBK" w:cs="Times New Roman"/>
          <w:color w:val="auto"/>
          <w:kern w:val="2"/>
          <w:sz w:val="32"/>
          <w:szCs w:val="22"/>
          <w:lang w:val="en-US" w:eastAsia="zh-CN" w:bidi="ar-SA"/>
        </w:rPr>
        <w:t>。重庆市渝中区医疗保障局、重庆市渝中区医疗保障事务中心（二级单位）</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渝中区医疗保障局机关现设有综合科、待遇管理科、监督管理科共3个科室；下属事业单位渝中区医疗保障事务中心现设有综合科（统计信息档案科）、基金财务科、参保工作科、医疗待遇一科、医疗待遇二科、特定人员管理科、医药机构服务科、稽核督查科共8个科室。截至202</w:t>
      </w:r>
      <w:r>
        <w:rPr>
          <w:rFonts w:hint="eastAsia" w:ascii="Times New Roman" w:hAnsi="Times New Roman" w:eastAsia="方正仿宋_GBK"/>
          <w:sz w:val="32"/>
          <w:lang w:val="en-US" w:eastAsia="zh-CN"/>
        </w:rPr>
        <w:t>3</w:t>
      </w:r>
      <w:r>
        <w:rPr>
          <w:rFonts w:hint="eastAsia" w:ascii="Times New Roman" w:hAnsi="Times New Roman" w:eastAsia="方正仿宋_GBK"/>
          <w:sz w:val="32"/>
        </w:rPr>
        <w:t>年12月区医保局及下属事业单位在编37人（其中正处1人、副处4人、一级主任科员（科长）12人、二级主任科员（科长）9人、三级主任科员6人，四级主任科员2人，一级科员1人，新招录2人</w:t>
      </w:r>
      <w:r>
        <w:rPr>
          <w:rFonts w:hint="eastAsia" w:ascii="Times New Roman" w:hAnsi="Times New Roman" w:eastAsia="方正仿宋_GBK"/>
          <w:sz w:val="32"/>
          <w:lang w:eastAsia="zh-CN"/>
        </w:rPr>
        <w:t>，</w:t>
      </w:r>
      <w:r>
        <w:rPr>
          <w:rFonts w:hint="eastAsia" w:ascii="Times New Roman" w:hAnsi="Times New Roman" w:eastAsia="方正仿宋_GBK"/>
          <w:sz w:val="32"/>
          <w:lang w:val="en-US" w:eastAsia="zh-CN"/>
        </w:rPr>
        <w:t>退休2人</w:t>
      </w:r>
      <w:r>
        <w:rPr>
          <w:rFonts w:hint="eastAsia" w:ascii="Times New Roman" w:hAnsi="Times New Roman" w:eastAsia="方正仿宋_GBK"/>
          <w:sz w:val="32"/>
        </w:rPr>
        <w:t>。）聘用人员27人，其中医保经办窗口工作人员26人，执法车辆驾驶员1人。</w:t>
      </w: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二、部门收支总体情况</w:t>
      </w:r>
    </w:p>
    <w:p>
      <w:pPr>
        <w:spacing w:line="578" w:lineRule="exact"/>
        <w:ind w:firstLine="640" w:firstLineChars="200"/>
        <w:rPr>
          <w:rFonts w:hint="eastAsia" w:ascii="Times New Roman" w:hAnsi="Times New Roman" w:eastAsia="方正仿宋_GBK"/>
          <w:color w:val="auto"/>
          <w:sz w:val="32"/>
        </w:rPr>
      </w:pPr>
      <w:r>
        <w:rPr>
          <w:rFonts w:hint="eastAsia" w:ascii="方正楷体_GBK" w:hAnsi="方正楷体_GBK" w:eastAsia="方正楷体_GBK" w:cs="方正楷体_GBK"/>
          <w:color w:val="auto"/>
          <w:sz w:val="32"/>
          <w:highlight w:val="none"/>
        </w:rPr>
        <w:t>（一）</w:t>
      </w:r>
      <w:r>
        <w:rPr>
          <w:rFonts w:hint="eastAsia" w:ascii="方正楷体_GBK" w:hAnsi="方正楷体_GBK" w:eastAsia="方正楷体_GBK" w:cs="方正楷体_GBK"/>
          <w:sz w:val="32"/>
        </w:rPr>
        <w:t>收入预算</w:t>
      </w:r>
      <w:r>
        <w:rPr>
          <w:rFonts w:hint="eastAsia" w:ascii="Times New Roman" w:hAnsi="Times New Roman" w:eastAsia="方正仿宋_GBK"/>
          <w:sz w:val="32"/>
        </w:rPr>
        <w:t>：202</w:t>
      </w:r>
      <w:r>
        <w:rPr>
          <w:rFonts w:hint="eastAsia" w:ascii="Times New Roman" w:hAnsi="Times New Roman" w:eastAsia="方正仿宋_GBK"/>
          <w:sz w:val="32"/>
          <w:lang w:val="en-US" w:eastAsia="zh-CN"/>
        </w:rPr>
        <w:t>4</w:t>
      </w:r>
      <w:r>
        <w:rPr>
          <w:rFonts w:hint="eastAsia" w:ascii="Times New Roman" w:hAnsi="Times New Roman" w:eastAsia="方正仿宋_GBK"/>
          <w:sz w:val="32"/>
        </w:rPr>
        <w:t>年年初预算数</w:t>
      </w:r>
      <w:r>
        <w:rPr>
          <w:rFonts w:hint="eastAsia" w:ascii="Times New Roman" w:hAnsi="Times New Roman" w:eastAsia="方正仿宋_GBK"/>
          <w:color w:val="auto"/>
          <w:sz w:val="32"/>
          <w:highlight w:val="none"/>
          <w:lang w:val="en-US" w:eastAsia="zh-CN"/>
        </w:rPr>
        <w:t>13877.92</w:t>
      </w:r>
      <w:r>
        <w:rPr>
          <w:rFonts w:hint="eastAsia" w:ascii="Times New Roman" w:hAnsi="Times New Roman" w:eastAsia="方正仿宋_GBK"/>
          <w:sz w:val="32"/>
        </w:rPr>
        <w:t>万元，其中：一般公共预算拨款</w:t>
      </w:r>
      <w:r>
        <w:rPr>
          <w:rFonts w:hint="eastAsia" w:ascii="Times New Roman" w:hAnsi="Times New Roman" w:eastAsia="方正仿宋_GBK"/>
          <w:color w:val="auto"/>
          <w:sz w:val="32"/>
          <w:highlight w:val="none"/>
          <w:lang w:val="en-US" w:eastAsia="zh-CN"/>
        </w:rPr>
        <w:t>13877.92</w:t>
      </w:r>
      <w:r>
        <w:rPr>
          <w:rFonts w:hint="eastAsia" w:ascii="Times New Roman" w:hAnsi="Times New Roman" w:eastAsia="方正仿宋_GBK"/>
          <w:sz w:val="32"/>
        </w:rPr>
        <w:t>万元，政府性基金预算拨款</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万元，国有资本经营预算收入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万元，事业收入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万元，事业单位经营收入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万元，其他收入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万元；收入较去年增加</w:t>
      </w:r>
      <w:r>
        <w:rPr>
          <w:rFonts w:hint="eastAsia" w:ascii="Times New Roman" w:hAnsi="Times New Roman" w:eastAsia="方正仿宋_GBK"/>
          <w:color w:val="auto"/>
          <w:sz w:val="32"/>
          <w:highlight w:val="none"/>
          <w:lang w:val="en-US" w:eastAsia="zh-CN"/>
        </w:rPr>
        <w:t>1778.32</w:t>
      </w:r>
      <w:r>
        <w:rPr>
          <w:rFonts w:hint="eastAsia" w:ascii="Times New Roman" w:hAnsi="Times New Roman" w:eastAsia="方正仿宋_GBK"/>
          <w:sz w:val="32"/>
        </w:rPr>
        <w:t>万元，主要是</w:t>
      </w:r>
      <w:r>
        <w:rPr>
          <w:rFonts w:hint="eastAsia" w:ascii="Times New Roman" w:hAnsi="Times New Roman" w:eastAsia="方正仿宋_GBK"/>
          <w:color w:val="auto"/>
          <w:sz w:val="32"/>
          <w:highlight w:val="none"/>
        </w:rPr>
        <w:t>一般公共预算</w:t>
      </w:r>
      <w:r>
        <w:rPr>
          <w:rFonts w:hint="eastAsia" w:ascii="Times New Roman" w:hAnsi="Times New Roman" w:eastAsia="方正仿宋_GBK"/>
          <w:sz w:val="32"/>
        </w:rPr>
        <w:t>经费拨款增加</w:t>
      </w:r>
      <w:r>
        <w:rPr>
          <w:rFonts w:hint="eastAsia" w:ascii="Times New Roman" w:hAnsi="Times New Roman" w:eastAsia="方正仿宋_GBK"/>
          <w:sz w:val="32"/>
          <w:lang w:val="en-US" w:eastAsia="zh-CN"/>
        </w:rPr>
        <w:t>1778.32</w:t>
      </w:r>
      <w:r>
        <w:rPr>
          <w:rFonts w:hint="eastAsia" w:ascii="Times New Roman" w:hAnsi="Times New Roman" w:eastAsia="方正仿宋_GBK"/>
          <w:sz w:val="32"/>
        </w:rPr>
        <w:t>万元。</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color w:val="auto"/>
          <w:sz w:val="32"/>
        </w:rPr>
        <w:t>（二）支出预算</w:t>
      </w:r>
      <w:r>
        <w:rPr>
          <w:rFonts w:hint="eastAsia" w:ascii="Times New Roman" w:hAnsi="Times New Roman" w:eastAsia="方正仿宋_GBK"/>
          <w:color w:val="auto"/>
          <w:sz w:val="32"/>
        </w:rPr>
        <w:t>：202</w:t>
      </w:r>
      <w:r>
        <w:rPr>
          <w:rFonts w:hint="eastAsia" w:ascii="Times New Roman" w:hAnsi="Times New Roman" w:eastAsia="方正仿宋_GBK"/>
          <w:color w:val="auto"/>
          <w:sz w:val="32"/>
          <w:lang w:val="en-US" w:eastAsia="zh-CN"/>
        </w:rPr>
        <w:t>4</w:t>
      </w:r>
      <w:r>
        <w:rPr>
          <w:rFonts w:hint="eastAsia" w:ascii="Times New Roman" w:hAnsi="Times New Roman" w:eastAsia="方正仿宋_GBK"/>
          <w:color w:val="auto"/>
          <w:sz w:val="32"/>
        </w:rPr>
        <w:t>年年初预算数</w:t>
      </w:r>
      <w:r>
        <w:rPr>
          <w:rFonts w:hint="eastAsia" w:ascii="Times New Roman" w:hAnsi="Times New Roman" w:eastAsia="方正仿宋_GBK"/>
          <w:color w:val="auto"/>
          <w:sz w:val="32"/>
          <w:highlight w:val="none"/>
          <w:lang w:val="en-US" w:eastAsia="zh-CN"/>
        </w:rPr>
        <w:t>13877.92</w:t>
      </w:r>
      <w:r>
        <w:rPr>
          <w:rFonts w:hint="eastAsia" w:ascii="Times New Roman" w:hAnsi="Times New Roman" w:eastAsia="方正仿宋_GBK"/>
          <w:color w:val="auto"/>
          <w:sz w:val="32"/>
        </w:rPr>
        <w:t>万元，其中：一般公共服务支出</w:t>
      </w:r>
      <w:r>
        <w:rPr>
          <w:rFonts w:hint="eastAsia" w:ascii="Times New Roman" w:hAnsi="Times New Roman" w:eastAsia="方正仿宋_GBK"/>
          <w:color w:val="auto"/>
          <w:sz w:val="32"/>
          <w:highlight w:val="none"/>
          <w:lang w:val="en-US" w:eastAsia="zh-CN"/>
        </w:rPr>
        <w:t>0</w:t>
      </w:r>
      <w:r>
        <w:rPr>
          <w:rFonts w:hint="eastAsia" w:ascii="Times New Roman" w:hAnsi="Times New Roman" w:eastAsia="方正仿宋_GBK"/>
          <w:color w:val="auto"/>
          <w:sz w:val="32"/>
        </w:rPr>
        <w:t>万元，社会保障和就业支出</w:t>
      </w:r>
      <w:r>
        <w:rPr>
          <w:rFonts w:hint="eastAsia" w:ascii="Times New Roman" w:hAnsi="Times New Roman" w:eastAsia="方正仿宋_GBK"/>
          <w:color w:val="auto"/>
          <w:sz w:val="32"/>
          <w:lang w:val="en-US" w:eastAsia="zh-CN"/>
        </w:rPr>
        <w:t>111.70</w:t>
      </w:r>
      <w:r>
        <w:rPr>
          <w:rFonts w:hint="eastAsia" w:ascii="Times New Roman" w:hAnsi="Times New Roman" w:eastAsia="方正仿宋_GBK"/>
          <w:color w:val="auto"/>
          <w:sz w:val="32"/>
        </w:rPr>
        <w:t>万元，卫生健康支出</w:t>
      </w:r>
      <w:r>
        <w:rPr>
          <w:rFonts w:hint="eastAsia" w:ascii="Times New Roman" w:hAnsi="Times New Roman" w:eastAsia="方正仿宋_GBK"/>
          <w:color w:val="auto"/>
          <w:sz w:val="32"/>
          <w:lang w:val="en-US" w:eastAsia="zh-CN"/>
        </w:rPr>
        <w:t>13756.39</w:t>
      </w:r>
      <w:r>
        <w:rPr>
          <w:rFonts w:hint="eastAsia" w:ascii="Times New Roman" w:hAnsi="Times New Roman" w:eastAsia="方正仿宋_GBK"/>
          <w:color w:val="auto"/>
          <w:sz w:val="32"/>
        </w:rPr>
        <w:t>万元，住房保障支出</w:t>
      </w:r>
      <w:r>
        <w:rPr>
          <w:rFonts w:hint="eastAsia" w:ascii="Times New Roman" w:hAnsi="Times New Roman" w:eastAsia="方正仿宋_GBK"/>
          <w:color w:val="auto"/>
          <w:sz w:val="32"/>
          <w:lang w:val="en-US" w:eastAsia="zh-CN"/>
        </w:rPr>
        <w:t>9.83</w:t>
      </w:r>
      <w:r>
        <w:rPr>
          <w:rFonts w:hint="eastAsia" w:ascii="Times New Roman" w:hAnsi="Times New Roman" w:eastAsia="方正仿宋_GBK"/>
          <w:sz w:val="32"/>
        </w:rPr>
        <w:t>万元。</w:t>
      </w:r>
      <w:r>
        <w:rPr>
          <w:rFonts w:hint="eastAsia" w:ascii="Times New Roman" w:hAnsi="Times New Roman" w:eastAsia="方正仿宋_GBK"/>
          <w:sz w:val="32"/>
          <w:lang w:val="en-US" w:eastAsia="zh-CN"/>
        </w:rPr>
        <w:t>2024年预算</w:t>
      </w:r>
      <w:r>
        <w:rPr>
          <w:rFonts w:hint="eastAsia" w:ascii="Times New Roman" w:hAnsi="Times New Roman" w:eastAsia="方正仿宋_GBK"/>
          <w:sz w:val="32"/>
        </w:rPr>
        <w:t>支出较去年增加</w:t>
      </w:r>
      <w:r>
        <w:rPr>
          <w:rFonts w:hint="eastAsia" w:ascii="Times New Roman" w:hAnsi="Times New Roman" w:eastAsia="方正仿宋_GBK"/>
          <w:sz w:val="32"/>
          <w:lang w:val="en-US" w:eastAsia="zh-CN"/>
        </w:rPr>
        <w:t>1778.3</w:t>
      </w:r>
      <w:r>
        <w:rPr>
          <w:rFonts w:hint="eastAsia" w:ascii="Times New Roman" w:hAnsi="Times New Roman" w:eastAsia="方正仿宋_GBK"/>
          <w:color w:val="auto"/>
          <w:sz w:val="32"/>
          <w:lang w:val="en-US" w:eastAsia="zh-CN"/>
        </w:rPr>
        <w:t>2</w:t>
      </w:r>
      <w:r>
        <w:rPr>
          <w:rFonts w:hint="eastAsia" w:ascii="Times New Roman" w:hAnsi="Times New Roman" w:eastAsia="方正仿宋_GBK"/>
          <w:sz w:val="32"/>
        </w:rPr>
        <w:t>万元，主要是基本支出增加</w:t>
      </w:r>
      <w:r>
        <w:rPr>
          <w:rFonts w:hint="eastAsia" w:ascii="Times New Roman" w:hAnsi="Times New Roman" w:eastAsia="方正仿宋_GBK"/>
          <w:sz w:val="32"/>
          <w:lang w:val="en-US" w:eastAsia="zh-CN"/>
        </w:rPr>
        <w:t>73.89</w:t>
      </w:r>
      <w:r>
        <w:rPr>
          <w:rFonts w:hint="eastAsia" w:ascii="Times New Roman" w:hAnsi="Times New Roman" w:eastAsia="方正仿宋_GBK"/>
          <w:sz w:val="32"/>
        </w:rPr>
        <w:t>万元，项目支出增加</w:t>
      </w:r>
      <w:r>
        <w:rPr>
          <w:rFonts w:hint="eastAsia" w:ascii="Times New Roman" w:hAnsi="Times New Roman" w:eastAsia="方正仿宋_GBK"/>
          <w:sz w:val="32"/>
          <w:lang w:val="en-US" w:eastAsia="zh-CN"/>
        </w:rPr>
        <w:t>1704.43</w:t>
      </w:r>
      <w:r>
        <w:rPr>
          <w:rFonts w:hint="eastAsia" w:ascii="Times New Roman" w:hAnsi="Times New Roman" w:eastAsia="方正仿宋_GBK"/>
          <w:sz w:val="32"/>
        </w:rPr>
        <w:t>万元。</w:t>
      </w:r>
    </w:p>
    <w:p>
      <w:pPr>
        <w:spacing w:line="578" w:lineRule="exact"/>
        <w:ind w:firstLine="640" w:firstLineChars="200"/>
        <w:rPr>
          <w:rFonts w:hint="eastAsia" w:ascii="方正黑体_GBK" w:hAnsi="Times New Roman" w:eastAsia="方正黑体_GBK"/>
          <w:b w:val="0"/>
          <w:bCs w:val="0"/>
          <w:sz w:val="32"/>
        </w:rPr>
      </w:pPr>
      <w:r>
        <w:rPr>
          <w:rFonts w:hint="eastAsia" w:ascii="方正黑体_GBK" w:hAnsi="Times New Roman" w:eastAsia="方正黑体_GBK"/>
          <w:sz w:val="32"/>
        </w:rPr>
        <w:t>三、部门预算情况</w:t>
      </w:r>
      <w:r>
        <w:rPr>
          <w:rFonts w:hint="eastAsia" w:ascii="方正黑体_GBK" w:hAnsi="Times New Roman" w:eastAsia="方正黑体_GBK"/>
          <w:b w:val="0"/>
          <w:bCs w:val="0"/>
          <w:sz w:val="32"/>
        </w:rPr>
        <w:t>说明</w:t>
      </w:r>
    </w:p>
    <w:p>
      <w:pPr>
        <w:spacing w:line="578" w:lineRule="exact"/>
        <w:ind w:firstLine="640" w:firstLineChars="200"/>
        <w:rPr>
          <w:rFonts w:hint="eastAsia" w:ascii="Times New Roman" w:hAnsi="Times New Roman" w:eastAsia="方正仿宋_GBK"/>
          <w:sz w:val="32"/>
          <w:highlight w:val="none"/>
        </w:rPr>
      </w:pPr>
      <w:r>
        <w:rPr>
          <w:rFonts w:hint="eastAsia" w:ascii="Times New Roman" w:hAnsi="Times New Roman" w:eastAsia="方正仿宋_GBK"/>
          <w:b w:val="0"/>
          <w:bCs w:val="0"/>
          <w:sz w:val="32"/>
        </w:rPr>
        <w:t>202</w:t>
      </w:r>
      <w:r>
        <w:rPr>
          <w:rFonts w:hint="eastAsia" w:ascii="Times New Roman" w:hAnsi="Times New Roman" w:eastAsia="方正仿宋_GBK"/>
          <w:b w:val="0"/>
          <w:bCs w:val="0"/>
          <w:sz w:val="32"/>
          <w:lang w:val="en-US" w:eastAsia="zh-CN"/>
        </w:rPr>
        <w:t>4</w:t>
      </w:r>
      <w:r>
        <w:rPr>
          <w:rFonts w:hint="eastAsia" w:ascii="Times New Roman" w:hAnsi="Times New Roman" w:eastAsia="方正仿宋_GBK"/>
          <w:b w:val="0"/>
          <w:bCs w:val="0"/>
          <w:sz w:val="32"/>
        </w:rPr>
        <w:t>年一般公共预算财政拨款收入</w:t>
      </w:r>
      <w:r>
        <w:rPr>
          <w:rFonts w:hint="eastAsia" w:ascii="Times New Roman" w:hAnsi="Times New Roman" w:eastAsia="方正仿宋_GBK"/>
          <w:color w:val="auto"/>
          <w:sz w:val="32"/>
          <w:highlight w:val="none"/>
          <w:lang w:val="en-US" w:eastAsia="zh-CN"/>
        </w:rPr>
        <w:t>13877.92</w:t>
      </w:r>
      <w:r>
        <w:rPr>
          <w:rFonts w:hint="eastAsia" w:ascii="Times New Roman" w:hAnsi="Times New Roman" w:eastAsia="方正仿宋_GBK"/>
          <w:b w:val="0"/>
          <w:bCs w:val="0"/>
          <w:sz w:val="32"/>
        </w:rPr>
        <w:t>万元，一般公共预算财政拨款支出</w:t>
      </w:r>
      <w:r>
        <w:rPr>
          <w:rFonts w:hint="eastAsia" w:ascii="Times New Roman" w:hAnsi="Times New Roman" w:eastAsia="方正仿宋_GBK"/>
          <w:color w:val="auto"/>
          <w:sz w:val="32"/>
          <w:highlight w:val="none"/>
          <w:lang w:val="en-US" w:eastAsia="zh-CN"/>
        </w:rPr>
        <w:t>13877.92</w:t>
      </w:r>
      <w:r>
        <w:rPr>
          <w:rFonts w:hint="eastAsia" w:ascii="Times New Roman" w:hAnsi="Times New Roman" w:eastAsia="方正仿宋_GBK"/>
          <w:b w:val="0"/>
          <w:bCs w:val="0"/>
          <w:sz w:val="32"/>
          <w:highlight w:val="none"/>
        </w:rPr>
        <w:t>万元，比202</w:t>
      </w:r>
      <w:r>
        <w:rPr>
          <w:rFonts w:hint="eastAsia" w:ascii="Times New Roman" w:hAnsi="Times New Roman" w:eastAsia="方正仿宋_GBK"/>
          <w:b w:val="0"/>
          <w:bCs w:val="0"/>
          <w:color w:val="auto"/>
          <w:sz w:val="32"/>
          <w:highlight w:val="none"/>
          <w:lang w:val="en-US" w:eastAsia="zh-CN"/>
        </w:rPr>
        <w:t>3</w:t>
      </w:r>
      <w:r>
        <w:rPr>
          <w:rFonts w:hint="eastAsia" w:ascii="Times New Roman" w:hAnsi="Times New Roman" w:eastAsia="方正仿宋_GBK"/>
          <w:b w:val="0"/>
          <w:bCs w:val="0"/>
          <w:color w:val="auto"/>
          <w:sz w:val="32"/>
          <w:highlight w:val="none"/>
        </w:rPr>
        <w:t>年增加</w:t>
      </w:r>
      <w:r>
        <w:rPr>
          <w:rFonts w:hint="eastAsia" w:ascii="Times New Roman" w:hAnsi="Times New Roman" w:eastAsia="方正仿宋_GBK"/>
          <w:b w:val="0"/>
          <w:bCs w:val="0"/>
          <w:color w:val="auto"/>
          <w:sz w:val="32"/>
          <w:highlight w:val="none"/>
          <w:lang w:val="en-US" w:eastAsia="zh-CN"/>
        </w:rPr>
        <w:t>1778.31</w:t>
      </w:r>
      <w:r>
        <w:rPr>
          <w:rFonts w:hint="eastAsia" w:ascii="Times New Roman" w:hAnsi="Times New Roman" w:eastAsia="方正仿宋_GBK"/>
          <w:b w:val="0"/>
          <w:bCs w:val="0"/>
          <w:color w:val="auto"/>
          <w:sz w:val="32"/>
          <w:highlight w:val="none"/>
        </w:rPr>
        <w:t>万元</w:t>
      </w:r>
      <w:r>
        <w:rPr>
          <w:rFonts w:hint="eastAsia" w:ascii="Times New Roman" w:hAnsi="Times New Roman" w:eastAsia="方正仿宋_GBK"/>
          <w:color w:val="auto"/>
          <w:sz w:val="32"/>
        </w:rPr>
        <w:t>，</w:t>
      </w:r>
      <w:r>
        <w:rPr>
          <w:rFonts w:hint="eastAsia" w:ascii="Times New Roman" w:hAnsi="Times New Roman" w:eastAsia="方正仿宋_GBK"/>
          <w:color w:val="auto"/>
          <w:sz w:val="32"/>
          <w:lang w:eastAsia="zh-CN"/>
        </w:rPr>
        <w:t>其中：</w:t>
      </w:r>
      <w:r>
        <w:rPr>
          <w:rFonts w:hint="eastAsia" w:ascii="Times New Roman" w:hAnsi="Times New Roman" w:eastAsia="方正仿宋_GBK"/>
          <w:b w:val="0"/>
          <w:bCs w:val="0"/>
          <w:color w:val="auto"/>
          <w:sz w:val="32"/>
          <w:highlight w:val="none"/>
        </w:rPr>
        <w:t>基本支出</w:t>
      </w:r>
      <w:r>
        <w:rPr>
          <w:rFonts w:hint="eastAsia" w:ascii="Times New Roman" w:hAnsi="Times New Roman" w:eastAsia="方正仿宋_GBK"/>
          <w:b w:val="0"/>
          <w:bCs w:val="0"/>
          <w:color w:val="auto"/>
          <w:sz w:val="32"/>
          <w:highlight w:val="none"/>
          <w:lang w:val="en-US" w:eastAsia="zh-CN"/>
        </w:rPr>
        <w:t>961.40万元，比2023年</w:t>
      </w:r>
      <w:r>
        <w:rPr>
          <w:rFonts w:hint="eastAsia" w:ascii="Times New Roman" w:hAnsi="Times New Roman" w:eastAsia="方正仿宋_GBK"/>
          <w:b w:val="0"/>
          <w:bCs w:val="0"/>
          <w:color w:val="auto"/>
          <w:sz w:val="32"/>
          <w:highlight w:val="none"/>
        </w:rPr>
        <w:t>增加</w:t>
      </w:r>
      <w:r>
        <w:rPr>
          <w:rFonts w:hint="eastAsia" w:ascii="Times New Roman" w:hAnsi="Times New Roman" w:eastAsia="方正仿宋_GBK"/>
          <w:b w:val="0"/>
          <w:bCs w:val="0"/>
          <w:color w:val="auto"/>
          <w:sz w:val="32"/>
          <w:highlight w:val="none"/>
          <w:lang w:val="en-US" w:eastAsia="zh-CN"/>
        </w:rPr>
        <w:t>73.89</w:t>
      </w:r>
      <w:r>
        <w:rPr>
          <w:rFonts w:hint="eastAsia" w:ascii="Times New Roman" w:hAnsi="Times New Roman" w:eastAsia="方正仿宋_GBK"/>
          <w:b w:val="0"/>
          <w:bCs w:val="0"/>
          <w:color w:val="auto"/>
          <w:sz w:val="32"/>
          <w:highlight w:val="none"/>
        </w:rPr>
        <w:t>万元，主要</w:t>
      </w:r>
      <w:r>
        <w:rPr>
          <w:rFonts w:hint="eastAsia" w:ascii="Times New Roman" w:hAnsi="Times New Roman" w:eastAsia="方正仿宋_GBK"/>
          <w:b w:val="0"/>
          <w:bCs w:val="0"/>
          <w:color w:val="auto"/>
          <w:sz w:val="32"/>
          <w:highlight w:val="none"/>
          <w:lang w:eastAsia="zh-CN"/>
        </w:rPr>
        <w:t>原因是</w:t>
      </w:r>
      <w:r>
        <w:rPr>
          <w:rFonts w:hint="eastAsia" w:ascii="Times New Roman" w:hAnsi="Times New Roman" w:eastAsia="方正仿宋_GBK"/>
          <w:b w:val="0"/>
          <w:bCs w:val="0"/>
          <w:color w:val="auto"/>
          <w:sz w:val="32"/>
          <w:highlight w:val="none"/>
          <w:lang w:val="en-US" w:eastAsia="zh-CN"/>
        </w:rPr>
        <w:t>2023年在职人员增加，</w:t>
      </w:r>
      <w:r>
        <w:rPr>
          <w:rFonts w:hint="eastAsia" w:ascii="Times New Roman" w:hAnsi="Times New Roman" w:eastAsia="方正仿宋_GBK" w:cs="Times New Roman"/>
          <w:i w:val="0"/>
          <w:iCs w:val="0"/>
          <w:caps w:val="0"/>
          <w:color w:val="auto"/>
          <w:spacing w:val="0"/>
          <w:sz w:val="32"/>
          <w:szCs w:val="22"/>
          <w:highlight w:val="none"/>
          <w:shd w:val="clear" w:color="auto" w:fill="auto"/>
        </w:rPr>
        <w:t>主要用于保障在职人员工资福利及社会保险缴费，离休人员离休费，退休人员补助等，保障部门正常运转的各项商品服务支出</w:t>
      </w:r>
      <w:r>
        <w:rPr>
          <w:rFonts w:hint="eastAsia" w:ascii="Times New Roman" w:hAnsi="Times New Roman" w:eastAsia="方正仿宋_GBK"/>
          <w:b w:val="0"/>
          <w:bCs w:val="0"/>
          <w:color w:val="auto"/>
          <w:sz w:val="32"/>
          <w:highlight w:val="none"/>
        </w:rPr>
        <w:t>；项目支出</w:t>
      </w:r>
      <w:r>
        <w:rPr>
          <w:rFonts w:hint="eastAsia" w:ascii="Times New Roman" w:hAnsi="Times New Roman" w:eastAsia="方正仿宋_GBK"/>
          <w:b w:val="0"/>
          <w:bCs w:val="0"/>
          <w:color w:val="auto"/>
          <w:sz w:val="32"/>
          <w:highlight w:val="none"/>
          <w:lang w:val="en-US" w:eastAsia="zh-CN"/>
        </w:rPr>
        <w:t>12916.51</w:t>
      </w:r>
      <w:r>
        <w:rPr>
          <w:rFonts w:hint="eastAsia" w:ascii="Times New Roman" w:hAnsi="Times New Roman" w:eastAsia="方正仿宋_GBK"/>
          <w:b w:val="0"/>
          <w:bCs w:val="0"/>
          <w:color w:val="auto"/>
          <w:sz w:val="32"/>
          <w:highlight w:val="none"/>
        </w:rPr>
        <w:t>万元，比202</w:t>
      </w:r>
      <w:r>
        <w:rPr>
          <w:rFonts w:hint="eastAsia" w:ascii="Times New Roman" w:hAnsi="Times New Roman" w:eastAsia="方正仿宋_GBK"/>
          <w:b w:val="0"/>
          <w:bCs w:val="0"/>
          <w:color w:val="auto"/>
          <w:sz w:val="32"/>
          <w:highlight w:val="none"/>
          <w:lang w:val="en-US" w:eastAsia="zh-CN"/>
        </w:rPr>
        <w:t>3</w:t>
      </w:r>
      <w:r>
        <w:rPr>
          <w:rFonts w:hint="eastAsia" w:ascii="Times New Roman" w:hAnsi="Times New Roman" w:eastAsia="方正仿宋_GBK"/>
          <w:b w:val="0"/>
          <w:bCs w:val="0"/>
          <w:color w:val="auto"/>
          <w:sz w:val="32"/>
          <w:highlight w:val="none"/>
        </w:rPr>
        <w:t>年增加</w:t>
      </w:r>
      <w:r>
        <w:rPr>
          <w:rFonts w:hint="eastAsia" w:ascii="Times New Roman" w:hAnsi="Times New Roman" w:eastAsia="方正仿宋_GBK"/>
          <w:b w:val="0"/>
          <w:bCs w:val="0"/>
          <w:color w:val="auto"/>
          <w:sz w:val="32"/>
          <w:highlight w:val="none"/>
          <w:lang w:val="en-US" w:eastAsia="zh-CN"/>
        </w:rPr>
        <w:t>1704.43</w:t>
      </w:r>
      <w:r>
        <w:rPr>
          <w:rFonts w:hint="eastAsia" w:ascii="Times New Roman" w:hAnsi="Times New Roman" w:eastAsia="方正仿宋_GBK"/>
          <w:b w:val="0"/>
          <w:bCs w:val="0"/>
          <w:color w:val="auto"/>
          <w:sz w:val="32"/>
          <w:highlight w:val="none"/>
        </w:rPr>
        <w:t>万元</w:t>
      </w:r>
      <w:r>
        <w:rPr>
          <w:rFonts w:hint="eastAsia" w:ascii="Times New Roman" w:hAnsi="Times New Roman" w:eastAsia="方正仿宋_GBK"/>
          <w:b w:val="0"/>
          <w:bCs w:val="0"/>
          <w:color w:val="auto"/>
          <w:sz w:val="32"/>
          <w:highlight w:val="none"/>
          <w:lang w:eastAsia="zh-CN"/>
        </w:rPr>
        <w:t>，</w:t>
      </w:r>
      <w:r>
        <w:rPr>
          <w:rFonts w:hint="eastAsia" w:ascii="Times New Roman" w:hAnsi="Times New Roman" w:eastAsia="方正仿宋_GBK"/>
          <w:b w:val="0"/>
          <w:bCs w:val="0"/>
          <w:color w:val="auto"/>
          <w:sz w:val="32"/>
          <w:highlight w:val="none"/>
        </w:rPr>
        <w:t>主要原因是城乡医疗救助资金增加</w:t>
      </w:r>
      <w:r>
        <w:rPr>
          <w:rFonts w:hint="eastAsia" w:ascii="Times New Roman" w:hAnsi="Times New Roman" w:eastAsia="方正仿宋_GBK"/>
          <w:b w:val="0"/>
          <w:bCs w:val="0"/>
          <w:color w:val="auto"/>
          <w:sz w:val="32"/>
          <w:highlight w:val="none"/>
          <w:lang w:val="en-US" w:eastAsia="zh-CN"/>
        </w:rPr>
        <w:t>2313</w:t>
      </w:r>
      <w:r>
        <w:rPr>
          <w:rFonts w:hint="eastAsia" w:ascii="Times New Roman" w:hAnsi="Times New Roman" w:eastAsia="方正仿宋_GBK"/>
          <w:b w:val="0"/>
          <w:bCs w:val="0"/>
          <w:color w:val="auto"/>
          <w:sz w:val="32"/>
          <w:highlight w:val="none"/>
        </w:rPr>
        <w:t>万元</w:t>
      </w:r>
      <w:r>
        <w:rPr>
          <w:rFonts w:hint="eastAsia" w:ascii="Times New Roman" w:hAnsi="Times New Roman" w:eastAsia="方正仿宋_GBK"/>
          <w:b w:val="0"/>
          <w:bCs w:val="0"/>
          <w:color w:val="auto"/>
          <w:sz w:val="32"/>
          <w:highlight w:val="none"/>
          <w:lang w:eastAsia="zh-CN"/>
        </w:rPr>
        <w:t>、</w:t>
      </w:r>
      <w:r>
        <w:rPr>
          <w:rFonts w:hint="eastAsia" w:ascii="Times New Roman" w:hAnsi="Times New Roman" w:eastAsia="方正仿宋_GBK"/>
          <w:b w:val="0"/>
          <w:bCs w:val="0"/>
          <w:color w:val="auto"/>
          <w:sz w:val="32"/>
          <w:highlight w:val="none"/>
          <w:lang w:val="en-US" w:eastAsia="zh-CN"/>
        </w:rPr>
        <w:t>医疗保障管理事务增加10.83万元</w:t>
      </w:r>
      <w:r>
        <w:rPr>
          <w:rFonts w:hint="eastAsia" w:ascii="Times New Roman" w:hAnsi="Times New Roman" w:eastAsia="方正仿宋_GBK"/>
          <w:color w:val="auto"/>
          <w:sz w:val="32"/>
          <w:highlight w:val="none"/>
          <w:lang w:eastAsia="zh-CN"/>
        </w:rPr>
        <w:t>，</w:t>
      </w:r>
      <w:r>
        <w:rPr>
          <w:rFonts w:hint="eastAsia" w:ascii="Times New Roman" w:hAnsi="Times New Roman" w:eastAsia="方正仿宋_GBK"/>
          <w:color w:val="auto"/>
          <w:sz w:val="32"/>
          <w:highlight w:val="none"/>
          <w:lang w:val="en-US" w:eastAsia="zh-CN"/>
        </w:rPr>
        <w:t>社会保障和就业支出</w:t>
      </w:r>
      <w:r>
        <w:rPr>
          <w:rFonts w:hint="eastAsia" w:ascii="Times New Roman" w:hAnsi="Times New Roman" w:eastAsia="方正仿宋_GBK"/>
          <w:color w:val="auto"/>
          <w:sz w:val="32"/>
          <w:highlight w:val="none"/>
          <w:lang w:eastAsia="zh-CN"/>
        </w:rPr>
        <w:t>减少</w:t>
      </w:r>
      <w:r>
        <w:rPr>
          <w:rFonts w:hint="eastAsia" w:ascii="Times New Roman" w:hAnsi="Times New Roman" w:eastAsia="方正仿宋_GBK"/>
          <w:color w:val="auto"/>
          <w:sz w:val="32"/>
          <w:highlight w:val="none"/>
          <w:lang w:val="en-US" w:eastAsia="zh-CN"/>
        </w:rPr>
        <w:t>600万元</w:t>
      </w:r>
      <w:r>
        <w:rPr>
          <w:rFonts w:hint="eastAsia" w:ascii="Times New Roman" w:hAnsi="Times New Roman" w:eastAsia="方正仿宋_GBK"/>
          <w:b w:val="0"/>
          <w:bCs w:val="0"/>
          <w:color w:val="auto"/>
          <w:sz w:val="32"/>
          <w:highlight w:val="none"/>
          <w:u w:val="none"/>
          <w:lang w:val="en-US" w:eastAsia="zh-CN"/>
        </w:rPr>
        <w:t>、城乡居民医保基金补助</w:t>
      </w:r>
      <w:r>
        <w:rPr>
          <w:rFonts w:hint="eastAsia" w:ascii="Times New Roman" w:hAnsi="Times New Roman" w:eastAsia="方正仿宋_GBK"/>
          <w:color w:val="auto"/>
          <w:sz w:val="32"/>
          <w:highlight w:val="none"/>
          <w:u w:val="none"/>
          <w:lang w:eastAsia="zh-CN"/>
        </w:rPr>
        <w:t>减少</w:t>
      </w:r>
      <w:r>
        <w:rPr>
          <w:rFonts w:hint="eastAsia" w:ascii="Times New Roman" w:hAnsi="Times New Roman" w:eastAsia="方正仿宋_GBK"/>
          <w:color w:val="auto"/>
          <w:sz w:val="32"/>
          <w:highlight w:val="none"/>
          <w:u w:val="none"/>
          <w:lang w:val="en-US" w:eastAsia="zh-CN"/>
        </w:rPr>
        <w:t>19.4万元</w:t>
      </w:r>
      <w:r>
        <w:rPr>
          <w:rFonts w:hint="eastAsia" w:ascii="Times New Roman" w:hAnsi="Times New Roman" w:eastAsia="方正仿宋_GBK"/>
          <w:color w:val="auto"/>
          <w:sz w:val="32"/>
          <w:highlight w:val="none"/>
        </w:rPr>
        <w:t>，主要用于</w:t>
      </w:r>
      <w:r>
        <w:rPr>
          <w:rFonts w:hint="eastAsia" w:ascii="Times New Roman" w:hAnsi="Times New Roman" w:eastAsia="方正仿宋_GBK"/>
          <w:color w:val="auto"/>
          <w:sz w:val="32"/>
          <w:highlight w:val="none"/>
          <w:lang w:eastAsia="zh-CN"/>
        </w:rPr>
        <w:t>城乡</w:t>
      </w:r>
      <w:r>
        <w:rPr>
          <w:rFonts w:hint="eastAsia" w:ascii="Times New Roman" w:hAnsi="Times New Roman" w:eastAsia="方正仿宋_GBK"/>
          <w:color w:val="auto"/>
          <w:sz w:val="32"/>
          <w:highlight w:val="none"/>
        </w:rPr>
        <w:t>居民医保参保补</w:t>
      </w:r>
      <w:r>
        <w:rPr>
          <w:rFonts w:hint="eastAsia" w:ascii="Times New Roman" w:hAnsi="Times New Roman" w:eastAsia="方正仿宋_GBK"/>
          <w:sz w:val="32"/>
          <w:highlight w:val="none"/>
        </w:rPr>
        <w:t>助、城乡医疗救助等重点工作。</w:t>
      </w:r>
    </w:p>
    <w:p>
      <w:pPr>
        <w:spacing w:line="578" w:lineRule="exact"/>
        <w:ind w:firstLine="640" w:firstLineChars="200"/>
        <w:rPr>
          <w:rFonts w:hint="eastAsia" w:ascii="Times New Roman" w:hAnsi="Times New Roman" w:eastAsia="方正仿宋_GBK"/>
          <w:sz w:val="32"/>
          <w:highlight w:val="none"/>
        </w:rPr>
      </w:pPr>
      <w:r>
        <w:rPr>
          <w:rFonts w:hint="eastAsia" w:ascii="Times New Roman" w:hAnsi="Times New Roman" w:eastAsia="方正仿宋_GBK"/>
          <w:sz w:val="32"/>
          <w:highlight w:val="none"/>
          <w:lang w:eastAsia="zh-CN"/>
        </w:rPr>
        <w:t>渝中区医疗保障局</w:t>
      </w:r>
      <w:r>
        <w:rPr>
          <w:rFonts w:hint="eastAsia" w:ascii="Times New Roman" w:hAnsi="Times New Roman" w:eastAsia="方正仿宋_GBK"/>
          <w:sz w:val="32"/>
          <w:highlight w:val="none"/>
        </w:rPr>
        <w:t>202</w:t>
      </w:r>
      <w:r>
        <w:rPr>
          <w:rFonts w:hint="eastAsia" w:ascii="Times New Roman" w:hAnsi="Times New Roman" w:eastAsia="方正仿宋_GBK"/>
          <w:sz w:val="32"/>
          <w:highlight w:val="none"/>
          <w:lang w:val="en-US" w:eastAsia="zh-CN"/>
        </w:rPr>
        <w:t>4</w:t>
      </w:r>
      <w:r>
        <w:rPr>
          <w:rFonts w:hint="eastAsia" w:ascii="Times New Roman" w:hAnsi="Times New Roman" w:eastAsia="方正仿宋_GBK"/>
          <w:sz w:val="32"/>
          <w:highlight w:val="none"/>
        </w:rPr>
        <w:t>年无使用政府性基金预算拨款安排的支出。</w:t>
      </w:r>
    </w:p>
    <w:p>
      <w:pPr>
        <w:spacing w:line="578" w:lineRule="exact"/>
        <w:ind w:firstLine="640" w:firstLineChars="200"/>
        <w:rPr>
          <w:rFonts w:hint="eastAsia" w:ascii="方正黑体_GBK" w:hAnsi="Times New Roman" w:eastAsia="方正黑体_GBK"/>
          <w:color w:val="auto"/>
          <w:sz w:val="32"/>
        </w:rPr>
      </w:pPr>
      <w:r>
        <w:rPr>
          <w:rFonts w:hint="eastAsia" w:ascii="方正黑体_GBK" w:hAnsi="Times New Roman" w:eastAsia="方正黑体_GBK"/>
          <w:color w:val="auto"/>
          <w:sz w:val="32"/>
        </w:rPr>
        <w:t>四、“三公”经费情况说明</w:t>
      </w:r>
    </w:p>
    <w:p>
      <w:pPr>
        <w:spacing w:line="578" w:lineRule="exact"/>
        <w:ind w:firstLine="640" w:firstLineChars="200"/>
        <w:rPr>
          <w:rFonts w:hint="eastAsia" w:ascii="Times New Roman" w:hAnsi="Times New Roman" w:eastAsia="方正仿宋_GBK"/>
          <w:color w:val="auto"/>
          <w:sz w:val="32"/>
        </w:rPr>
      </w:pPr>
      <w:r>
        <w:rPr>
          <w:rFonts w:hint="eastAsia" w:ascii="Times New Roman" w:hAnsi="Times New Roman" w:eastAsia="方正仿宋_GBK"/>
          <w:color w:val="auto"/>
          <w:sz w:val="32"/>
        </w:rPr>
        <w:t>202</w:t>
      </w:r>
      <w:r>
        <w:rPr>
          <w:rFonts w:hint="eastAsia" w:ascii="Times New Roman" w:hAnsi="Times New Roman" w:eastAsia="方正仿宋_GBK"/>
          <w:color w:val="auto"/>
          <w:sz w:val="32"/>
          <w:lang w:val="en-US" w:eastAsia="zh-CN"/>
        </w:rPr>
        <w:t>4</w:t>
      </w:r>
      <w:r>
        <w:rPr>
          <w:rFonts w:hint="eastAsia" w:ascii="Times New Roman" w:hAnsi="Times New Roman" w:eastAsia="方正仿宋_GBK"/>
          <w:color w:val="auto"/>
          <w:sz w:val="32"/>
        </w:rPr>
        <w:t>年“三公”经费预算3万元，比202</w:t>
      </w:r>
      <w:r>
        <w:rPr>
          <w:rFonts w:hint="eastAsia" w:ascii="Times New Roman" w:hAnsi="Times New Roman" w:eastAsia="方正仿宋_GBK"/>
          <w:color w:val="auto"/>
          <w:sz w:val="32"/>
          <w:lang w:val="en-US" w:eastAsia="zh-CN"/>
        </w:rPr>
        <w:t>3</w:t>
      </w:r>
      <w:r>
        <w:rPr>
          <w:rFonts w:hint="eastAsia" w:ascii="Times New Roman" w:hAnsi="Times New Roman" w:eastAsia="方正仿宋_GBK"/>
          <w:color w:val="auto"/>
          <w:sz w:val="32"/>
        </w:rPr>
        <w:t>年</w:t>
      </w:r>
      <w:r>
        <w:rPr>
          <w:rFonts w:hint="eastAsia" w:ascii="Times New Roman" w:hAnsi="Times New Roman" w:eastAsia="方正仿宋_GBK"/>
          <w:color w:val="auto"/>
          <w:sz w:val="32"/>
          <w:lang w:val="en-US" w:eastAsia="zh-CN"/>
        </w:rPr>
        <w:t>相比无变化</w:t>
      </w:r>
      <w:r>
        <w:rPr>
          <w:rFonts w:hint="eastAsia" w:ascii="Times New Roman" w:hAnsi="Times New Roman" w:eastAsia="方正仿宋_GBK"/>
          <w:color w:val="auto"/>
          <w:sz w:val="32"/>
        </w:rPr>
        <w:t>。其中</w:t>
      </w:r>
      <w:r>
        <w:rPr>
          <w:rFonts w:hint="eastAsia" w:ascii="Times New Roman" w:hAnsi="Times New Roman" w:eastAsia="方正仿宋_GBK" w:cs="Times New Roman"/>
          <w:color w:val="auto"/>
          <w:sz w:val="32"/>
          <w:lang w:val="en-US" w:eastAsia="zh-CN"/>
        </w:rPr>
        <w:t>：因公出国（境）费用 0 万元，与2023年持平；</w:t>
      </w:r>
      <w:r>
        <w:rPr>
          <w:rFonts w:hint="eastAsia" w:ascii="Times New Roman" w:hAnsi="Times New Roman" w:eastAsia="方正仿宋_GBK"/>
          <w:color w:val="auto"/>
          <w:sz w:val="32"/>
        </w:rPr>
        <w:t>公务接待费0万元，比202</w:t>
      </w:r>
      <w:r>
        <w:rPr>
          <w:rFonts w:hint="eastAsia" w:ascii="Times New Roman" w:hAnsi="Times New Roman" w:eastAsia="方正仿宋_GBK"/>
          <w:color w:val="auto"/>
          <w:sz w:val="32"/>
          <w:lang w:val="en-US" w:eastAsia="zh-CN"/>
        </w:rPr>
        <w:t>3</w:t>
      </w:r>
      <w:r>
        <w:rPr>
          <w:rFonts w:hint="eastAsia" w:ascii="Times New Roman" w:hAnsi="Times New Roman" w:eastAsia="方正仿宋_GBK"/>
          <w:color w:val="auto"/>
          <w:sz w:val="32"/>
        </w:rPr>
        <w:t>年</w:t>
      </w:r>
      <w:r>
        <w:rPr>
          <w:rFonts w:hint="eastAsia" w:ascii="Times New Roman" w:hAnsi="Times New Roman" w:eastAsia="方正仿宋_GBK"/>
          <w:color w:val="auto"/>
          <w:sz w:val="32"/>
          <w:lang w:val="en-US" w:eastAsia="zh-CN"/>
        </w:rPr>
        <w:t>相比持平</w:t>
      </w:r>
      <w:r>
        <w:rPr>
          <w:rFonts w:hint="eastAsia" w:ascii="Times New Roman" w:hAnsi="Times New Roman" w:eastAsia="方正仿宋_GBK"/>
          <w:color w:val="auto"/>
          <w:sz w:val="32"/>
        </w:rPr>
        <w:t>；公务用车运行维护费3万元，</w:t>
      </w:r>
      <w:r>
        <w:rPr>
          <w:rFonts w:hint="eastAsia" w:ascii="Times New Roman" w:hAnsi="Times New Roman" w:eastAsia="方正仿宋_GBK" w:cs="Times New Roman"/>
          <w:color w:val="auto"/>
          <w:sz w:val="32"/>
          <w:lang w:val="en-US" w:eastAsia="zh-CN"/>
        </w:rPr>
        <w:t>与2023年持平</w:t>
      </w:r>
      <w:r>
        <w:rPr>
          <w:rFonts w:hint="eastAsia" w:eastAsia="方正仿宋_GBK" w:cs="Times New Roman"/>
          <w:color w:val="auto"/>
          <w:sz w:val="32"/>
          <w:lang w:val="en-US" w:eastAsia="zh-CN"/>
        </w:rPr>
        <w:t>；</w:t>
      </w:r>
      <w:r>
        <w:rPr>
          <w:rFonts w:hint="eastAsia" w:ascii="Times New Roman" w:hAnsi="Times New Roman" w:eastAsia="方正仿宋_GBK"/>
          <w:sz w:val="32"/>
        </w:rPr>
        <w:t>公务用车购置费</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w:t>
      </w:r>
      <w:r>
        <w:rPr>
          <w:rFonts w:hint="eastAsia" w:ascii="Times New Roman" w:hAnsi="Times New Roman" w:eastAsia="方正仿宋_GBK"/>
          <w:color w:val="auto"/>
          <w:sz w:val="32"/>
        </w:rPr>
        <w:t>，</w:t>
      </w:r>
      <w:r>
        <w:rPr>
          <w:rFonts w:hint="eastAsia" w:ascii="Times New Roman" w:hAnsi="Times New Roman" w:eastAsia="方正仿宋_GBK" w:cs="Times New Roman"/>
          <w:color w:val="auto"/>
          <w:sz w:val="32"/>
          <w:lang w:val="en-US" w:eastAsia="zh-CN"/>
        </w:rPr>
        <w:t>与2023年持平。</w:t>
      </w: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五、其他重要事项的情况说明</w:t>
      </w:r>
    </w:p>
    <w:p>
      <w:pPr>
        <w:spacing w:line="578" w:lineRule="exact"/>
        <w:ind w:firstLine="640" w:firstLineChars="200"/>
        <w:rPr>
          <w:rFonts w:hint="default" w:ascii="Times New Roman" w:hAnsi="Times New Roman" w:eastAsia="方正仿宋_GBK"/>
          <w:sz w:val="32"/>
          <w:lang w:val="en-US" w:eastAsia="zh-CN"/>
        </w:rPr>
      </w:pPr>
      <w:r>
        <w:rPr>
          <w:rFonts w:hint="eastAsia" w:ascii="方正楷体_GBK" w:hAnsi="方正楷体_GBK" w:eastAsia="方正楷体_GBK" w:cs="方正楷体_GBK"/>
          <w:sz w:val="32"/>
          <w:highlight w:val="none"/>
        </w:rPr>
        <w:t>（一）机关运</w:t>
      </w:r>
      <w:r>
        <w:rPr>
          <w:rFonts w:hint="eastAsia" w:ascii="方正楷体_GBK" w:hAnsi="方正楷体_GBK" w:eastAsia="方正楷体_GBK" w:cs="方正楷体_GBK"/>
          <w:color w:val="auto"/>
          <w:sz w:val="32"/>
          <w:highlight w:val="none"/>
        </w:rPr>
        <w:t>行经费</w:t>
      </w:r>
      <w:r>
        <w:rPr>
          <w:rFonts w:hint="eastAsia" w:ascii="Times New Roman" w:hAnsi="Times New Roman" w:eastAsia="方正仿宋_GBK"/>
          <w:color w:val="auto"/>
          <w:sz w:val="32"/>
          <w:highlight w:val="none"/>
        </w:rPr>
        <w:t>。202</w:t>
      </w:r>
      <w:r>
        <w:rPr>
          <w:rFonts w:hint="eastAsia" w:ascii="Times New Roman" w:hAnsi="Times New Roman" w:eastAsia="方正仿宋_GBK"/>
          <w:color w:val="auto"/>
          <w:sz w:val="32"/>
          <w:highlight w:val="none"/>
          <w:lang w:val="en-US" w:eastAsia="zh-CN"/>
        </w:rPr>
        <w:t>4</w:t>
      </w:r>
      <w:r>
        <w:rPr>
          <w:rFonts w:hint="eastAsia" w:ascii="Times New Roman" w:hAnsi="Times New Roman" w:eastAsia="方正仿宋_GBK"/>
          <w:color w:val="auto"/>
          <w:sz w:val="32"/>
          <w:highlight w:val="none"/>
        </w:rPr>
        <w:t>年一般公共预算财政拨款运行经费</w:t>
      </w:r>
      <w:r>
        <w:rPr>
          <w:rFonts w:hint="eastAsia" w:ascii="Times New Roman" w:hAnsi="Times New Roman" w:eastAsia="方正仿宋_GBK"/>
          <w:color w:val="auto"/>
          <w:sz w:val="32"/>
          <w:highlight w:val="none"/>
          <w:lang w:val="en-US" w:eastAsia="zh-CN"/>
        </w:rPr>
        <w:t>166.59</w:t>
      </w:r>
      <w:r>
        <w:rPr>
          <w:rFonts w:hint="eastAsia" w:ascii="Times New Roman" w:hAnsi="Times New Roman" w:eastAsia="方正仿宋_GBK"/>
          <w:color w:val="auto"/>
          <w:sz w:val="32"/>
          <w:highlight w:val="none"/>
        </w:rPr>
        <w:t>万元，比上年增加</w:t>
      </w:r>
      <w:r>
        <w:rPr>
          <w:rFonts w:hint="eastAsia" w:ascii="Times New Roman" w:hAnsi="Times New Roman" w:eastAsia="方正仿宋_GBK"/>
          <w:color w:val="auto"/>
          <w:sz w:val="32"/>
          <w:highlight w:val="none"/>
          <w:lang w:val="en-US" w:eastAsia="zh-CN"/>
        </w:rPr>
        <w:t>10.14</w:t>
      </w:r>
      <w:r>
        <w:rPr>
          <w:rFonts w:hint="eastAsia" w:ascii="Times New Roman" w:hAnsi="Times New Roman" w:eastAsia="方正仿宋_GBK"/>
          <w:color w:val="auto"/>
          <w:sz w:val="32"/>
          <w:highlight w:val="none"/>
        </w:rPr>
        <w:t>万元，主要原因为</w:t>
      </w:r>
      <w:r>
        <w:rPr>
          <w:rFonts w:hint="eastAsia" w:ascii="Times New Roman" w:hAnsi="Times New Roman" w:eastAsia="方正仿宋_GBK"/>
          <w:color w:val="auto"/>
          <w:sz w:val="32"/>
          <w:highlight w:val="none"/>
          <w:lang w:eastAsia="zh-CN"/>
        </w:rPr>
        <w:t>人员增加</w:t>
      </w:r>
      <w:r>
        <w:rPr>
          <w:rFonts w:hint="eastAsia" w:ascii="Times New Roman" w:hAnsi="Times New Roman" w:eastAsia="方正仿宋_GBK"/>
          <w:color w:val="auto"/>
          <w:sz w:val="32"/>
          <w:highlight w:val="none"/>
        </w:rPr>
        <w:t>。主要用于办公费、印刷费</w:t>
      </w:r>
      <w:r>
        <w:rPr>
          <w:rFonts w:hint="eastAsia" w:ascii="Times New Roman" w:hAnsi="Times New Roman" w:eastAsia="方正仿宋_GBK"/>
          <w:sz w:val="32"/>
          <w:highlight w:val="none"/>
        </w:rPr>
        <w:t>、邮电费、水电费、物管费、</w:t>
      </w:r>
      <w:r>
        <w:rPr>
          <w:rFonts w:hint="eastAsia" w:ascii="Times New Roman" w:hAnsi="Times New Roman" w:eastAsia="方正仿宋_GBK"/>
          <w:sz w:val="32"/>
        </w:rPr>
        <w:t>差旅费、会议费、培训费及其他商品和服务支出等。</w:t>
      </w:r>
    </w:p>
    <w:p>
      <w:pPr>
        <w:spacing w:line="578" w:lineRule="exact"/>
        <w:ind w:firstLine="640" w:firstLineChars="200"/>
        <w:rPr>
          <w:rFonts w:hint="eastAsia" w:ascii="Times New Roman" w:hAnsi="Times New Roman" w:eastAsia="方正仿宋_GBK"/>
          <w:sz w:val="32"/>
          <w:lang w:val="en-US" w:eastAsia="zh-CN"/>
        </w:rPr>
      </w:pPr>
      <w:r>
        <w:rPr>
          <w:rFonts w:hint="eastAsia" w:ascii="方正楷体_GBK" w:hAnsi="方正楷体_GBK" w:eastAsia="方正楷体_GBK" w:cs="方正楷体_GBK"/>
          <w:sz w:val="32"/>
        </w:rPr>
        <w:t>（二）政府采购情况</w:t>
      </w:r>
      <w:r>
        <w:rPr>
          <w:rFonts w:hint="eastAsia" w:ascii="Times New Roman" w:hAnsi="Times New Roman" w:eastAsia="方正仿宋_GBK"/>
          <w:sz w:val="32"/>
        </w:rPr>
        <w:t>。所属各预算单位政府采购预算总额</w:t>
      </w:r>
      <w:r>
        <w:rPr>
          <w:rFonts w:hint="eastAsia" w:ascii="Times New Roman" w:hAnsi="Times New Roman" w:eastAsia="方正仿宋_GBK"/>
          <w:sz w:val="32"/>
          <w:lang w:val="en-US" w:eastAsia="zh-CN"/>
        </w:rPr>
        <w:t>2</w:t>
      </w:r>
      <w:r>
        <w:rPr>
          <w:rFonts w:hint="eastAsia" w:ascii="Times New Roman" w:hAnsi="Times New Roman" w:eastAsia="方正仿宋_GBK"/>
          <w:sz w:val="32"/>
        </w:rPr>
        <w:t>万元：政府采购货物预算</w:t>
      </w:r>
      <w:r>
        <w:rPr>
          <w:rFonts w:hint="eastAsia" w:ascii="Times New Roman" w:hAnsi="Times New Roman" w:eastAsia="方正仿宋_GBK"/>
          <w:sz w:val="32"/>
          <w:lang w:val="en-US" w:eastAsia="zh-CN"/>
        </w:rPr>
        <w:t>2</w:t>
      </w:r>
      <w:r>
        <w:rPr>
          <w:rFonts w:hint="eastAsia" w:ascii="Times New Roman" w:hAnsi="Times New Roman" w:eastAsia="方正仿宋_GBK"/>
          <w:sz w:val="32"/>
        </w:rPr>
        <w:t>万元、政府采购工程预算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万元、政府采购服务预算</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w:t>
      </w:r>
      <w:r>
        <w:rPr>
          <w:rFonts w:hint="eastAsia" w:eastAsia="方正仿宋_GBK"/>
          <w:sz w:val="32"/>
          <w:lang w:eastAsia="zh-CN"/>
        </w:rPr>
        <w:t>、</w:t>
      </w:r>
      <w:r>
        <w:rPr>
          <w:rFonts w:hint="eastAsia" w:ascii="Times New Roman" w:hAnsi="Times New Roman" w:eastAsia="方正仿宋_GBK"/>
          <w:sz w:val="32"/>
        </w:rPr>
        <w:t>公务用车购置费</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万元；其中一般公共预算拨款政府采购</w:t>
      </w:r>
      <w:r>
        <w:rPr>
          <w:rFonts w:hint="eastAsia" w:ascii="Times New Roman" w:hAnsi="Times New Roman" w:eastAsia="方正仿宋_GBK"/>
          <w:sz w:val="32"/>
          <w:lang w:val="en-US" w:eastAsia="zh-CN"/>
        </w:rPr>
        <w:t>2</w:t>
      </w:r>
      <w:r>
        <w:rPr>
          <w:rFonts w:hint="eastAsia" w:ascii="Times New Roman" w:hAnsi="Times New Roman" w:eastAsia="方正仿宋_GBK"/>
          <w:sz w:val="32"/>
        </w:rPr>
        <w:t>万元：政府采购货物预算</w:t>
      </w:r>
      <w:r>
        <w:rPr>
          <w:rFonts w:hint="eastAsia" w:eastAsia="方正仿宋_GBK"/>
          <w:sz w:val="32"/>
          <w:lang w:val="en-US" w:eastAsia="zh-CN"/>
        </w:rPr>
        <w:t>2</w:t>
      </w:r>
      <w:r>
        <w:rPr>
          <w:rFonts w:hint="eastAsia" w:ascii="Times New Roman" w:hAnsi="Times New Roman" w:eastAsia="方正仿宋_GBK"/>
          <w:sz w:val="32"/>
        </w:rPr>
        <w:t>万元、政府采购工程预算</w:t>
      </w:r>
      <w:r>
        <w:rPr>
          <w:rFonts w:hint="eastAsia" w:eastAsia="方正仿宋_GBK"/>
          <w:sz w:val="32"/>
          <w:lang w:val="en-US" w:eastAsia="zh-CN"/>
        </w:rPr>
        <w:t>0</w:t>
      </w:r>
      <w:r>
        <w:rPr>
          <w:rFonts w:hint="eastAsia" w:ascii="Times New Roman" w:hAnsi="Times New Roman" w:eastAsia="方正仿宋_GBK"/>
          <w:sz w:val="32"/>
        </w:rPr>
        <w:t>万元、政府采购服务预算</w:t>
      </w:r>
      <w:r>
        <w:rPr>
          <w:rFonts w:hint="eastAsia" w:eastAsia="方正仿宋_GBK"/>
          <w:sz w:val="32"/>
          <w:lang w:val="en-US" w:eastAsia="zh-CN"/>
        </w:rPr>
        <w:t>0</w:t>
      </w:r>
      <w:r>
        <w:rPr>
          <w:rFonts w:hint="eastAsia" w:ascii="Times New Roman" w:hAnsi="Times New Roman" w:eastAsia="方正仿宋_GBK"/>
          <w:sz w:val="32"/>
        </w:rPr>
        <w:t>万元</w:t>
      </w:r>
      <w:r>
        <w:rPr>
          <w:rFonts w:hint="eastAsia" w:ascii="Times New Roman" w:hAnsi="Times New Roman" w:eastAsia="方正仿宋_GBK"/>
          <w:sz w:val="32"/>
          <w:lang w:val="en-US" w:eastAsia="zh-CN"/>
        </w:rPr>
        <w:t>。</w:t>
      </w:r>
      <w:bookmarkStart w:id="0" w:name="_GoBack"/>
      <w:bookmarkEnd w:id="0"/>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（三）绩效目标设置情况</w:t>
      </w:r>
      <w:r>
        <w:rPr>
          <w:rFonts w:hint="eastAsia" w:ascii="Times New Roman" w:hAnsi="Times New Roman" w:eastAsia="方正仿宋_GBK"/>
          <w:sz w:val="32"/>
        </w:rPr>
        <w:t>。202</w:t>
      </w:r>
      <w:r>
        <w:rPr>
          <w:rFonts w:hint="eastAsia" w:ascii="Times New Roman" w:hAnsi="Times New Roman" w:eastAsia="方正仿宋_GBK"/>
          <w:sz w:val="32"/>
          <w:lang w:val="en-US" w:eastAsia="zh-CN"/>
        </w:rPr>
        <w:t>4</w:t>
      </w:r>
      <w:r>
        <w:rPr>
          <w:rFonts w:hint="eastAsia" w:ascii="Times New Roman" w:hAnsi="Times New Roman" w:eastAsia="方正仿宋_GBK"/>
          <w:sz w:val="32"/>
        </w:rPr>
        <w:t>年项目支出均实行了绩效目标管理，涉及一般公共预算财政拨款</w:t>
      </w:r>
      <w:r>
        <w:rPr>
          <w:rFonts w:hint="eastAsia" w:ascii="Times New Roman" w:hAnsi="Times New Roman" w:eastAsia="方正仿宋_GBK"/>
          <w:sz w:val="32"/>
          <w:lang w:val="en-US" w:eastAsia="zh-CN"/>
        </w:rPr>
        <w:t>12916.51</w:t>
      </w:r>
      <w:r>
        <w:rPr>
          <w:rFonts w:hint="eastAsia" w:ascii="Times New Roman" w:hAnsi="Times New Roman" w:eastAsia="方正仿宋_GBK"/>
          <w:sz w:val="32"/>
        </w:rPr>
        <w:t>万元。</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（四）国有资产占有使用情况</w:t>
      </w:r>
      <w:r>
        <w:rPr>
          <w:rFonts w:hint="eastAsia" w:ascii="Times New Roman" w:hAnsi="Times New Roman" w:eastAsia="方正仿宋_GBK"/>
          <w:sz w:val="32"/>
        </w:rPr>
        <w:t>。截</w:t>
      </w:r>
      <w:r>
        <w:rPr>
          <w:rFonts w:hint="eastAsia" w:ascii="Times New Roman" w:hAnsi="Times New Roman" w:eastAsia="方正仿宋_GBK"/>
          <w:sz w:val="32"/>
          <w:lang w:eastAsia="zh-CN"/>
        </w:rPr>
        <w:t>至</w:t>
      </w:r>
      <w:r>
        <w:rPr>
          <w:rFonts w:hint="eastAsia" w:ascii="Times New Roman" w:hAnsi="Times New Roman" w:eastAsia="方正仿宋_GBK"/>
          <w:sz w:val="32"/>
        </w:rPr>
        <w:t>202</w:t>
      </w:r>
      <w:r>
        <w:rPr>
          <w:rFonts w:hint="eastAsia" w:ascii="Times New Roman" w:hAnsi="Times New Roman" w:eastAsia="方正仿宋_GBK"/>
          <w:sz w:val="32"/>
          <w:lang w:val="en-US" w:eastAsia="zh-CN"/>
        </w:rPr>
        <w:t>3</w:t>
      </w:r>
      <w:r>
        <w:rPr>
          <w:rFonts w:hint="eastAsia" w:ascii="Times New Roman" w:hAnsi="Times New Roman" w:eastAsia="方正仿宋_GBK"/>
          <w:sz w:val="32"/>
        </w:rPr>
        <w:t>年12月，所属各预算单位共有车辆1辆，其中一般公务用车1辆。202</w:t>
      </w:r>
      <w:r>
        <w:rPr>
          <w:rFonts w:hint="eastAsia" w:ascii="Times New Roman" w:hAnsi="Times New Roman" w:eastAsia="方正仿宋_GBK"/>
          <w:sz w:val="32"/>
          <w:lang w:val="en-US" w:eastAsia="zh-CN"/>
        </w:rPr>
        <w:t>4</w:t>
      </w:r>
      <w:r>
        <w:rPr>
          <w:rFonts w:hint="eastAsia" w:ascii="Times New Roman" w:hAnsi="Times New Roman" w:eastAsia="方正仿宋_GBK"/>
          <w:sz w:val="32"/>
        </w:rPr>
        <w:t>年一般公共预算安排购置车辆0辆。</w:t>
      </w:r>
    </w:p>
    <w:p>
      <w:pPr>
        <w:spacing w:line="578" w:lineRule="exact"/>
        <w:ind w:firstLine="640" w:firstLineChars="200"/>
        <w:rPr>
          <w:rFonts w:hint="eastAsia" w:ascii="方正黑体_GBK" w:hAnsi="Times New Roman" w:eastAsia="方正黑体_GBK"/>
          <w:sz w:val="32"/>
        </w:rPr>
      </w:pPr>
      <w:r>
        <w:rPr>
          <w:rFonts w:hint="eastAsia" w:ascii="方正黑体_GBK" w:hAnsi="Times New Roman" w:eastAsia="方正黑体_GBK"/>
          <w:sz w:val="32"/>
        </w:rPr>
        <w:t>六、专业性名词解释</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（一）财政拨款收入</w:t>
      </w:r>
      <w:r>
        <w:rPr>
          <w:rFonts w:hint="eastAsia" w:ascii="Times New Roman" w:hAnsi="Times New Roman" w:eastAsia="方正仿宋_GBK"/>
          <w:sz w:val="32"/>
        </w:rPr>
        <w:t>：指本年度从本级财政部门取得的财政拨款，包括一般公共预算财政拨款和政府性基金预算财政拨款。</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（二）其他收入</w:t>
      </w:r>
      <w:r>
        <w:rPr>
          <w:rFonts w:hint="eastAsia" w:ascii="Times New Roman" w:hAnsi="Times New Roman" w:eastAsia="方正仿宋_GBK"/>
          <w:sz w:val="32"/>
        </w:rPr>
        <w:t>：指单位取得的除“财政拨款收入”、“事业收入”、“经营收入”等以外的收入。</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（三）基本支出</w:t>
      </w:r>
      <w:r>
        <w:rPr>
          <w:rFonts w:hint="eastAsia" w:ascii="Times New Roman" w:hAnsi="Times New Roman" w:eastAsia="方正仿宋_GBK"/>
          <w:sz w:val="32"/>
        </w:rPr>
        <w:t>：指为保障机构正常运转、完成日常工作任务而发生的人员经费和公用经费。</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（四）项目支出</w:t>
      </w:r>
      <w:r>
        <w:rPr>
          <w:rFonts w:hint="eastAsia" w:ascii="Times New Roman" w:hAnsi="Times New Roman" w:eastAsia="方正仿宋_GBK"/>
          <w:sz w:val="32"/>
        </w:rPr>
        <w:t>：指在基本支出之外为完成特定行政任务和事业发展目标所发生的支出。</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rPr>
        <w:t>（五）“三公”经费</w:t>
      </w:r>
      <w:r>
        <w:rPr>
          <w:rFonts w:hint="eastAsia" w:ascii="Times New Roman" w:hAnsi="Times New Roman" w:eastAsia="方正仿宋_GBK"/>
          <w:sz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8" w:lineRule="exact"/>
        <w:ind w:firstLine="640" w:firstLineChars="200"/>
        <w:rPr>
          <w:rFonts w:hint="eastAsia" w:ascii="Times New Roman" w:hAnsi="Times New Roman" w:eastAsia="方正仿宋_GBK"/>
          <w:sz w:val="32"/>
        </w:rPr>
      </w:pPr>
    </w:p>
    <w:p>
      <w:pPr>
        <w:ind w:firstLine="640" w:firstLineChars="200"/>
        <w:rPr>
          <w:rFonts w:ascii="Times New Roman" w:hAnsi="Times New Roman" w:eastAsia="方正仿宋_GBK" w:cs="仿宋_GB2312"/>
          <w:bCs/>
          <w:sz w:val="32"/>
        </w:rPr>
      </w:pPr>
      <w:r>
        <w:rPr>
          <w:rFonts w:hint="eastAsia" w:ascii="Times New Roman" w:hAnsi="Times New Roman" w:eastAsia="方正仿宋_GBK" w:cs="仿宋_GB2312"/>
          <w:bCs/>
          <w:sz w:val="32"/>
        </w:rPr>
        <w:t>单位预算公开联系人：周翔       联系方式：63551115</w:t>
      </w:r>
    </w:p>
    <w:p>
      <w:pPr>
        <w:spacing w:line="578" w:lineRule="exact"/>
        <w:ind w:firstLine="640" w:firstLineChars="200"/>
        <w:rPr>
          <w:rFonts w:hint="eastAsia" w:ascii="Times New Roman" w:hAnsi="Times New Roman" w:eastAsia="方正仿宋_GBK"/>
          <w:sz w:val="32"/>
        </w:rPr>
      </w:pPr>
    </w:p>
    <w:p/>
    <w:sectPr>
      <w:footerReference r:id="rId3" w:type="default"/>
      <w:footerReference r:id="rId4" w:type="even"/>
      <w:pgSz w:w="16838" w:h="11906" w:orient="landscape"/>
      <w:pgMar w:top="1531" w:right="2098" w:bottom="1531" w:left="1984" w:header="850"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5</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4</w:t>
    </w:r>
    <w:r>
      <w:rPr>
        <w:rFonts w:ascii="Times New Roman" w:hAnsi="Times New Roman"/>
        <w:sz w:val="28"/>
        <w:szCs w:val="28"/>
      </w:rPr>
      <w:fldChar w:fldCharType="end"/>
    </w:r>
    <w:r>
      <w:rPr>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F54C9"/>
    <w:rsid w:val="071D4ED9"/>
    <w:rsid w:val="147C29BC"/>
    <w:rsid w:val="156C5481"/>
    <w:rsid w:val="2E8C1517"/>
    <w:rsid w:val="37EB066F"/>
    <w:rsid w:val="44FF7D88"/>
    <w:rsid w:val="48713896"/>
    <w:rsid w:val="63F431C7"/>
    <w:rsid w:val="67FF54C9"/>
    <w:rsid w:val="7D45108E"/>
    <w:rsid w:val="7DE17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2024-02-22T03:04:00Z</dcterms:created>
  <dc:creator>Acer</dc:creator>
  <cp:lastModifiedBy>Acer</cp:lastModifiedBy>
  <dcterms:modified xsi:type="dcterms:W3CDTF">2024-02-23T03:07:23Z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25DA93DE9C7845638FF4748A5F94D470</vt:lpwstr>
  </property>
</Properties>
</file>