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602C" w14:textId="77777777" w:rsidR="00C7140F" w:rsidRDefault="00000000">
      <w:pPr>
        <w:widowControl w:val="0"/>
        <w:spacing w:line="594" w:lineRule="exact"/>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kern w:val="2"/>
          <w:sz w:val="44"/>
          <w:szCs w:val="44"/>
        </w:rPr>
        <w:t>重庆市渝中区房屋征收中心</w:t>
      </w:r>
    </w:p>
    <w:p w14:paraId="2D3D6EBF" w14:textId="77777777" w:rsidR="00C7140F" w:rsidRDefault="00000000">
      <w:pPr>
        <w:widowControl w:val="0"/>
        <w:spacing w:line="594" w:lineRule="exact"/>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kern w:val="2"/>
          <w:sz w:val="44"/>
          <w:szCs w:val="44"/>
        </w:rPr>
        <w:t>2023年度决算情况说明</w:t>
      </w:r>
    </w:p>
    <w:p w14:paraId="28CE6B68" w14:textId="77777777" w:rsidR="00C7140F" w:rsidRDefault="00000000">
      <w:pPr>
        <w:pStyle w:val="a5"/>
        <w:shd w:val="clear" w:color="auto" w:fill="FFFFFF"/>
        <w:rPr>
          <w:rFonts w:ascii="黑体" w:eastAsia="黑体" w:hAnsi="黑体" w:cs="黑体"/>
          <w:sz w:val="32"/>
          <w:szCs w:val="32"/>
        </w:rPr>
      </w:pPr>
      <w:r>
        <w:rPr>
          <w:rStyle w:val="a6"/>
          <w:rFonts w:ascii="黑体" w:eastAsia="黑体" w:hAnsi="黑体" w:cs="黑体"/>
          <w:sz w:val="32"/>
          <w:szCs w:val="32"/>
          <w:shd w:val="clear" w:color="auto" w:fill="FFFFFF"/>
        </w:rPr>
        <w:t>一、部门基本情况</w:t>
      </w:r>
    </w:p>
    <w:p w14:paraId="11FB3C57" w14:textId="77777777" w:rsidR="00C7140F" w:rsidRDefault="00000000">
      <w:pPr>
        <w:pStyle w:val="a5"/>
        <w:shd w:val="clear" w:color="auto" w:fill="FFFFFF"/>
        <w:ind w:firstLine="420"/>
        <w:rPr>
          <w:rStyle w:val="a6"/>
          <w:rFonts w:ascii="楷体" w:eastAsia="楷体" w:hAnsi="楷体" w:cs="楷体"/>
          <w:sz w:val="32"/>
          <w:szCs w:val="32"/>
          <w:shd w:val="clear" w:color="auto" w:fill="FFFFFF"/>
        </w:rPr>
      </w:pPr>
      <w:r>
        <w:rPr>
          <w:rStyle w:val="a6"/>
          <w:rFonts w:ascii="楷体" w:eastAsia="楷体" w:hAnsi="楷体" w:cs="楷体"/>
          <w:sz w:val="32"/>
          <w:szCs w:val="32"/>
          <w:shd w:val="clear" w:color="auto" w:fill="FFFFFF"/>
        </w:rPr>
        <w:t>（一）职能职责</w:t>
      </w:r>
    </w:p>
    <w:p w14:paraId="6E469AFD" w14:textId="77777777" w:rsidR="00C7140F"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hint="default"/>
          <w:sz w:val="32"/>
          <w:szCs w:val="32"/>
        </w:rPr>
      </w:pPr>
      <w:r>
        <w:rPr>
          <w:rFonts w:ascii="Times New Roman" w:eastAsia="方正仿宋_GBK" w:hAnsi="Times New Roman" w:hint="default"/>
          <w:sz w:val="32"/>
          <w:szCs w:val="32"/>
        </w:rPr>
        <w:t>贯彻执行国家和我市有关房屋征收与补偿工作的法律法规和政策。受房屋征收部门委托，承担房屋征收与补偿具体工作。开展征收项目经济技术可行性研究。受房屋征收部门委托，承担被征收房屋权属、区位、用途及建筑面积等调查登记工作。配合房屋征收部门开展房屋征收与补偿的各项公示工作。负责征收补偿资金的发放和管理，统筹征收安置房源的管理和服务工作。具体承办房屋征收信访稳定和拆迁遗留问题化解工作。承担征收资料收集、档案管理、权证注销申办等事务性工作。承担征收现场拆房安全管理、扬尘控制和城市管理工作。承担国有土地上房屋征收信息化建设工作。配合房屋征收部门接受审计工作。完成上级主管部门交办的其他工作任务。</w:t>
      </w:r>
    </w:p>
    <w:p w14:paraId="25B4BD65" w14:textId="77777777" w:rsidR="00C7140F" w:rsidRDefault="00000000">
      <w:pPr>
        <w:pStyle w:val="a5"/>
        <w:numPr>
          <w:ilvl w:val="0"/>
          <w:numId w:val="1"/>
        </w:numPr>
        <w:shd w:val="clear" w:color="auto" w:fill="FFFFFF"/>
        <w:ind w:firstLineChars="200" w:firstLine="643"/>
        <w:rPr>
          <w:rStyle w:val="a6"/>
          <w:rFonts w:ascii="楷体" w:eastAsia="楷体" w:hAnsi="楷体" w:cs="楷体"/>
          <w:sz w:val="32"/>
          <w:szCs w:val="32"/>
          <w:shd w:val="clear" w:color="auto" w:fill="FFFFFF"/>
        </w:rPr>
      </w:pPr>
      <w:r>
        <w:rPr>
          <w:rStyle w:val="a6"/>
          <w:rFonts w:ascii="楷体" w:eastAsia="楷体" w:hAnsi="楷体" w:cs="楷体"/>
          <w:sz w:val="32"/>
          <w:szCs w:val="32"/>
          <w:shd w:val="clear" w:color="auto" w:fill="FFFFFF"/>
        </w:rPr>
        <w:t>机构设置</w:t>
      </w:r>
    </w:p>
    <w:p w14:paraId="21D28B4F" w14:textId="77777777" w:rsidR="00C7140F" w:rsidRDefault="00000000">
      <w:pPr>
        <w:kinsoku w:val="0"/>
        <w:autoSpaceDE w:val="0"/>
        <w:autoSpaceDN w:val="0"/>
        <w:adjustRightInd w:val="0"/>
        <w:snapToGrid w:val="0"/>
        <w:spacing w:line="600" w:lineRule="exact"/>
        <w:ind w:firstLineChars="200" w:firstLine="643"/>
        <w:jc w:val="both"/>
        <w:textAlignment w:val="baseline"/>
        <w:rPr>
          <w:rStyle w:val="a6"/>
          <w:rFonts w:ascii="楷体" w:eastAsia="楷体" w:hAnsi="楷体" w:cs="楷体"/>
          <w:sz w:val="32"/>
          <w:szCs w:val="32"/>
          <w:shd w:val="clear" w:color="auto" w:fill="FFFFFF"/>
        </w:rPr>
      </w:pPr>
      <w:r>
        <w:rPr>
          <w:rStyle w:val="a6"/>
          <w:rFonts w:ascii="楷体" w:eastAsia="楷体" w:hAnsi="楷体" w:cs="楷体"/>
          <w:sz w:val="32"/>
          <w:szCs w:val="32"/>
          <w:shd w:val="clear" w:color="auto" w:fill="FFFFFF"/>
        </w:rPr>
        <w:t xml:space="preserve"> </w:t>
      </w:r>
      <w:r>
        <w:rPr>
          <w:rFonts w:ascii="Times New Roman" w:eastAsia="方正仿宋_GBK" w:hAnsi="Times New Roman" w:hint="default"/>
          <w:sz w:val="32"/>
          <w:szCs w:val="32"/>
        </w:rPr>
        <w:t>渝中区房屋征收中心内设</w:t>
      </w:r>
      <w:r>
        <w:rPr>
          <w:rFonts w:ascii="Times New Roman" w:eastAsia="方正仿宋_GBK" w:hAnsi="Times New Roman" w:hint="default"/>
          <w:sz w:val="32"/>
          <w:szCs w:val="32"/>
        </w:rPr>
        <w:t>9</w:t>
      </w:r>
      <w:r>
        <w:rPr>
          <w:rFonts w:ascii="Times New Roman" w:eastAsia="方正仿宋_GBK" w:hAnsi="Times New Roman" w:hint="default"/>
          <w:sz w:val="32"/>
          <w:szCs w:val="32"/>
        </w:rPr>
        <w:t>个科室，分别是综合科、财务科、规划发展科、安置补偿科、审核监督科、法律事务科、安置房管理科、安全生产科、档案信息利用科。</w:t>
      </w:r>
    </w:p>
    <w:p w14:paraId="25371158" w14:textId="77777777" w:rsidR="00C7140F" w:rsidRDefault="00000000">
      <w:pPr>
        <w:pStyle w:val="a5"/>
        <w:shd w:val="clear" w:color="auto" w:fill="FFFFFF"/>
        <w:rPr>
          <w:rStyle w:val="a6"/>
          <w:rFonts w:ascii="黑体" w:eastAsia="黑体" w:hAnsi="黑体" w:cs="黑体"/>
          <w:sz w:val="32"/>
          <w:szCs w:val="32"/>
          <w:shd w:val="clear" w:color="auto" w:fill="FFFFFF"/>
        </w:rPr>
      </w:pPr>
      <w:r>
        <w:rPr>
          <w:rStyle w:val="a6"/>
          <w:rFonts w:ascii="黑体" w:eastAsia="黑体" w:hAnsi="黑体" w:cs="黑体"/>
          <w:sz w:val="32"/>
          <w:szCs w:val="32"/>
          <w:shd w:val="clear" w:color="auto" w:fill="FFFFFF"/>
        </w:rPr>
        <w:lastRenderedPageBreak/>
        <w:t>二、部门决算情况说明</w:t>
      </w:r>
    </w:p>
    <w:p w14:paraId="4CA126EC"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14:paraId="5D5F1049" w14:textId="7212EECD" w:rsidR="00C7140F" w:rsidRDefault="00000000">
      <w:pPr>
        <w:kinsoku w:val="0"/>
        <w:autoSpaceDE w:val="0"/>
        <w:autoSpaceDN w:val="0"/>
        <w:adjustRightInd w:val="0"/>
        <w:snapToGrid w:val="0"/>
        <w:spacing w:line="600" w:lineRule="exact"/>
        <w:ind w:firstLineChars="200" w:firstLine="640"/>
        <w:jc w:val="both"/>
        <w:textAlignment w:val="baseline"/>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2023年度收入总计1345.70万元，支出总计</w:t>
      </w:r>
      <w:r>
        <w:rPr>
          <w:rFonts w:ascii="方正仿宋_GBK" w:eastAsia="方正仿宋_GBK" w:hAnsi="方正仿宋_GBK" w:cs="方正仿宋_GBK"/>
          <w:sz w:val="32"/>
          <w:szCs w:val="32"/>
        </w:rPr>
        <w:t>1345.70</w:t>
      </w:r>
      <w:r>
        <w:rPr>
          <w:rFonts w:ascii="方正仿宋_GBK" w:eastAsia="方正仿宋_GBK" w:hAnsi="方正仿宋_GBK" w:cs="方正仿宋_GBK"/>
          <w:sz w:val="32"/>
          <w:szCs w:val="32"/>
          <w:shd w:val="clear" w:color="auto" w:fill="FFFFFF"/>
        </w:rPr>
        <w:t>万元。收支较上年决算数减少2523.43万元，下降65.22%，主要原因是</w:t>
      </w:r>
      <w:r>
        <w:rPr>
          <w:rFonts w:ascii="Times New Roman" w:eastAsia="方正仿宋_GBK" w:hAnsi="Times New Roman"/>
          <w:sz w:val="32"/>
          <w:szCs w:val="32"/>
        </w:rPr>
        <w:t>2022</w:t>
      </w:r>
      <w:r>
        <w:rPr>
          <w:rFonts w:ascii="Times New Roman" w:eastAsia="方正仿宋_GBK" w:hAnsi="Times New Roman"/>
          <w:sz w:val="32"/>
          <w:szCs w:val="32"/>
        </w:rPr>
        <w:t>年项目完工</w:t>
      </w:r>
      <w:r>
        <w:rPr>
          <w:rFonts w:ascii="Times New Roman" w:eastAsia="方正仿宋_GBK" w:hAnsi="Times New Roman" w:hint="default"/>
          <w:sz w:val="32"/>
          <w:szCs w:val="32"/>
        </w:rPr>
        <w:t>减少</w:t>
      </w:r>
      <w:r>
        <w:rPr>
          <w:rFonts w:ascii="Times New Roman" w:eastAsia="方正仿宋_GBK" w:hAnsi="Times New Roman"/>
          <w:sz w:val="32"/>
          <w:szCs w:val="32"/>
        </w:rPr>
        <w:t>了项目、维稳经费</w:t>
      </w:r>
      <w:r>
        <w:rPr>
          <w:rFonts w:ascii="Times New Roman" w:eastAsia="方正仿宋_GBK" w:hAnsi="Times New Roman" w:hint="default"/>
          <w:sz w:val="32"/>
          <w:szCs w:val="32"/>
        </w:rPr>
        <w:t>等资金</w:t>
      </w:r>
      <w:r>
        <w:rPr>
          <w:rFonts w:ascii="Times New Roman" w:eastAsia="方正仿宋_GBK" w:hAnsi="Times New Roman"/>
          <w:sz w:val="32"/>
          <w:szCs w:val="32"/>
        </w:rPr>
        <w:t>收入及</w:t>
      </w:r>
      <w:r>
        <w:rPr>
          <w:rFonts w:ascii="Times New Roman" w:eastAsia="方正仿宋_GBK" w:hAnsi="Times New Roman" w:hint="default"/>
          <w:sz w:val="32"/>
          <w:szCs w:val="32"/>
        </w:rPr>
        <w:t>支出。</w:t>
      </w:r>
    </w:p>
    <w:p w14:paraId="2300B795"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2023年度收入合计1345.70万元，较上年决算数减少117.97万元，下降8.06%，主要原因是财政拨款减少</w:t>
      </w:r>
      <w:r>
        <w:rPr>
          <w:rFonts w:ascii="Times New Roman" w:eastAsia="方正仿宋_GBK" w:hAnsi="Times New Roman"/>
          <w:sz w:val="32"/>
          <w:szCs w:val="32"/>
        </w:rPr>
        <w:t>维稳经费拨入。</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663.66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49.32</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682.05</w:t>
      </w:r>
      <w:r>
        <w:rPr>
          <w:rFonts w:ascii="方正仿宋_GBK" w:eastAsia="方正仿宋_GBK" w:hAnsi="方正仿宋_GBK" w:cs="方正仿宋_GBK"/>
          <w:sz w:val="32"/>
          <w:szCs w:val="32"/>
          <w:shd w:val="clear" w:color="auto" w:fill="FFFFFF"/>
        </w:rPr>
        <w:t>万元，占50.68%；经营收入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D8F9AA7" w14:textId="13B1F72F" w:rsidR="00C7140F" w:rsidRDefault="00000000">
      <w:pPr>
        <w:kinsoku w:val="0"/>
        <w:autoSpaceDE w:val="0"/>
        <w:autoSpaceDN w:val="0"/>
        <w:adjustRightInd w:val="0"/>
        <w:snapToGrid w:val="0"/>
        <w:spacing w:line="600" w:lineRule="exact"/>
        <w:ind w:firstLineChars="200" w:firstLine="640"/>
        <w:jc w:val="both"/>
        <w:textAlignment w:val="baseline"/>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1345.70</w:t>
      </w:r>
      <w:r>
        <w:rPr>
          <w:rFonts w:ascii="方正仿宋_GBK" w:eastAsia="方正仿宋_GBK" w:hAnsi="方正仿宋_GBK" w:cs="方正仿宋_GBK"/>
          <w:sz w:val="32"/>
          <w:szCs w:val="32"/>
          <w:shd w:val="clear" w:color="auto" w:fill="FFFFFF"/>
        </w:rPr>
        <w:t>万元，较上年决算数减少2523.43万元，下降65.22%，主要原因是</w:t>
      </w:r>
      <w:r>
        <w:rPr>
          <w:rFonts w:ascii="Times New Roman" w:eastAsia="方正仿宋_GBK" w:hAnsi="Times New Roman"/>
          <w:sz w:val="32"/>
          <w:szCs w:val="32"/>
        </w:rPr>
        <w:t>2022</w:t>
      </w:r>
      <w:r>
        <w:rPr>
          <w:rFonts w:ascii="Times New Roman" w:eastAsia="方正仿宋_GBK" w:hAnsi="Times New Roman"/>
          <w:sz w:val="32"/>
          <w:szCs w:val="32"/>
        </w:rPr>
        <w:t>年项目完工</w:t>
      </w:r>
      <w:r>
        <w:rPr>
          <w:rFonts w:ascii="Times New Roman" w:eastAsia="方正仿宋_GBK" w:hAnsi="Times New Roman" w:hint="default"/>
          <w:sz w:val="32"/>
          <w:szCs w:val="32"/>
        </w:rPr>
        <w:t>减少</w:t>
      </w:r>
      <w:r>
        <w:rPr>
          <w:rFonts w:ascii="Times New Roman" w:eastAsia="方正仿宋_GBK" w:hAnsi="Times New Roman"/>
          <w:sz w:val="32"/>
          <w:szCs w:val="32"/>
        </w:rPr>
        <w:t>了项目、维稳经费</w:t>
      </w:r>
      <w:r>
        <w:rPr>
          <w:rFonts w:ascii="Times New Roman" w:eastAsia="方正仿宋_GBK" w:hAnsi="Times New Roman" w:hint="default"/>
          <w:sz w:val="32"/>
          <w:szCs w:val="32"/>
        </w:rPr>
        <w:t>等项目资金支出</w:t>
      </w:r>
      <w:r>
        <w:rPr>
          <w:rFonts w:ascii="Times New Roman" w:eastAsia="方正仿宋_GBK" w:hAnsi="Times New Roman"/>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1059.03</w:t>
      </w:r>
      <w:r>
        <w:rPr>
          <w:rFonts w:ascii="方正仿宋_GBK" w:eastAsia="方正仿宋_GBK" w:hAnsi="方正仿宋_GBK" w:cs="方正仿宋_GBK"/>
          <w:sz w:val="32"/>
          <w:szCs w:val="32"/>
          <w:shd w:val="clear" w:color="auto" w:fill="FFFFFF"/>
        </w:rPr>
        <w:t>万元，占78.70%；项目支出</w:t>
      </w:r>
      <w:r>
        <w:rPr>
          <w:rFonts w:ascii="方正仿宋_GBK" w:eastAsia="方正仿宋_GBK" w:hAnsi="方正仿宋_GBK" w:cs="方正仿宋_GBK"/>
          <w:sz w:val="32"/>
          <w:szCs w:val="32"/>
        </w:rPr>
        <w:t>286.68</w:t>
      </w:r>
      <w:r>
        <w:rPr>
          <w:rFonts w:ascii="方正仿宋_GBK" w:eastAsia="方正仿宋_GBK" w:hAnsi="方正仿宋_GBK" w:cs="方正仿宋_GBK"/>
          <w:sz w:val="32"/>
          <w:szCs w:val="32"/>
          <w:shd w:val="clear" w:color="auto" w:fill="FFFFFF"/>
        </w:rPr>
        <w:t>万元，占21.30%；经营支出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392CFC78"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lastRenderedPageBreak/>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万元，较上年决算数无增减，主要原因是部门收支平衡，无年末结转结余。</w:t>
      </w:r>
    </w:p>
    <w:p w14:paraId="0DDE4E8E"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14:paraId="24785197" w14:textId="046C72D1" w:rsidR="00C7140F" w:rsidRDefault="00000000">
      <w:pPr>
        <w:kinsoku w:val="0"/>
        <w:autoSpaceDE w:val="0"/>
        <w:autoSpaceDN w:val="0"/>
        <w:adjustRightInd w:val="0"/>
        <w:snapToGrid w:val="0"/>
        <w:spacing w:line="600" w:lineRule="exact"/>
        <w:ind w:firstLineChars="200" w:firstLine="640"/>
        <w:jc w:val="both"/>
        <w:textAlignment w:val="baseline"/>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2023年度财政拨款收、支总计663.66万元。与2022年相比，财政拨款收、支总计各减少2519.75万元，下降79.15%。主要原因是</w:t>
      </w:r>
      <w:r>
        <w:rPr>
          <w:rFonts w:ascii="Times New Roman" w:eastAsia="方正仿宋_GBK" w:hAnsi="Times New Roman"/>
          <w:sz w:val="32"/>
          <w:szCs w:val="32"/>
        </w:rPr>
        <w:t>项目完工</w:t>
      </w:r>
      <w:r>
        <w:rPr>
          <w:rFonts w:ascii="Times New Roman" w:eastAsia="方正仿宋_GBK" w:hAnsi="Times New Roman" w:hint="default"/>
          <w:sz w:val="32"/>
          <w:szCs w:val="32"/>
        </w:rPr>
        <w:t>减少</w:t>
      </w:r>
      <w:r>
        <w:rPr>
          <w:rFonts w:ascii="Times New Roman" w:eastAsia="方正仿宋_GBK" w:hAnsi="Times New Roman"/>
          <w:sz w:val="32"/>
          <w:szCs w:val="32"/>
        </w:rPr>
        <w:t>征收项目，维稳经费</w:t>
      </w:r>
      <w:r>
        <w:rPr>
          <w:rFonts w:ascii="Times New Roman" w:eastAsia="方正仿宋_GBK" w:hAnsi="Times New Roman" w:hint="default"/>
          <w:sz w:val="32"/>
          <w:szCs w:val="32"/>
        </w:rPr>
        <w:t>等资金</w:t>
      </w:r>
      <w:r>
        <w:rPr>
          <w:rFonts w:ascii="Times New Roman" w:eastAsia="方正仿宋_GBK" w:hAnsi="Times New Roman"/>
          <w:sz w:val="32"/>
          <w:szCs w:val="32"/>
        </w:rPr>
        <w:t>收入及</w:t>
      </w:r>
      <w:r>
        <w:rPr>
          <w:rFonts w:ascii="Times New Roman" w:eastAsia="方正仿宋_GBK" w:hAnsi="Times New Roman" w:hint="default"/>
          <w:sz w:val="32"/>
          <w:szCs w:val="32"/>
        </w:rPr>
        <w:t>支出。</w:t>
      </w:r>
    </w:p>
    <w:p w14:paraId="36DEC394"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14:paraId="1B01E7AC"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663.66</w:t>
      </w:r>
      <w:r>
        <w:rPr>
          <w:rFonts w:ascii="方正仿宋_GBK" w:eastAsia="方正仿宋_GBK" w:hAnsi="方正仿宋_GBK" w:cs="方正仿宋_GBK"/>
          <w:sz w:val="32"/>
          <w:szCs w:val="32"/>
          <w:shd w:val="clear" w:color="auto" w:fill="FFFFFF"/>
        </w:rPr>
        <w:t>万元，较上年决算数减少114.29万元，下降14.69%。主要原因是减少</w:t>
      </w:r>
      <w:r>
        <w:rPr>
          <w:rFonts w:ascii="Times New Roman" w:eastAsia="方正仿宋_GBK" w:hAnsi="Times New Roman"/>
          <w:sz w:val="32"/>
          <w:szCs w:val="32"/>
        </w:rPr>
        <w:t>维稳经费拨入。</w:t>
      </w:r>
      <w:r>
        <w:rPr>
          <w:rFonts w:ascii="方正仿宋_GBK" w:eastAsia="方正仿宋_GBK" w:hAnsi="方正仿宋_GBK" w:cs="方正仿宋_GBK"/>
          <w:sz w:val="32"/>
          <w:szCs w:val="32"/>
          <w:shd w:val="clear" w:color="auto" w:fill="FFFFFF"/>
        </w:rPr>
        <w:t>较年初预算数减少41.27万元，下降5.85%。主要原因是人员退休减少，公务用车运行维护费减少。此外，年初财政拨款结转和结余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33218255" w14:textId="054CBA9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663.66</w:t>
      </w:r>
      <w:r>
        <w:rPr>
          <w:rFonts w:ascii="方正仿宋_GBK" w:eastAsia="方正仿宋_GBK" w:hAnsi="方正仿宋_GBK" w:cs="方正仿宋_GBK"/>
          <w:sz w:val="32"/>
          <w:szCs w:val="32"/>
          <w:shd w:val="clear" w:color="auto" w:fill="FFFFFF"/>
        </w:rPr>
        <w:t>万元，较上年决算数减少1851.69万元，下降73.62%。主要原因是</w:t>
      </w:r>
      <w:r>
        <w:rPr>
          <w:rFonts w:ascii="Times New Roman" w:eastAsia="方正仿宋_GBK" w:hAnsi="Times New Roman"/>
          <w:sz w:val="32"/>
          <w:szCs w:val="32"/>
        </w:rPr>
        <w:t>2022</w:t>
      </w:r>
      <w:r>
        <w:rPr>
          <w:rFonts w:ascii="Times New Roman" w:eastAsia="方正仿宋_GBK" w:hAnsi="Times New Roman"/>
          <w:sz w:val="32"/>
          <w:szCs w:val="32"/>
        </w:rPr>
        <w:t>年征收项目完工</w:t>
      </w:r>
      <w:r>
        <w:rPr>
          <w:rFonts w:ascii="Times New Roman" w:eastAsia="方正仿宋_GBK" w:hAnsi="Times New Roman" w:hint="default"/>
          <w:sz w:val="32"/>
          <w:szCs w:val="32"/>
        </w:rPr>
        <w:t>减少</w:t>
      </w:r>
      <w:r>
        <w:rPr>
          <w:rFonts w:ascii="Times New Roman" w:eastAsia="方正仿宋_GBK" w:hAnsi="Times New Roman"/>
          <w:sz w:val="32"/>
          <w:szCs w:val="32"/>
        </w:rPr>
        <w:t>项目支出、维稳经费</w:t>
      </w:r>
      <w:r>
        <w:rPr>
          <w:rFonts w:ascii="Times New Roman" w:eastAsia="方正仿宋_GBK" w:hAnsi="Times New Roman" w:hint="default"/>
          <w:sz w:val="32"/>
          <w:szCs w:val="32"/>
        </w:rPr>
        <w:t>等资金支出</w:t>
      </w:r>
      <w:r>
        <w:rPr>
          <w:rFonts w:ascii="Times New Roman" w:eastAsia="方正仿宋_GBK" w:hAnsi="Times New Roman"/>
          <w:sz w:val="32"/>
          <w:szCs w:val="32"/>
        </w:rPr>
        <w:t>。</w:t>
      </w:r>
      <w:r>
        <w:rPr>
          <w:rFonts w:ascii="方正仿宋_GBK" w:eastAsia="方正仿宋_GBK" w:hAnsi="方正仿宋_GBK" w:cs="方正仿宋_GBK"/>
          <w:sz w:val="32"/>
          <w:szCs w:val="32"/>
          <w:shd w:val="clear" w:color="auto" w:fill="FFFFFF"/>
        </w:rPr>
        <w:t>较年初预算数减少41.27万元，下降5.85%。主要原因是人员退休减少，公务用车运行维护费减少。</w:t>
      </w:r>
    </w:p>
    <w:p w14:paraId="2791D058"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lastRenderedPageBreak/>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万元，较上年决算数无增减，主要原因是部门收支平衡，无年末结转结余。</w:t>
      </w:r>
    </w:p>
    <w:p w14:paraId="1FF2952A"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FF0000"/>
          <w:sz w:val="32"/>
          <w:szCs w:val="32"/>
          <w:highlight w:val="cyan"/>
          <w:shd w:val="clear" w:color="auto" w:fill="FFFFFF"/>
        </w:rPr>
      </w:pPr>
      <w:r>
        <w:rPr>
          <w:rStyle w:val="a6"/>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14:paraId="385133E4"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90.19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13.59</w:t>
      </w:r>
      <w:r>
        <w:rPr>
          <w:rFonts w:ascii="方正仿宋_GBK" w:eastAsia="方正仿宋_GBK" w:hAnsi="方正仿宋_GBK" w:cs="方正仿宋_GBK"/>
          <w:sz w:val="32"/>
          <w:szCs w:val="32"/>
          <w:shd w:val="clear" w:color="auto" w:fill="FFFFFF"/>
        </w:rPr>
        <w:t>%，较年初预算数减少1.76万元，下降1.91%，主要原因是有人员退休。</w:t>
      </w:r>
    </w:p>
    <w:p w14:paraId="1E407E2F"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42.52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6.41</w:t>
      </w:r>
      <w:r>
        <w:rPr>
          <w:rFonts w:ascii="方正仿宋_GBK" w:eastAsia="方正仿宋_GBK" w:hAnsi="方正仿宋_GBK" w:cs="方正仿宋_GBK"/>
          <w:sz w:val="32"/>
          <w:szCs w:val="32"/>
          <w:shd w:val="clear" w:color="auto" w:fill="FFFFFF"/>
        </w:rPr>
        <w:t>%，较年初预算数减少3.52万元，下降7.65%，主要原因是有人员退休。</w:t>
      </w:r>
    </w:p>
    <w:p w14:paraId="2B358813"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（3）城乡社区支出</w:t>
      </w:r>
      <w:r>
        <w:rPr>
          <w:rFonts w:ascii="方正仿宋_GBK" w:eastAsia="方正仿宋_GBK" w:hAnsi="方正仿宋_GBK" w:cs="方正仿宋_GBK"/>
          <w:sz w:val="32"/>
          <w:szCs w:val="32"/>
        </w:rPr>
        <w:t>472.14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71.14</w:t>
      </w:r>
      <w:r>
        <w:rPr>
          <w:rFonts w:ascii="方正仿宋_GBK" w:eastAsia="方正仿宋_GBK" w:hAnsi="方正仿宋_GBK" w:cs="方正仿宋_GBK"/>
          <w:sz w:val="32"/>
          <w:szCs w:val="32"/>
          <w:shd w:val="clear" w:color="auto" w:fill="FFFFFF"/>
        </w:rPr>
        <w:t>%，较年初预算数减少36.72万元，下降7.22%，</w:t>
      </w:r>
      <w:r>
        <w:rPr>
          <w:rFonts w:ascii="Times New Roman" w:eastAsia="方正仿宋_GBK" w:hAnsi="Times New Roman" w:hint="default"/>
          <w:sz w:val="32"/>
          <w:szCs w:val="32"/>
        </w:rPr>
        <w:t>主要原因是</w:t>
      </w:r>
      <w:r>
        <w:rPr>
          <w:rFonts w:ascii="Times New Roman" w:eastAsia="方正仿宋_GBK" w:hAnsi="Times New Roman"/>
          <w:sz w:val="32"/>
          <w:szCs w:val="32"/>
        </w:rPr>
        <w:t>有人员退休。</w:t>
      </w:r>
    </w:p>
    <w:p w14:paraId="3FB200D1" w14:textId="77777777" w:rsidR="00C7140F" w:rsidRDefault="00000000">
      <w:pPr>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住房保障支出58.81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8.86</w:t>
      </w:r>
      <w:r>
        <w:rPr>
          <w:rFonts w:ascii="方正仿宋_GBK" w:eastAsia="方正仿宋_GBK" w:hAnsi="方正仿宋_GBK" w:cs="方正仿宋_GBK"/>
          <w:sz w:val="32"/>
          <w:szCs w:val="32"/>
          <w:shd w:val="clear" w:color="auto" w:fill="FFFFFF"/>
        </w:rPr>
        <w:t>%，较年初预算数增加0.74万元，增长1.27%，主要原因是补发新增人员住房补贴。</w:t>
      </w:r>
    </w:p>
    <w:p w14:paraId="2AD62972"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14:paraId="7500B3E2"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549.37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431.18</w:t>
      </w:r>
      <w:r>
        <w:rPr>
          <w:rFonts w:ascii="方正仿宋_GBK" w:eastAsia="方正仿宋_GBK" w:hAnsi="方正仿宋_GBK" w:cs="方正仿宋_GBK"/>
          <w:sz w:val="32"/>
          <w:szCs w:val="32"/>
          <w:shd w:val="clear" w:color="auto" w:fill="FFFFFF"/>
        </w:rPr>
        <w:t>万元，较上年决算数减少31.22万元，下降6.75%，主要原因是有人员退休。人员经费用途主要包括在职在编职工基本工资发放以及养老金，职业年金，医保金，住房公积金等缴存。公用经费</w:t>
      </w:r>
      <w:r>
        <w:rPr>
          <w:rFonts w:ascii="方正仿宋_GBK" w:eastAsia="方正仿宋_GBK" w:hAnsi="方正仿宋_GBK" w:cs="方正仿宋_GBK"/>
          <w:sz w:val="32"/>
          <w:szCs w:val="32"/>
        </w:rPr>
        <w:t>118.19</w:t>
      </w:r>
      <w:r>
        <w:rPr>
          <w:rFonts w:ascii="方正仿宋_GBK" w:eastAsia="方正仿宋_GBK" w:hAnsi="方正仿宋_GBK" w:cs="方正仿宋_GBK"/>
          <w:sz w:val="32"/>
          <w:szCs w:val="32"/>
          <w:shd w:val="clear" w:color="auto" w:fill="FFFFFF"/>
        </w:rPr>
        <w:t>万元，较上</w:t>
      </w:r>
      <w:r>
        <w:rPr>
          <w:rFonts w:ascii="方正仿宋_GBK" w:eastAsia="方正仿宋_GBK" w:hAnsi="方正仿宋_GBK" w:cs="方正仿宋_GBK"/>
          <w:sz w:val="32"/>
          <w:szCs w:val="32"/>
          <w:shd w:val="clear" w:color="auto" w:fill="FFFFFF"/>
        </w:rPr>
        <w:lastRenderedPageBreak/>
        <w:t>年决算数增加11.13万元，增长10.40%，主要原因是有新增人员等。公用经费用途主要包括部门日常运行办公费，水电费，邮电费，维修费，公务用车运行维护费等。</w:t>
      </w:r>
    </w:p>
    <w:p w14:paraId="3701CB28"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14:paraId="5ADB804B"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万元，较上年决算数无增减，主要原因是本单位2023年度无政府性基金预算财政拨款。本年支出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万元，较上年决算数减少668.07万元，下降100.00%，主要原因是2022年拨款项目已完工且2023年无政府性基金预算财政拨款</w:t>
      </w:r>
      <w:r>
        <w:rPr>
          <w:rFonts w:ascii="Times New Roman" w:eastAsia="方正仿宋_GBK" w:hAnsi="Times New Roman"/>
          <w:sz w:val="32"/>
          <w:szCs w:val="32"/>
        </w:rPr>
        <w:t>。</w:t>
      </w:r>
    </w:p>
    <w:p w14:paraId="31D59104"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14:paraId="69292323"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本单位2023年度无国有资本经营预算财政拨款支出。</w:t>
      </w:r>
    </w:p>
    <w:p w14:paraId="6A35EA00" w14:textId="77777777" w:rsidR="00C7140F" w:rsidRDefault="00C7140F">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p>
    <w:p w14:paraId="315EFE9B" w14:textId="77777777" w:rsidR="00C7140F" w:rsidRDefault="00000000">
      <w:pPr>
        <w:pStyle w:val="a5"/>
        <w:shd w:val="clear" w:color="auto" w:fill="FFFFFF"/>
        <w:rPr>
          <w:rStyle w:val="a6"/>
          <w:rFonts w:ascii="黑体" w:eastAsia="黑体" w:hAnsi="黑体" w:cs="黑体"/>
          <w:sz w:val="32"/>
          <w:szCs w:val="32"/>
          <w:shd w:val="clear" w:color="auto" w:fill="FFFFFF"/>
        </w:rPr>
      </w:pPr>
      <w:r>
        <w:rPr>
          <w:rStyle w:val="a6"/>
          <w:rFonts w:ascii="黑体" w:eastAsia="黑体" w:hAnsi="黑体" w:cs="黑体"/>
          <w:sz w:val="32"/>
          <w:szCs w:val="32"/>
          <w:shd w:val="clear" w:color="auto" w:fill="FFFFFF"/>
        </w:rPr>
        <w:t>三、“三公”经费情况说明</w:t>
      </w:r>
    </w:p>
    <w:p w14:paraId="245A5CC6"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14:paraId="39A5D0F3" w14:textId="77777777" w:rsidR="00C7140F" w:rsidRDefault="00000000">
      <w:pPr>
        <w:kinsoku w:val="0"/>
        <w:autoSpaceDE w:val="0"/>
        <w:autoSpaceDN w:val="0"/>
        <w:adjustRightInd w:val="0"/>
        <w:snapToGrid w:val="0"/>
        <w:spacing w:line="600" w:lineRule="exact"/>
        <w:ind w:leftChars="133" w:left="319" w:firstLineChars="200" w:firstLine="640"/>
        <w:jc w:val="both"/>
        <w:textAlignment w:val="baseline"/>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2.98</w:t>
      </w:r>
      <w:r>
        <w:rPr>
          <w:rFonts w:ascii="方正仿宋_GBK" w:eastAsia="方正仿宋_GBK" w:hAnsi="方正仿宋_GBK" w:cs="方正仿宋_GBK"/>
          <w:sz w:val="32"/>
          <w:szCs w:val="32"/>
          <w:shd w:val="clear" w:color="auto" w:fill="FFFFFF"/>
        </w:rPr>
        <w:t>万元，较年初预算数减少12.02万元，下降80.13%，主要原因是对</w:t>
      </w:r>
      <w:r>
        <w:rPr>
          <w:rFonts w:ascii="Times New Roman" w:eastAsia="方正仿宋_GBK" w:hAnsi="Times New Roman"/>
          <w:sz w:val="32"/>
          <w:szCs w:val="32"/>
        </w:rPr>
        <w:t>年初预算进行调整追减。</w:t>
      </w:r>
      <w:r>
        <w:rPr>
          <w:rFonts w:ascii="方正仿宋_GBK" w:eastAsia="方正仿宋_GBK" w:hAnsi="方正仿宋_GBK" w:cs="方正仿宋_GBK"/>
          <w:sz w:val="32"/>
          <w:szCs w:val="32"/>
          <w:shd w:val="clear" w:color="auto" w:fill="FFFFFF"/>
        </w:rPr>
        <w:t>较上年支出数减少6.70万元，下降69.21%，主要原因是2023年对车辆进行了调整。</w:t>
      </w:r>
    </w:p>
    <w:p w14:paraId="294DDCE2"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14:paraId="2B1FA571" w14:textId="77777777" w:rsidR="00C7140F" w:rsidRDefault="00000000">
      <w:pPr>
        <w:pStyle w:val="a5"/>
        <w:snapToGrid w:val="0"/>
        <w:spacing w:before="0" w:beforeAutospacing="0" w:after="0" w:afterAutospacing="0" w:line="600" w:lineRule="exact"/>
        <w:ind w:leftChars="133" w:left="319"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2023年度本部门因公出国（境）费用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因为2023年未发生因公出国（境）费用。费用支出较年初预算数无增减，主要原因是因公出国（境）费用2023年无年初预算，且2023年度未发生因公出国（境）费用。较上年支出数无增减，主要原因是2022年和2023年均未发生因公出国（境）费用。</w:t>
      </w:r>
    </w:p>
    <w:p w14:paraId="781AA3A2" w14:textId="77777777" w:rsidR="00C7140F" w:rsidRDefault="00000000">
      <w:pPr>
        <w:pStyle w:val="a5"/>
        <w:snapToGrid w:val="0"/>
        <w:spacing w:before="0" w:beforeAutospacing="0" w:after="0" w:afterAutospacing="0" w:line="600" w:lineRule="exact"/>
        <w:ind w:leftChars="133" w:left="319"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因为2023年未发生公务车购置费用。费用支出较年初预算数无增减，主要原因是本费用2023年无年初预算，且2023年度未发生公务车购置费用。较上年支出数无增减，主要原因是2022年和2023年均未发生公务车购置费用。</w:t>
      </w:r>
    </w:p>
    <w:p w14:paraId="310477E9" w14:textId="77777777" w:rsidR="00C7140F" w:rsidRDefault="00000000">
      <w:pPr>
        <w:pStyle w:val="a5"/>
        <w:snapToGrid w:val="0"/>
        <w:spacing w:before="0" w:beforeAutospacing="0" w:after="0" w:afterAutospacing="0" w:line="600" w:lineRule="exact"/>
        <w:ind w:leftChars="133" w:left="319"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2.98</w:t>
      </w:r>
      <w:r>
        <w:rPr>
          <w:rFonts w:ascii="方正仿宋_GBK" w:eastAsia="方正仿宋_GBK" w:hAnsi="方正仿宋_GBK" w:cs="方正仿宋_GBK"/>
          <w:sz w:val="32"/>
          <w:szCs w:val="32"/>
          <w:shd w:val="clear" w:color="auto" w:fill="FFFFFF"/>
        </w:rPr>
        <w:t>万元，主要用于公务车保险费，维修费，停车费，燃油费等支出。费用支出较年初预算数减少12.02万元，下降80.13%，主要原因是对本费用</w:t>
      </w:r>
      <w:r>
        <w:rPr>
          <w:rFonts w:ascii="Times New Roman" w:eastAsia="方正仿宋_GBK" w:hAnsi="Times New Roman"/>
          <w:sz w:val="32"/>
          <w:szCs w:val="32"/>
        </w:rPr>
        <w:t>年初预算进行调整追减。</w:t>
      </w:r>
      <w:r>
        <w:rPr>
          <w:rFonts w:ascii="方正仿宋_GBK" w:eastAsia="方正仿宋_GBK" w:hAnsi="方正仿宋_GBK" w:cs="方正仿宋_GBK"/>
          <w:sz w:val="32"/>
          <w:szCs w:val="32"/>
          <w:shd w:val="clear" w:color="auto" w:fill="FFFFFF"/>
        </w:rPr>
        <w:t>较上年支出数减少6.70万元，下降69.21%，主要原因是2023年对车辆进行了调整。</w:t>
      </w:r>
    </w:p>
    <w:p w14:paraId="1378FB71" w14:textId="77777777" w:rsidR="00C7140F" w:rsidRDefault="00000000">
      <w:pPr>
        <w:pStyle w:val="a5"/>
        <w:snapToGrid w:val="0"/>
        <w:spacing w:before="0" w:beforeAutospacing="0" w:after="0" w:afterAutospacing="0" w:line="600" w:lineRule="exact"/>
        <w:ind w:leftChars="133" w:left="319" w:firstLineChars="100" w:firstLine="32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万元，主要是因为2023年未发生公务接待费。费用支出较年初预算数无增减，主要原因是本费用2023年无年初预算，且2023年度未发生公务接待费</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较上年支出数无增减，主要原因是2022年和2023年均未发生公务接待费。</w:t>
      </w:r>
    </w:p>
    <w:p w14:paraId="2352D0B4" w14:textId="77777777" w:rsidR="00C7140F" w:rsidRDefault="00C7140F">
      <w:pPr>
        <w:pStyle w:val="a5"/>
        <w:snapToGrid w:val="0"/>
        <w:spacing w:before="0" w:beforeAutospacing="0" w:after="0" w:afterAutospacing="0" w:line="600" w:lineRule="exact"/>
        <w:ind w:leftChars="133" w:left="319" w:firstLineChars="100" w:firstLine="320"/>
        <w:jc w:val="both"/>
        <w:rPr>
          <w:rFonts w:ascii="方正仿宋_GBK" w:eastAsia="方正仿宋_GBK" w:hAnsi="方正仿宋_GBK" w:cs="方正仿宋_GBK"/>
          <w:sz w:val="32"/>
          <w:szCs w:val="32"/>
        </w:rPr>
      </w:pPr>
    </w:p>
    <w:p w14:paraId="3B1D5B23"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14:paraId="703E2E12"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0.60</w:t>
      </w:r>
      <w:r>
        <w:rPr>
          <w:rFonts w:ascii="方正仿宋_GBK" w:eastAsia="方正仿宋_GBK" w:hAnsi="方正仿宋_GBK" w:cs="方正仿宋_GBK"/>
          <w:sz w:val="32"/>
          <w:szCs w:val="32"/>
          <w:shd w:val="clear" w:color="auto" w:fill="FFFFFF"/>
        </w:rPr>
        <w:t>万元。</w:t>
      </w:r>
    </w:p>
    <w:p w14:paraId="1C7A5902" w14:textId="77777777" w:rsidR="00C7140F" w:rsidRDefault="00000000">
      <w:pPr>
        <w:pStyle w:val="a5"/>
        <w:shd w:val="clear" w:color="auto" w:fill="FFFFFF"/>
        <w:rPr>
          <w:rStyle w:val="a6"/>
          <w:rFonts w:ascii="方正仿宋_GBK" w:eastAsia="方正仿宋_GBK" w:hAnsi="方正仿宋_GBK" w:cs="方正仿宋_GBK"/>
          <w:sz w:val="32"/>
          <w:szCs w:val="32"/>
          <w:shd w:val="clear" w:color="auto" w:fill="FFFFFF"/>
        </w:rPr>
      </w:pPr>
      <w:r>
        <w:rPr>
          <w:rStyle w:val="a6"/>
          <w:rFonts w:ascii="黑体" w:eastAsia="黑体" w:hAnsi="黑体" w:cs="黑体"/>
          <w:sz w:val="32"/>
          <w:szCs w:val="32"/>
          <w:shd w:val="clear" w:color="auto" w:fill="FFFFFF"/>
        </w:rPr>
        <w:t>四、其他需要说明的事项</w:t>
      </w:r>
    </w:p>
    <w:p w14:paraId="1CB56DEE"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  （一）财政拨款会议费和培训费情况说明</w:t>
      </w:r>
    </w:p>
    <w:p w14:paraId="774712E2" w14:textId="77777777" w:rsidR="00C7140F" w:rsidRDefault="00000000">
      <w:pPr>
        <w:pStyle w:val="a5"/>
        <w:snapToGrid w:val="0"/>
        <w:spacing w:before="0" w:beforeAutospacing="0" w:after="0" w:afterAutospacing="0" w:line="600" w:lineRule="exact"/>
        <w:ind w:leftChars="133" w:left="319" w:firstLineChars="100" w:firstLine="32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rPr>
        <w:t>我单位为差额拨款事业单位</w:t>
      </w:r>
      <w:r>
        <w:rPr>
          <w:rFonts w:ascii="方正仿宋_GBK" w:eastAsia="方正仿宋_GBK" w:hAnsi="方正仿宋_GBK" w:cs="方正仿宋_GBK" w:hint="default"/>
          <w:sz w:val="32"/>
          <w:szCs w:val="32"/>
        </w:rPr>
        <w:t>，财政未保障我单位会议费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5.58</w:t>
      </w:r>
      <w:r>
        <w:rPr>
          <w:rFonts w:ascii="方正仿宋_GBK" w:eastAsia="方正仿宋_GBK" w:hAnsi="方正仿宋_GBK" w:cs="方正仿宋_GBK"/>
          <w:sz w:val="32"/>
          <w:szCs w:val="32"/>
          <w:shd w:val="clear" w:color="auto" w:fill="FFFFFF"/>
        </w:rPr>
        <w:t>万元，较上年决算数增加2.98万元，增长114.62%，主要原因是党员远程网络教育费用，在编职工继续教育费用等。</w:t>
      </w:r>
    </w:p>
    <w:p w14:paraId="7CAC569E"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14:paraId="7A83E89A"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default"/>
          <w:sz w:val="32"/>
          <w:szCs w:val="32"/>
        </w:rPr>
        <w:t>按照部门决算列报口径，我单位不在机关运行经费统计范围之内</w:t>
      </w:r>
      <w:r>
        <w:rPr>
          <w:rFonts w:ascii="方正仿宋_GBK" w:eastAsia="方正仿宋_GBK" w:hAnsi="方正仿宋_GBK" w:cs="方正仿宋_GBK"/>
          <w:sz w:val="32"/>
          <w:szCs w:val="32"/>
        </w:rPr>
        <w:t>。</w:t>
      </w:r>
    </w:p>
    <w:p w14:paraId="317F49DE"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14:paraId="7B418F1B"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1D1BE743"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（四）政府采购支出情况说明</w:t>
      </w:r>
    </w:p>
    <w:p w14:paraId="5283B0E8"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133.17</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3.39</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129.79</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133.17万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129.79</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97.46</w:t>
      </w:r>
      <w:r>
        <w:rPr>
          <w:rFonts w:ascii="方正仿宋_GBK" w:eastAsia="方正仿宋_GBK" w:hAnsi="方正仿宋_GBK" w:cs="方正仿宋_GBK"/>
          <w:sz w:val="32"/>
          <w:szCs w:val="32"/>
          <w:shd w:val="clear" w:color="auto" w:fill="FFFFFF"/>
        </w:rPr>
        <w:t xml:space="preserve"> %。主要用于采购</w:t>
      </w:r>
      <w:r>
        <w:rPr>
          <w:rFonts w:ascii="Times New Roman" w:eastAsia="方正仿宋_GBK" w:hAnsi="Times New Roman" w:hint="default"/>
          <w:sz w:val="32"/>
          <w:szCs w:val="32"/>
        </w:rPr>
        <w:t>政府采购工程支出</w:t>
      </w:r>
      <w:r>
        <w:rPr>
          <w:rFonts w:ascii="Times New Roman" w:eastAsia="方正仿宋_GBK" w:hAnsi="Times New Roman"/>
          <w:sz w:val="32"/>
          <w:szCs w:val="32"/>
        </w:rPr>
        <w:t>129.79</w:t>
      </w:r>
      <w:r>
        <w:rPr>
          <w:rFonts w:ascii="Times New Roman" w:eastAsia="方正仿宋_GBK" w:hAnsi="Times New Roman" w:hint="default"/>
          <w:sz w:val="32"/>
          <w:szCs w:val="32"/>
        </w:rPr>
        <w:t>万元</w:t>
      </w:r>
      <w:r>
        <w:rPr>
          <w:rFonts w:ascii="Times New Roman" w:eastAsia="方正仿宋_GBK" w:hAnsi="Times New Roman"/>
          <w:sz w:val="32"/>
          <w:szCs w:val="32"/>
        </w:rPr>
        <w:t>（征收项目拆除工程费）。</w:t>
      </w:r>
    </w:p>
    <w:p w14:paraId="21269DA2" w14:textId="77777777" w:rsidR="00C7140F" w:rsidRDefault="00000000">
      <w:pPr>
        <w:pStyle w:val="a5"/>
        <w:numPr>
          <w:ilvl w:val="0"/>
          <w:numId w:val="2"/>
        </w:numPr>
        <w:shd w:val="clear" w:color="auto" w:fill="FFFFFF"/>
        <w:rPr>
          <w:rStyle w:val="a6"/>
          <w:rFonts w:ascii="黑体" w:eastAsia="黑体" w:hAnsi="黑体" w:cs="黑体"/>
          <w:sz w:val="32"/>
          <w:szCs w:val="32"/>
          <w:shd w:val="clear" w:color="auto" w:fill="FFFFFF"/>
        </w:rPr>
      </w:pPr>
      <w:r>
        <w:rPr>
          <w:rStyle w:val="a6"/>
          <w:rFonts w:ascii="黑体" w:eastAsia="黑体" w:hAnsi="黑体" w:cs="黑体"/>
          <w:sz w:val="32"/>
          <w:szCs w:val="32"/>
          <w:shd w:val="clear" w:color="auto" w:fill="FFFFFF"/>
        </w:rPr>
        <w:t>预算绩效管理情况说明</w:t>
      </w:r>
    </w:p>
    <w:p w14:paraId="617A1229"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14:paraId="2317A595" w14:textId="77777777" w:rsidR="00C7140F"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hint="default"/>
          <w:sz w:val="32"/>
          <w:szCs w:val="32"/>
        </w:rPr>
      </w:pPr>
      <w:r>
        <w:rPr>
          <w:rFonts w:ascii="Times New Roman" w:eastAsia="方正仿宋_GBK" w:hAnsi="Times New Roman" w:hint="default"/>
          <w:sz w:val="32"/>
          <w:szCs w:val="32"/>
        </w:rPr>
        <w:t>根据预算绩效管理要求，根据预算绩效管理要求，我单位对</w:t>
      </w:r>
      <w:r>
        <w:rPr>
          <w:rFonts w:ascii="Times New Roman" w:eastAsia="方正仿宋_GBK" w:hAnsi="Times New Roman"/>
          <w:sz w:val="32"/>
          <w:szCs w:val="32"/>
        </w:rPr>
        <w:t>3</w:t>
      </w:r>
      <w:r>
        <w:rPr>
          <w:rFonts w:ascii="Times New Roman" w:eastAsia="方正仿宋_GBK" w:hAnsi="Times New Roman" w:hint="default"/>
          <w:sz w:val="32"/>
          <w:szCs w:val="32"/>
        </w:rPr>
        <w:t>个</w:t>
      </w:r>
      <w:r>
        <w:rPr>
          <w:rFonts w:ascii="Times New Roman" w:eastAsia="方正仿宋_GBK" w:hAnsi="Times New Roman"/>
          <w:sz w:val="32"/>
          <w:szCs w:val="32"/>
        </w:rPr>
        <w:t>二级</w:t>
      </w:r>
      <w:r>
        <w:rPr>
          <w:rFonts w:ascii="Times New Roman" w:eastAsia="方正仿宋_GBK" w:hAnsi="Times New Roman" w:hint="default"/>
          <w:sz w:val="32"/>
          <w:szCs w:val="32"/>
        </w:rPr>
        <w:t>项目开展了绩效自评，涉及</w:t>
      </w:r>
      <w:r>
        <w:rPr>
          <w:rFonts w:ascii="方正仿宋_GBK" w:eastAsia="方正仿宋_GBK" w:hAnsi="方正仿宋_GBK" w:cs="方正仿宋_GBK"/>
          <w:sz w:val="32"/>
          <w:szCs w:val="32"/>
          <w:shd w:val="clear" w:color="auto" w:fill="FFFFFF"/>
          <w:lang w:bidi="ar"/>
        </w:rPr>
        <w:t>财政拨款项目支出资金117.28</w:t>
      </w:r>
      <w:r>
        <w:rPr>
          <w:rFonts w:ascii="Times New Roman" w:eastAsia="方正仿宋_GBK" w:hAnsi="Times New Roman" w:hint="default"/>
          <w:sz w:val="32"/>
          <w:szCs w:val="32"/>
        </w:rPr>
        <w:t>万元</w:t>
      </w:r>
      <w:r>
        <w:rPr>
          <w:rFonts w:ascii="Times New Roman" w:eastAsia="方正仿宋_GBK" w:hAnsi="Times New Roman"/>
          <w:sz w:val="32"/>
          <w:szCs w:val="32"/>
        </w:rPr>
        <w:t>，涉及项目支出资金</w:t>
      </w:r>
      <w:r>
        <w:rPr>
          <w:rFonts w:ascii="Times New Roman" w:eastAsia="方正仿宋_GBK" w:hAnsi="Times New Roman"/>
          <w:sz w:val="32"/>
          <w:szCs w:val="32"/>
        </w:rPr>
        <w:t>172.5</w:t>
      </w:r>
      <w:r>
        <w:rPr>
          <w:rFonts w:ascii="Times New Roman" w:eastAsia="方正仿宋_GBK" w:hAnsi="Times New Roman"/>
          <w:sz w:val="32"/>
          <w:szCs w:val="32"/>
        </w:rPr>
        <w:t>万元</w:t>
      </w:r>
      <w:r>
        <w:rPr>
          <w:rFonts w:ascii="Times New Roman" w:eastAsia="方正仿宋_GBK" w:hAnsi="Times New Roman" w:hint="default"/>
          <w:sz w:val="32"/>
          <w:szCs w:val="32"/>
        </w:rPr>
        <w:t>。</w:t>
      </w:r>
      <w:r>
        <w:rPr>
          <w:rFonts w:ascii="Times New Roman" w:eastAsia="方正仿宋_GBK" w:hAnsi="Times New Roman"/>
          <w:sz w:val="32"/>
          <w:szCs w:val="32"/>
        </w:rPr>
        <w:t>其中，征收及拆迁遗留专项</w:t>
      </w:r>
      <w:r>
        <w:rPr>
          <w:rFonts w:ascii="Times New Roman" w:eastAsia="方正仿宋_GBK" w:hAnsi="Times New Roman" w:hint="default"/>
          <w:sz w:val="32"/>
          <w:szCs w:val="32"/>
        </w:rPr>
        <w:t>涉及</w:t>
      </w:r>
      <w:r>
        <w:rPr>
          <w:rFonts w:ascii="方正仿宋_GBK" w:eastAsia="方正仿宋_GBK" w:hAnsi="方正仿宋_GBK" w:cs="方正仿宋_GBK"/>
          <w:sz w:val="32"/>
          <w:szCs w:val="32"/>
          <w:shd w:val="clear" w:color="auto" w:fill="FFFFFF"/>
          <w:lang w:bidi="ar"/>
        </w:rPr>
        <w:t>财政拨款项目支出资金114.08</w:t>
      </w:r>
      <w:r>
        <w:rPr>
          <w:rFonts w:ascii="Times New Roman" w:eastAsia="方正仿宋_GBK" w:hAnsi="Times New Roman" w:hint="default"/>
          <w:sz w:val="32"/>
          <w:szCs w:val="32"/>
        </w:rPr>
        <w:t>万元</w:t>
      </w:r>
      <w:r>
        <w:rPr>
          <w:rFonts w:ascii="Times New Roman" w:eastAsia="方正仿宋_GBK" w:hAnsi="Times New Roman"/>
          <w:sz w:val="32"/>
          <w:szCs w:val="32"/>
        </w:rPr>
        <w:t>，涉及项目支出资金</w:t>
      </w:r>
      <w:r>
        <w:rPr>
          <w:rFonts w:ascii="Times New Roman" w:eastAsia="方正仿宋_GBK" w:hAnsi="Times New Roman"/>
          <w:sz w:val="32"/>
          <w:szCs w:val="32"/>
        </w:rPr>
        <w:t>172.5</w:t>
      </w:r>
      <w:r>
        <w:rPr>
          <w:rFonts w:ascii="Times New Roman" w:eastAsia="方正仿宋_GBK" w:hAnsi="Times New Roman"/>
          <w:sz w:val="32"/>
          <w:szCs w:val="32"/>
        </w:rPr>
        <w:t>万元；全区信访稳定专项经费</w:t>
      </w:r>
      <w:r>
        <w:rPr>
          <w:rFonts w:ascii="Times New Roman" w:eastAsia="方正仿宋_GBK" w:hAnsi="Times New Roman" w:hint="default"/>
          <w:sz w:val="32"/>
          <w:szCs w:val="32"/>
        </w:rPr>
        <w:t>涉及</w:t>
      </w:r>
      <w:r>
        <w:rPr>
          <w:rFonts w:ascii="方正仿宋_GBK" w:eastAsia="方正仿宋_GBK" w:hAnsi="方正仿宋_GBK" w:cs="方正仿宋_GBK"/>
          <w:sz w:val="32"/>
          <w:szCs w:val="32"/>
          <w:shd w:val="clear" w:color="auto" w:fill="FFFFFF"/>
          <w:lang w:bidi="ar"/>
        </w:rPr>
        <w:t>财政拨款项目支出资金</w:t>
      </w:r>
      <w:r>
        <w:rPr>
          <w:rFonts w:ascii="Times New Roman" w:eastAsia="方正仿宋_GBK" w:hAnsi="Times New Roman"/>
          <w:sz w:val="32"/>
          <w:szCs w:val="32"/>
        </w:rPr>
        <w:t>3</w:t>
      </w:r>
      <w:r>
        <w:rPr>
          <w:rFonts w:ascii="Times New Roman" w:eastAsia="方正仿宋_GBK" w:hAnsi="Times New Roman"/>
          <w:sz w:val="32"/>
          <w:szCs w:val="32"/>
        </w:rPr>
        <w:t>万元；基层党建工作</w:t>
      </w:r>
      <w:r>
        <w:rPr>
          <w:rFonts w:ascii="Times New Roman" w:eastAsia="方正仿宋_GBK" w:hAnsi="Times New Roman" w:hint="default"/>
          <w:sz w:val="32"/>
          <w:szCs w:val="32"/>
        </w:rPr>
        <w:t>涉及</w:t>
      </w:r>
      <w:r>
        <w:rPr>
          <w:rFonts w:ascii="方正仿宋_GBK" w:eastAsia="方正仿宋_GBK" w:hAnsi="方正仿宋_GBK" w:cs="方正仿宋_GBK"/>
          <w:sz w:val="32"/>
          <w:szCs w:val="32"/>
          <w:shd w:val="clear" w:color="auto" w:fill="FFFFFF"/>
          <w:lang w:bidi="ar"/>
        </w:rPr>
        <w:t>财政拨款项目支出资金0.2万元。</w:t>
      </w:r>
    </w:p>
    <w:p w14:paraId="5D38142D" w14:textId="77777777" w:rsidR="00C7140F" w:rsidRDefault="00000000">
      <w:pPr>
        <w:pStyle w:val="10"/>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14:paraId="4B6AF463" w14:textId="77777777" w:rsidR="00C7140F" w:rsidRDefault="00000000">
      <w:pPr>
        <w:kinsoku w:val="0"/>
        <w:autoSpaceDE w:val="0"/>
        <w:autoSpaceDN w:val="0"/>
        <w:adjustRightInd w:val="0"/>
        <w:snapToGrid w:val="0"/>
        <w:spacing w:line="600" w:lineRule="exact"/>
        <w:ind w:firstLineChars="300" w:firstLine="960"/>
        <w:jc w:val="both"/>
        <w:textAlignment w:val="baseline"/>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lang w:bidi="ar"/>
        </w:rPr>
        <w:t>我单位未组织开展绩效评价。</w:t>
      </w:r>
    </w:p>
    <w:p w14:paraId="612E6556" w14:textId="77777777" w:rsidR="00C7140F" w:rsidRDefault="00C7140F">
      <w:pPr>
        <w:pStyle w:val="10"/>
        <w:autoSpaceDE w:val="0"/>
        <w:ind w:firstLine="640"/>
        <w:rPr>
          <w:rFonts w:ascii="方正仿宋_GBK" w:eastAsia="方正仿宋_GBK" w:hAnsi="方正仿宋_GBK" w:cs="方正仿宋_GBK" w:hint="eastAsia"/>
          <w:sz w:val="32"/>
          <w:szCs w:val="32"/>
          <w:shd w:val="clear" w:color="auto" w:fill="FFFFFF"/>
          <w:lang w:bidi="ar"/>
        </w:rPr>
      </w:pPr>
    </w:p>
    <w:p w14:paraId="4BF2793F" w14:textId="77777777" w:rsidR="00C7140F" w:rsidRDefault="00000000">
      <w:pPr>
        <w:pStyle w:val="a5"/>
        <w:shd w:val="clear" w:color="auto" w:fill="FFFFFF"/>
        <w:rPr>
          <w:rStyle w:val="a6"/>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sz w:val="32"/>
          <w:szCs w:val="32"/>
          <w:shd w:val="clear" w:color="auto" w:fill="FFFFFF"/>
        </w:rPr>
        <w:lastRenderedPageBreak/>
        <w:t xml:space="preserve">  </w:t>
      </w:r>
      <w:r>
        <w:rPr>
          <w:rStyle w:val="a6"/>
          <w:rFonts w:ascii="黑体" w:eastAsia="黑体" w:hAnsi="黑体" w:cs="黑体"/>
          <w:sz w:val="32"/>
          <w:szCs w:val="32"/>
          <w:shd w:val="clear" w:color="auto" w:fill="FFFFFF"/>
        </w:rPr>
        <w:t>六、专业名词解释</w:t>
      </w:r>
    </w:p>
    <w:p w14:paraId="30223A08"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以下为常见专业名词解释目录，仅供参考，</w:t>
      </w:r>
    </w:p>
    <w:p w14:paraId="2C191E13"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5AA37839"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C47FAD3"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006E3B83"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FEDAF50" w14:textId="77777777" w:rsidR="00C7140F" w:rsidRDefault="00000000">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6"/>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C6B55AB"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lastRenderedPageBreak/>
        <w:t> </w:t>
      </w:r>
      <w:r>
        <w:rPr>
          <w:rStyle w:val="a6"/>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3CC28303"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0D28CBF5"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71251C84"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C3DBBB"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6FD15E70"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4E20CFCB"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14:paraId="5BD0882B"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A04C943"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54AA01E7"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1917F0B5" w14:textId="77777777" w:rsidR="00C7140F" w:rsidRDefault="00000000">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6"/>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467A17E9" w14:textId="77777777" w:rsidR="00C7140F"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4F41C69" w14:textId="77777777" w:rsidR="00C7140F" w:rsidRDefault="00000000">
      <w:pPr>
        <w:pStyle w:val="a5"/>
        <w:shd w:val="clear" w:color="auto" w:fill="FFFFFF"/>
        <w:rPr>
          <w:rStyle w:val="a6"/>
          <w:rFonts w:ascii="方正仿宋_GBK" w:eastAsia="方正仿宋_GBK" w:hAnsi="方正仿宋_GBK" w:cs="方正仿宋_GBK"/>
          <w:sz w:val="32"/>
          <w:szCs w:val="32"/>
          <w:shd w:val="clear" w:color="auto" w:fill="FFFFFF"/>
        </w:rPr>
      </w:pPr>
      <w:r>
        <w:rPr>
          <w:rStyle w:val="a6"/>
          <w:rFonts w:ascii="黑体" w:eastAsia="黑体" w:hAnsi="黑体" w:cs="黑体"/>
          <w:sz w:val="32"/>
          <w:szCs w:val="32"/>
          <w:shd w:val="clear" w:color="auto" w:fill="FFFFFF"/>
        </w:rPr>
        <w:t>七、决算公开联系方式及信息反馈渠道</w:t>
      </w:r>
    </w:p>
    <w:p w14:paraId="33F2CF06" w14:textId="77777777" w:rsidR="00C7140F" w:rsidRDefault="00000000">
      <w:pPr>
        <w:pStyle w:val="10"/>
        <w:autoSpaceDE w:val="0"/>
        <w:ind w:firstLine="640"/>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本单位决算公开信息反馈和联系方式：023-63303183</w:t>
      </w:r>
    </w:p>
    <w:p w14:paraId="04FCDBB8" w14:textId="77777777" w:rsidR="00C7140F" w:rsidRDefault="00C7140F">
      <w:pPr>
        <w:pStyle w:val="10"/>
        <w:autoSpaceDE w:val="0"/>
        <w:ind w:firstLineChars="0" w:firstLine="0"/>
        <w:rPr>
          <w:rFonts w:hint="eastAsia"/>
        </w:rPr>
      </w:pPr>
    </w:p>
    <w:sectPr w:rsidR="00C7140F">
      <w:headerReference w:type="default" r:id="rId8"/>
      <w:footerReference w:type="default" r:id="rId9"/>
      <w:pgSz w:w="11906" w:h="16838"/>
      <w:pgMar w:top="1440" w:right="1803" w:bottom="1440" w:left="1803"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F64F" w14:textId="77777777" w:rsidR="00647F52" w:rsidRDefault="00647F52">
      <w:pPr>
        <w:spacing w:after="0" w:line="240" w:lineRule="auto"/>
      </w:pPr>
      <w:r>
        <w:separator/>
      </w:r>
    </w:p>
  </w:endnote>
  <w:endnote w:type="continuationSeparator" w:id="0">
    <w:p w14:paraId="78A11C78" w14:textId="77777777" w:rsidR="00647F52" w:rsidRDefault="0064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619D" w14:textId="77777777" w:rsidR="00C7140F" w:rsidRDefault="00000000">
    <w:pPr>
      <w:pStyle w:val="a3"/>
      <w:jc w:val="both"/>
    </w:pPr>
    <w:r>
      <w:rPr>
        <w:noProof/>
      </w:rPr>
      <mc:AlternateContent>
        <mc:Choice Requires="wps">
          <w:drawing>
            <wp:anchor distT="0" distB="0" distL="114300" distR="114300" simplePos="0" relativeHeight="251660288" behindDoc="0" locked="0" layoutInCell="1" allowOverlap="0" wp14:anchorId="38384F43" wp14:editId="634594B4">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B8C8CE" w14:textId="77777777" w:rsidR="00C7140F" w:rsidRDefault="00000000">
                          <w:pPr>
                            <w:pStyle w:val="a3"/>
                          </w:pPr>
                          <w:r>
                            <w:t xml:space="preserve"> </w:t>
                          </w:r>
                          <w:r>
                            <w:fldChar w:fldCharType="begin"/>
                          </w:r>
                          <w:r>
                            <w:instrText>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384F43"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o:allowoverlap="f" filled="f" stroked="f" strokeweight=".5pt">
              <v:textbox style="mso-fit-shape-to-text:t" inset="0,0,0,0">
                <w:txbxContent>
                  <w:p w14:paraId="7AB8C8CE" w14:textId="77777777" w:rsidR="00C7140F" w:rsidRDefault="00000000">
                    <w:pPr>
                      <w:pStyle w:val="a3"/>
                    </w:pPr>
                    <w:r>
                      <w:t xml:space="preserve"> </w:t>
                    </w:r>
                    <w:r>
                      <w:fldChar w:fldCharType="begin"/>
                    </w:r>
                    <w:r>
                      <w:instrText>PAGE   \* MERGEFORMAT</w:instrText>
                    </w:r>
                    <w:r>
                      <w:fldChar w:fldCharType="separate"/>
                    </w:r>
                    <w:r>
                      <w:rPr>
                        <w:rFonts w:hint="default"/>
                        <w:lang w:val="zh-CN"/>
                      </w:rPr>
                      <w:t>28</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7F66B5A6" wp14:editId="22538F9A">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9E412D3" w14:textId="77777777" w:rsidR="00C7140F" w:rsidRDefault="00000000">
                          <w:pPr>
                            <w:pStyle w:val="a3"/>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7F66B5A6" id="文本框 126" o:spid="_x0000_s1027"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" o:allowoverlap="f" filled="f" stroked="f" strokeweight=".5pt">
              <v:textbox inset="0,0,0,0">
                <w:txbxContent>
                  <w:p w14:paraId="79E412D3" w14:textId="77777777" w:rsidR="00C7140F" w:rsidRDefault="00000000">
                    <w:pPr>
                      <w:pStyle w:val="a3"/>
                      <w:jc w:val="both"/>
                      <w:rPr>
                        <w:rFonts w:cs="宋体"/>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92E6" w14:textId="77777777" w:rsidR="00647F52" w:rsidRDefault="00647F52">
      <w:pPr>
        <w:spacing w:after="0" w:line="240" w:lineRule="auto"/>
      </w:pPr>
      <w:r>
        <w:separator/>
      </w:r>
    </w:p>
  </w:footnote>
  <w:footnote w:type="continuationSeparator" w:id="0">
    <w:p w14:paraId="7870A605" w14:textId="77777777" w:rsidR="00647F52" w:rsidRDefault="0064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C6FB" w14:textId="77777777" w:rsidR="00C7140F" w:rsidRDefault="00C7140F">
    <w:pPr>
      <w:pStyle w:val="a4"/>
      <w:tabs>
        <w:tab w:val="clear" w:pos="4153"/>
        <w:tab w:val="clear" w:pos="8306"/>
        <w:tab w:val="left" w:pos="17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2FB45D12"/>
    <w:multiLevelType w:val="singleLevel"/>
    <w:tmpl w:val="2FB45D12"/>
    <w:lvl w:ilvl="0">
      <w:start w:val="2"/>
      <w:numFmt w:val="chineseCounting"/>
      <w:suff w:val="nothing"/>
      <w:lvlText w:val="（%1）"/>
      <w:lvlJc w:val="left"/>
      <w:rPr>
        <w:rFonts w:hint="eastAsia"/>
      </w:rPr>
    </w:lvl>
  </w:abstractNum>
  <w:num w:numId="1" w16cid:durableId="278609899">
    <w:abstractNumId w:val="1"/>
  </w:num>
  <w:num w:numId="2" w16cid:durableId="16262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kMzMwMTllZTA1ZWI2MWJmY2M1YjUyNjg0YTc1MDYifQ=="/>
  </w:docVars>
  <w:rsids>
    <w:rsidRoot w:val="00B03CCD"/>
    <w:rsid w:val="00133AD2"/>
    <w:rsid w:val="00550ABE"/>
    <w:rsid w:val="00647F52"/>
    <w:rsid w:val="007B419D"/>
    <w:rsid w:val="008E60BB"/>
    <w:rsid w:val="009471B5"/>
    <w:rsid w:val="009B67B8"/>
    <w:rsid w:val="00A30F8A"/>
    <w:rsid w:val="00B03CCD"/>
    <w:rsid w:val="00B85339"/>
    <w:rsid w:val="00C7140F"/>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43771C"/>
    <w:rsid w:val="0B9335CE"/>
    <w:rsid w:val="0BF2311A"/>
    <w:rsid w:val="0C7927C4"/>
    <w:rsid w:val="0C9B098C"/>
    <w:rsid w:val="0D673E11"/>
    <w:rsid w:val="0DDA54E4"/>
    <w:rsid w:val="0E3A5F83"/>
    <w:rsid w:val="0EDF3422"/>
    <w:rsid w:val="0F0B6F4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407EA9"/>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ACE59A0"/>
    <w:rsid w:val="2B167953"/>
    <w:rsid w:val="2B200583"/>
    <w:rsid w:val="2B8209DE"/>
    <w:rsid w:val="2C61536A"/>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9628F0"/>
    <w:rsid w:val="37BF1123"/>
    <w:rsid w:val="383C3F15"/>
    <w:rsid w:val="38BE4696"/>
    <w:rsid w:val="3939115E"/>
    <w:rsid w:val="399C1130"/>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9C30A6"/>
    <w:rsid w:val="41E0734B"/>
    <w:rsid w:val="426C1EA8"/>
    <w:rsid w:val="42736402"/>
    <w:rsid w:val="42E86A87"/>
    <w:rsid w:val="43307B09"/>
    <w:rsid w:val="43771AAC"/>
    <w:rsid w:val="439A3EB9"/>
    <w:rsid w:val="43BB152F"/>
    <w:rsid w:val="44C37687"/>
    <w:rsid w:val="451B3E28"/>
    <w:rsid w:val="45CB699A"/>
    <w:rsid w:val="465B470D"/>
    <w:rsid w:val="469D6AD4"/>
    <w:rsid w:val="471E6C84"/>
    <w:rsid w:val="4748792B"/>
    <w:rsid w:val="475D719D"/>
    <w:rsid w:val="47674801"/>
    <w:rsid w:val="48225EF7"/>
    <w:rsid w:val="488F422B"/>
    <w:rsid w:val="48B921CD"/>
    <w:rsid w:val="48E36915"/>
    <w:rsid w:val="48EB6572"/>
    <w:rsid w:val="495C4A24"/>
    <w:rsid w:val="497135DF"/>
    <w:rsid w:val="4A263DF2"/>
    <w:rsid w:val="4A6F6675"/>
    <w:rsid w:val="4AF33166"/>
    <w:rsid w:val="4B135857"/>
    <w:rsid w:val="4B3075A1"/>
    <w:rsid w:val="4B7951CB"/>
    <w:rsid w:val="4B7C315C"/>
    <w:rsid w:val="4BB04B1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07736F"/>
    <w:rsid w:val="541330F0"/>
    <w:rsid w:val="54272666"/>
    <w:rsid w:val="543B029D"/>
    <w:rsid w:val="54861779"/>
    <w:rsid w:val="552256E1"/>
    <w:rsid w:val="554E5773"/>
    <w:rsid w:val="555A3CBC"/>
    <w:rsid w:val="5582012B"/>
    <w:rsid w:val="558E4E05"/>
    <w:rsid w:val="55BE2E85"/>
    <w:rsid w:val="55F048B2"/>
    <w:rsid w:val="56530F5D"/>
    <w:rsid w:val="567700D3"/>
    <w:rsid w:val="56FF7E9E"/>
    <w:rsid w:val="578867FC"/>
    <w:rsid w:val="5842572D"/>
    <w:rsid w:val="591504B6"/>
    <w:rsid w:val="5A3B59D6"/>
    <w:rsid w:val="5AD134D8"/>
    <w:rsid w:val="5C263CE4"/>
    <w:rsid w:val="5C5D2777"/>
    <w:rsid w:val="5CF66BF3"/>
    <w:rsid w:val="5D290C69"/>
    <w:rsid w:val="5F2D4A41"/>
    <w:rsid w:val="60C74F6C"/>
    <w:rsid w:val="61025A59"/>
    <w:rsid w:val="613D5BBC"/>
    <w:rsid w:val="61536C39"/>
    <w:rsid w:val="62944DD7"/>
    <w:rsid w:val="6319381F"/>
    <w:rsid w:val="63872B56"/>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C6767F"/>
    <w:rsid w:val="6DE346AB"/>
    <w:rsid w:val="6DE5391A"/>
    <w:rsid w:val="6EFD1324"/>
    <w:rsid w:val="6F5A53AC"/>
    <w:rsid w:val="6FAC003D"/>
    <w:rsid w:val="6FE55E12"/>
    <w:rsid w:val="6FFB2E76"/>
    <w:rsid w:val="70115264"/>
    <w:rsid w:val="701E3B74"/>
    <w:rsid w:val="708F6F7F"/>
    <w:rsid w:val="70D94BD3"/>
    <w:rsid w:val="718844D0"/>
    <w:rsid w:val="71C34D91"/>
    <w:rsid w:val="72DB435C"/>
    <w:rsid w:val="72E2613A"/>
    <w:rsid w:val="72F771F4"/>
    <w:rsid w:val="73934AD2"/>
    <w:rsid w:val="750837F0"/>
    <w:rsid w:val="754758CF"/>
    <w:rsid w:val="764F62AB"/>
    <w:rsid w:val="765C45EC"/>
    <w:rsid w:val="768A7619"/>
    <w:rsid w:val="772E1EBA"/>
    <w:rsid w:val="778C4FC8"/>
    <w:rsid w:val="781926BC"/>
    <w:rsid w:val="796D60A4"/>
    <w:rsid w:val="79A031D5"/>
    <w:rsid w:val="79A90D10"/>
    <w:rsid w:val="79E653C9"/>
    <w:rsid w:val="7A1525F7"/>
    <w:rsid w:val="7B3329AB"/>
    <w:rsid w:val="7B420052"/>
    <w:rsid w:val="7BD06A28"/>
    <w:rsid w:val="7C3A7C0B"/>
    <w:rsid w:val="7C5248E4"/>
    <w:rsid w:val="7C566698"/>
    <w:rsid w:val="7C5866A3"/>
    <w:rsid w:val="7D3E56F1"/>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F9CF7"/>
  <w15:docId w15:val="{766B635B-BEEB-4689-B4E0-E82DFEB9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99"/>
    <w:qFormat/>
    <w:rPr>
      <w:rFonts w:ascii="宋体" w:hAnsi="宋体" w:hint="eastAsia"/>
      <w:sz w:val="24"/>
      <w:szCs w:val="24"/>
    </w:rPr>
  </w:style>
  <w:style w:type="paragraph" w:styleId="1">
    <w:name w:val="heading 1"/>
    <w:basedOn w:val="a"/>
    <w:next w:val="a"/>
    <w:qFormat/>
    <w:pPr>
      <w:ind w:firstLineChars="200" w:firstLine="200"/>
      <w:outlineLvl w:val="0"/>
    </w:pPr>
    <w:rPr>
      <w:rFonts w:eastAsia="方正黑体_GBK"/>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11">
    <w:name w:val="列表段落1"/>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4</cp:revision>
  <cp:lastPrinted>2024-08-23T09:00:00Z</cp:lastPrinted>
  <dcterms:created xsi:type="dcterms:W3CDTF">2024-07-11T02:00:00Z</dcterms:created>
  <dcterms:modified xsi:type="dcterms:W3CDTF">2025-01-08T08:43:00Z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DD7B4978C177494A991F54C323603092_13</vt:lpwstr>
  </property>
</Properties>
</file>