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重庆市渝中区住房和城市建设委员会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关于《2023年政府信息公开工作年度报告》的报告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根据《中华人民共和国政府信息公开条例》规定和《国务院办公厅政府信息与政务公开办公室关于印发〈中华人民共和国政府信息公开工作年度报告格式〉的通知》（国办公开办函〔2021〕30号）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要求，编制本报告。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，渝中区住房和城市建设委员会</w:t>
      </w:r>
      <w:r>
        <w:rPr>
          <w:rFonts w:ascii="Times New Roman" w:hAnsi="Times New Roman" w:eastAsia="方正仿宋_GBK" w:cs="Times New Roman"/>
          <w:sz w:val="32"/>
          <w:szCs w:val="32"/>
        </w:rPr>
        <w:t>以习近平新时代中国特色社会主义思想为指导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坚持以公开为常态、不公开为例外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遵循公正、公平、合法、便民的原则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，按照区政府信息公开工作要求，不断</w:t>
      </w:r>
      <w:r>
        <w:rPr>
          <w:rFonts w:ascii="Times New Roman" w:hAnsi="Times New Roman" w:eastAsia="方正仿宋_GBK" w:cs="Times New Roman"/>
          <w:sz w:val="32"/>
          <w:szCs w:val="32"/>
        </w:rPr>
        <w:t>健全工作机制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加强平台建设，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规范和改进</w:t>
      </w:r>
      <w:r>
        <w:rPr>
          <w:rFonts w:ascii="Times New Roman" w:hAnsi="Times New Roman" w:eastAsia="方正仿宋_GBK" w:cs="Times New Roman"/>
          <w:sz w:val="32"/>
          <w:szCs w:val="32"/>
        </w:rPr>
        <w:t>政府信息管理，提升政府信息公开质量和水平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政府信息公开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工作取得良好成效。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（一）主动公开。</w:t>
      </w:r>
      <w:r>
        <w:rPr>
          <w:rFonts w:ascii="Times New Roman" w:hAnsi="Times New Roman" w:eastAsia="方正仿宋_GBK" w:cs="Times New Roman"/>
          <w:sz w:val="32"/>
          <w:szCs w:val="32"/>
        </w:rPr>
        <w:t>通过区政府门户网站全年主动公开机关简介、领导信息、财务预决算信息、动态信息等各类政府信息2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49</w:t>
      </w:r>
      <w:r>
        <w:rPr>
          <w:rFonts w:ascii="Times New Roman" w:hAnsi="Times New Roman" w:eastAsia="方正仿宋_GBK" w:cs="Times New Roman"/>
          <w:sz w:val="32"/>
          <w:szCs w:val="32"/>
        </w:rPr>
        <w:t>条，其中通知公告公示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88</w:t>
      </w:r>
      <w:r>
        <w:rPr>
          <w:rFonts w:ascii="Times New Roman" w:hAnsi="Times New Roman" w:eastAsia="方正仿宋_GBK" w:cs="Times New Roman"/>
          <w:sz w:val="32"/>
          <w:szCs w:val="32"/>
        </w:rPr>
        <w:t>条、工作动态1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1条、财务信息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条。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（二）依申请公开。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2023年，新收到依申请政府信息公开50件，上年度结转0件，办结49件，下一年度结转1件。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（三）政府信息管理。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一是进一步健全政府信息公开申请各项内部工作制度，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确保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专人负责，严格落实“三审三校”，确保公开内容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规范性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、准确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。二是定期清理更新网站内容，做到信息公开更便民。三是紧密围绕中心工作，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强政务公开标准化规范化建设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统筹做好各类信息的采写上报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（四）政府信息公开平台建设。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通过渝中区政府门户网站主动公开发布我委的政府信息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落实好各政府网站信息更新频次要求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及时发布相关信息，回应社会关切。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</w:rPr>
        <w:t>（五）监督保障。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一是明确政府信息公开具体工作由委办公室受理、发布，各相关科室、基层单位配合办理，各环节高效衔接、运维有序。二是畅通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监督渠道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，积极主动接受社会监督，及时回复群众投诉举报。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三是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定期开展检查，及时发现信息更新不及时、处理申请不规范等问题，第一时间整改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二、 </w:t>
      </w:r>
      <w:bookmarkStart w:id="0" w:name="_Hlk122684884"/>
      <w:r>
        <w:rPr>
          <w:rFonts w:hint="eastAsia" w:ascii="方正黑体_GBK" w:hAnsi="方正黑体_GBK" w:eastAsia="方正黑体_GBK" w:cs="方正黑体_GBK"/>
          <w:sz w:val="32"/>
          <w:szCs w:val="32"/>
        </w:rPr>
        <w:t>主动公开政府信息情况</w:t>
      </w:r>
      <w:bookmarkEnd w:id="0"/>
    </w:p>
    <w:tbl>
      <w:tblPr>
        <w:tblStyle w:val="5"/>
        <w:tblW w:w="8892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2552"/>
        <w:gridCol w:w="198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892" w:type="dxa"/>
            <w:gridSpan w:val="4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信息内容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本年制发件数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本年废止件数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现行有效件数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规章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行政规范性文件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255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6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行政许可</w:t>
            </w:r>
          </w:p>
        </w:tc>
        <w:tc>
          <w:tcPr>
            <w:tcW w:w="6383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212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行政处罚</w:t>
            </w:r>
          </w:p>
        </w:tc>
        <w:tc>
          <w:tcPr>
            <w:tcW w:w="6383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118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行政强制</w:t>
            </w:r>
          </w:p>
        </w:tc>
        <w:tc>
          <w:tcPr>
            <w:tcW w:w="6383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信息内容</w:t>
            </w:r>
          </w:p>
        </w:tc>
        <w:tc>
          <w:tcPr>
            <w:tcW w:w="6383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</w:tr>
    </w:tbl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5"/>
        <w:tblW w:w="89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7"/>
        <w:gridCol w:w="3010"/>
        <w:gridCol w:w="625"/>
        <w:gridCol w:w="602"/>
        <w:gridCol w:w="588"/>
        <w:gridCol w:w="755"/>
        <w:gridCol w:w="756"/>
        <w:gridCol w:w="560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4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4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516" w:type="dxa"/>
            <w:gridSpan w:val="7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4385" w:type="dxa"/>
            <w:gridSpan w:val="4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625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自然人</w:t>
            </w:r>
          </w:p>
        </w:tc>
        <w:tc>
          <w:tcPr>
            <w:tcW w:w="3261" w:type="dxa"/>
            <w:gridSpan w:val="5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</w:trPr>
        <w:tc>
          <w:tcPr>
            <w:tcW w:w="4385" w:type="dxa"/>
            <w:gridSpan w:val="4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625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商业企业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科研机构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社会公益组织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法律服务机构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>其他</w:t>
            </w: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一、本年新收政府信息公开申请数量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二、上年结转政府信息公开申请数量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三、本年度办理结果</w:t>
            </w:r>
          </w:p>
        </w:tc>
        <w:tc>
          <w:tcPr>
            <w:tcW w:w="3878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（一）予以公开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878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（三）不予公开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1.属于国家秘密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6"/>
                <w:szCs w:val="21"/>
              </w:rPr>
              <w:t>2.其他法律行政法规禁止公开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3.危及“三安全一稳定”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4.保护第三方合法权益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5.属于三类内部事务信息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6.属于四类过程性信息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7.属于行政执法案卷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8.属于行政查询事项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（四）无法提供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pacing w:val="-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4"/>
                <w:szCs w:val="21"/>
              </w:rPr>
              <w:t>1.本机关不掌握相关政府信息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pacing w:val="-4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4"/>
                <w:szCs w:val="21"/>
              </w:rPr>
              <w:t>2.没有现成信息需要另行制作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3.补正后申请内容仍不明确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（五）不予处理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1.信访举报投诉类申请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2.重复申请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3.要求提供公开出版物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4.无正当理由大量反复申请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1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7" w:type="dxa"/>
            <w:gridSpan w:val="2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5.要求行政机关确认或重新出具已获取信息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8" w:type="dxa"/>
            <w:gridSpan w:val="2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（六）其他处理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8" w:type="dxa"/>
            <w:gridSpan w:val="2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868" w:type="dxa"/>
            <w:gridSpan w:val="2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01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3.其他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3878" w:type="dxa"/>
            <w:gridSpan w:val="3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（七）总计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85" w:type="dxa"/>
            <w:gridSpan w:val="4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四、结转下年度继续办理</w:t>
            </w:r>
          </w:p>
        </w:tc>
        <w:tc>
          <w:tcPr>
            <w:tcW w:w="62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8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</w:tr>
    </w:tbl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5"/>
        <w:tblW w:w="8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18"/>
        <w:gridCol w:w="546"/>
        <w:gridCol w:w="518"/>
        <w:gridCol w:w="574"/>
        <w:gridCol w:w="550"/>
        <w:gridCol w:w="605"/>
        <w:gridCol w:w="605"/>
        <w:gridCol w:w="605"/>
        <w:gridCol w:w="491"/>
        <w:gridCol w:w="605"/>
        <w:gridCol w:w="605"/>
        <w:gridCol w:w="605"/>
        <w:gridCol w:w="606"/>
        <w:gridCol w:w="9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16" w:type="dxa"/>
            <w:gridSpan w:val="5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行政复议</w:t>
            </w:r>
          </w:p>
        </w:tc>
        <w:tc>
          <w:tcPr>
            <w:tcW w:w="6187" w:type="dxa"/>
            <w:gridSpan w:val="10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行    政    诉    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结果维持</w:t>
            </w:r>
          </w:p>
        </w:tc>
        <w:tc>
          <w:tcPr>
            <w:tcW w:w="518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结果纠正</w:t>
            </w:r>
          </w:p>
        </w:tc>
        <w:tc>
          <w:tcPr>
            <w:tcW w:w="546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其他结果</w:t>
            </w:r>
          </w:p>
        </w:tc>
        <w:tc>
          <w:tcPr>
            <w:tcW w:w="518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尚未审结</w:t>
            </w:r>
          </w:p>
        </w:tc>
        <w:tc>
          <w:tcPr>
            <w:tcW w:w="574" w:type="dxa"/>
            <w:vMerge w:val="restart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总计</w:t>
            </w:r>
          </w:p>
        </w:tc>
        <w:tc>
          <w:tcPr>
            <w:tcW w:w="2856" w:type="dxa"/>
            <w:gridSpan w:val="5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未经复议直接起诉</w:t>
            </w:r>
          </w:p>
        </w:tc>
        <w:tc>
          <w:tcPr>
            <w:tcW w:w="3331" w:type="dxa"/>
            <w:gridSpan w:val="5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518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546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518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574" w:type="dxa"/>
            <w:vMerge w:val="continue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/>
        </w:tc>
        <w:tc>
          <w:tcPr>
            <w:tcW w:w="55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结果维持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结果纠正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其他结果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尚未审结</w:t>
            </w:r>
          </w:p>
        </w:tc>
        <w:tc>
          <w:tcPr>
            <w:tcW w:w="491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总计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结果维持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结果纠正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其他结果</w:t>
            </w:r>
          </w:p>
        </w:tc>
        <w:tc>
          <w:tcPr>
            <w:tcW w:w="60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尚未审结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7</w:t>
            </w:r>
          </w:p>
        </w:tc>
        <w:tc>
          <w:tcPr>
            <w:tcW w:w="51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0</w:t>
            </w:r>
          </w:p>
        </w:tc>
        <w:tc>
          <w:tcPr>
            <w:tcW w:w="518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3</w:t>
            </w:r>
          </w:p>
        </w:tc>
        <w:tc>
          <w:tcPr>
            <w:tcW w:w="574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10</w:t>
            </w:r>
          </w:p>
        </w:tc>
        <w:tc>
          <w:tcPr>
            <w:tcW w:w="55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22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6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0</w:t>
            </w:r>
          </w:p>
        </w:tc>
        <w:tc>
          <w:tcPr>
            <w:tcW w:w="491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28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2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0</w:t>
            </w:r>
          </w:p>
        </w:tc>
        <w:tc>
          <w:tcPr>
            <w:tcW w:w="606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0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2</w:t>
            </w:r>
          </w:p>
        </w:tc>
      </w:tr>
    </w:tbl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2023年，渝中区住房和城市建设委员会政府信息公开工作还存在以下不足：一是政府信息公开的时效性有待进一步提高；二是政府信息公开制度有待进一步完善；三是政府信息公开审核有待进一步加强。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改进措施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一是强化对接及时更新，及时跟进最新标准，做到政务信息及时公开；二是不断完善流程制度，印发《关于进一步做好网站政务信息公开工作的通知》，在全委加强政务公开培训学习，进一步提高政务公开办理工作水平；三是严格把关提高要求，加强政务公开的各个环节把关审核，对政务公开工作高标准严要求，持续做好我委政府信息公开工作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渝中区住房和城市建设委员会</w:t>
      </w:r>
      <w:r>
        <w:rPr>
          <w:rFonts w:ascii="Times New Roman" w:hAnsi="Times New Roman" w:eastAsia="方正仿宋_GBK" w:cs="Times New Roman"/>
          <w:sz w:val="32"/>
          <w:szCs w:val="32"/>
        </w:rPr>
        <w:t>严格落实《政府信息公开条例》要求，完成政务公开各项工作。本机关未收取信息处理费。</w:t>
      </w:r>
    </w:p>
    <w:p>
      <w:pPr>
        <w:overflowPunct w:val="0"/>
        <w:spacing w:line="560" w:lineRule="exact"/>
        <w:ind w:firstLine="64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zkxOGFiNjdjZmE4ZmZlYzM1ZjI3MWI5YzE2MDQifQ=="/>
  </w:docVars>
  <w:rsids>
    <w:rsidRoot w:val="68EC4B36"/>
    <w:rsid w:val="000B6606"/>
    <w:rsid w:val="000F4BE7"/>
    <w:rsid w:val="00414FEB"/>
    <w:rsid w:val="005C6525"/>
    <w:rsid w:val="0065294A"/>
    <w:rsid w:val="007257AE"/>
    <w:rsid w:val="007B0F42"/>
    <w:rsid w:val="00B20BF8"/>
    <w:rsid w:val="00BF75A6"/>
    <w:rsid w:val="00C628CB"/>
    <w:rsid w:val="00C9670A"/>
    <w:rsid w:val="00D219FB"/>
    <w:rsid w:val="00F35E55"/>
    <w:rsid w:val="05DC5462"/>
    <w:rsid w:val="06F82C9D"/>
    <w:rsid w:val="07AF1680"/>
    <w:rsid w:val="0DED6FC6"/>
    <w:rsid w:val="10FC51E1"/>
    <w:rsid w:val="1B3C1089"/>
    <w:rsid w:val="1F556839"/>
    <w:rsid w:val="212900C5"/>
    <w:rsid w:val="219E5F4E"/>
    <w:rsid w:val="22160D89"/>
    <w:rsid w:val="229226A5"/>
    <w:rsid w:val="273D3904"/>
    <w:rsid w:val="27421CD9"/>
    <w:rsid w:val="2A266113"/>
    <w:rsid w:val="2F2E6FE6"/>
    <w:rsid w:val="39701D38"/>
    <w:rsid w:val="3BDA5FB7"/>
    <w:rsid w:val="3C7B5301"/>
    <w:rsid w:val="3E995369"/>
    <w:rsid w:val="41A27AEC"/>
    <w:rsid w:val="4B250277"/>
    <w:rsid w:val="52013E99"/>
    <w:rsid w:val="554A6079"/>
    <w:rsid w:val="56247CE4"/>
    <w:rsid w:val="57BD0036"/>
    <w:rsid w:val="59CF6C31"/>
    <w:rsid w:val="5BC26D5B"/>
    <w:rsid w:val="606F4BE5"/>
    <w:rsid w:val="615550CC"/>
    <w:rsid w:val="63BA5D25"/>
    <w:rsid w:val="676C257B"/>
    <w:rsid w:val="68EC4B36"/>
    <w:rsid w:val="69B330FE"/>
    <w:rsid w:val="6DF97165"/>
    <w:rsid w:val="70610405"/>
    <w:rsid w:val="728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2079</Characters>
  <Lines>17</Lines>
  <Paragraphs>4</Paragraphs>
  <TotalTime>1</TotalTime>
  <ScaleCrop>false</ScaleCrop>
  <LinksUpToDate>false</LinksUpToDate>
  <CharactersWithSpaces>2439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2023-01-10T01:54:00Z</dcterms:created>
  <dc:creator>Admin</dc:creator>
  <cp:lastModifiedBy>刘林鑫</cp:lastModifiedBy>
  <dcterms:modified xsi:type="dcterms:W3CDTF">2024-02-05T07:00:15Z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CB8A1F0518BE4802A038F19247C60CE6_13</vt:lpwstr>
  </property>
</Properties>
</file>