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rPr>
      </w:pP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重庆市渝中区人民政府解放碑街道办事处</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街道的主要职能是：1.履行辖区党的建设职责。2.履行辖区经济发展职责。3.履行辖区</w:t>
      </w:r>
      <w:r>
        <w:rPr>
          <w:rFonts w:hint="eastAsia" w:ascii="Times New Roman" w:hAnsi="Times New Roman" w:eastAsia="方正仿宋_GBK" w:cs="Times New Roman"/>
          <w:sz w:val="32"/>
          <w:szCs w:val="32"/>
          <w:lang w:eastAsia="zh-CN"/>
        </w:rPr>
        <w:t>民生</w:t>
      </w:r>
      <w:r>
        <w:rPr>
          <w:rFonts w:hint="default" w:ascii="Times New Roman" w:hAnsi="Times New Roman" w:eastAsia="方正仿宋_GBK" w:cs="Times New Roman"/>
          <w:sz w:val="32"/>
          <w:szCs w:val="32"/>
        </w:rPr>
        <w:t>服务职责。4.履行辖区</w:t>
      </w:r>
      <w:r>
        <w:rPr>
          <w:rFonts w:hint="eastAsia" w:ascii="Times New Roman" w:hAnsi="Times New Roman" w:eastAsia="方正仿宋_GBK" w:cs="Times New Roman"/>
          <w:sz w:val="32"/>
          <w:szCs w:val="32"/>
          <w:lang w:eastAsia="zh-CN"/>
        </w:rPr>
        <w:t>平安法治</w:t>
      </w:r>
      <w:r>
        <w:rPr>
          <w:rFonts w:hint="default" w:ascii="Times New Roman" w:hAnsi="Times New Roman" w:eastAsia="方正仿宋_GBK" w:cs="Times New Roman"/>
          <w:sz w:val="32"/>
          <w:szCs w:val="32"/>
        </w:rPr>
        <w:t>管理职责。5.完成区委、区政府交办的其他任务。</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其他</w:t>
      </w:r>
      <w:r>
        <w:rPr>
          <w:rFonts w:hint="default" w:ascii="Times New Roman" w:hAnsi="Times New Roman" w:eastAsia="方正仿宋_GBK" w:cs="Times New Roman"/>
          <w:sz w:val="32"/>
          <w:szCs w:val="32"/>
        </w:rPr>
        <w:t>有关职责分工。</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机构设置</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rPr>
        <w:t>基层治理综合指挥室。</w:t>
      </w:r>
      <w:r>
        <w:rPr>
          <w:rFonts w:hint="default" w:ascii="Times New Roman" w:hAnsi="Times New Roman" w:eastAsia="方正仿宋_GBK" w:cs="Times New Roman"/>
          <w:sz w:val="32"/>
          <w:szCs w:val="32"/>
        </w:rPr>
        <w:t>承担基层治理指挥中心日常工作，负责“四板块”线上线下统筹、协调、流转、管理、督查、考核工作。承担街道机关综合协调、文秘信息、保密档案、重要会务和行政后勤管理保障等工作。</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val="en-US" w:eastAsia="zh-CN"/>
        </w:rPr>
        <w:t>党的建设办公室。</w:t>
      </w:r>
      <w:r>
        <w:rPr>
          <w:rFonts w:hint="default" w:ascii="Times New Roman" w:hAnsi="Times New Roman" w:eastAsia="方正仿宋_GBK" w:cs="Times New Roman"/>
          <w:sz w:val="32"/>
          <w:szCs w:val="32"/>
        </w:rPr>
        <w:t>承担党的建设板块日常工作。负责机关、所属单位和基层党的政治建设、组织建设、纪检监察、宣传、统战、志愿服务、人事、编制、老干部等工作。负责区域化党建、社区党建、楼宇党建、非公有制经济组织和社会组织党建工作。负责人大、政协日常事务和工会、共青团、妇联等群众团体工作。</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lang w:val="en-US" w:eastAsia="zh-CN"/>
        </w:rPr>
        <w:t>经济发展办公室。</w:t>
      </w:r>
      <w:r>
        <w:rPr>
          <w:rFonts w:hint="default" w:ascii="Times New Roman" w:hAnsi="Times New Roman" w:eastAsia="方正仿宋_GBK" w:cs="Times New Roman"/>
          <w:sz w:val="32"/>
          <w:szCs w:val="32"/>
        </w:rPr>
        <w:t>承担经济发展板块日常工作。负责联系服务所负责的楼宇、企业和项目，长效治理楼宇周边环境。负责政策宣传落地，服务、扶持中小微企业和个体经济，培育规模以上企业。负责指导企业深化改革。负责经济运行监测和经济统计工作。负责财政资金管理监督检查、绩效评价和社区财务管理监督、协税护税等工作。负责规划建设、生态环境保护、市容管理工作。指导和协调物业管理工作。</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val="en-US" w:eastAsia="zh-CN"/>
        </w:rPr>
        <w:t>民生服务办公室。</w:t>
      </w:r>
      <w:r>
        <w:rPr>
          <w:rFonts w:hint="default" w:ascii="Times New Roman" w:hAnsi="Times New Roman" w:eastAsia="方正仿宋_GBK" w:cs="Times New Roman"/>
          <w:sz w:val="32"/>
          <w:szCs w:val="32"/>
        </w:rPr>
        <w:t>承担民生服务板块日常工作。负责推动教育、劳动就业、卫生健康、公共文化、体育、科学普及等社会事业发展，宣传、组织爱国卫生运动的开展。负责完善社会保险、社会救助、社会福利、优抚安置、扶贫济困等社会保障体系。负责加强社区治理体系和治理能力建设，建立、完善社区各类公益性基础设施，统筹基本公共服务设施的布局空间，合理配置社区服务资源。负责培育和发展社区服务中介组织，指导居委会开展组织建设、制度建设和其他工作。</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lang w:val="en-US" w:eastAsia="zh-CN"/>
        </w:rPr>
        <w:t>平安法治办公室。</w:t>
      </w:r>
      <w:r>
        <w:rPr>
          <w:rFonts w:hint="default" w:ascii="Times New Roman" w:hAnsi="Times New Roman" w:eastAsia="方正仿宋_GBK" w:cs="Times New Roman"/>
          <w:sz w:val="32"/>
          <w:szCs w:val="32"/>
        </w:rPr>
        <w:t>承担平安法治板块日常工作。负责政法、维稳、信访、人民武装工作，调处化解矛盾纠纷。在司法局指导下，组织开展人民调解工作，配合做好社区矫正、法律援助、法律服务等工作。负责刑满释放人员安置帮教工作。负责推进社会治安综合治理，完善社会治安防控体系。负责防范和处理邪教工作。负责社情、疫情、险情等公共突发事件的预防和应急管理。履行安全生产、消防安全属地监督管理职责，负责对辖区内生产经营单位安全生产状况进行监督检查。承担防灾减灾救灾和生产安全事故应急管理工作。负责统筹辖区执法机构，统一行使街道权限范围内的行政处罚以及与之相关的行政检查和行政强制措施。</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人大街道工委、纪工委、武装部按照有关规定设置。工会、团委、妇联等群团按章程设置。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街道内设5个科室，下设2个派出机构，4个事业单位。行政在职干部23人、参公在职干部34人、事业单位在职干部20人、行政事业离退休人员107人。下辖9个社区居委会共150名社区工作者、城管协管员55人、社区巡防、流动协管员78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二、部门决算收支情况说明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1.总体情况。</w:t>
      </w:r>
      <w:r>
        <w:rPr>
          <w:rFonts w:hint="default" w:ascii="Times New Roman" w:hAnsi="Times New Roman" w:eastAsia="方正仿宋_GBK" w:cs="Times New Roman"/>
          <w:sz w:val="32"/>
          <w:szCs w:val="32"/>
        </w:rPr>
        <w:t>2024年度收入总计14210.72万元，支出总计14210.72万元。收、支与2023年度相比，增加3174.79万元，增长28.77%，主要原因：一是包含年初结转结余，二是增加中央空调及电力系统改造经费、2024年建设项目经费、2024年下半年安保经费、魁星楼片区供电设施改造项目追加经费、解放碑莲花池片区老旧小区配套基础设施建设工程等工作经费。</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2.收入情况。</w:t>
      </w:r>
      <w:r>
        <w:rPr>
          <w:rFonts w:hint="default" w:ascii="Times New Roman" w:hAnsi="Times New Roman" w:eastAsia="方正仿宋_GBK" w:cs="Times New Roman"/>
          <w:sz w:val="32"/>
          <w:szCs w:val="32"/>
        </w:rPr>
        <w:t>2024年度收入合计12816.13万元，与2023年相比，增加1780.2万元，增长16.13%。主要原因是增加中央空调及电力系统改造经费、2024年建设项目经费、2024年下半年安保经费、魁星楼片区供电设施改造项目追加经费、解放碑莲花池片区老旧小区配套基础设施建设工程等工作经费。其中：财政拨款收入8925.49万元，占69.64%；事业收入0.00万元，占0.00%；经营收入0.00万元，占0.00%；其他收入3890.64万元，占30.36%。此外，使用非财政拨款结余和专用结余0.00万元，年初结转和结余1394.59万元。</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3.支出情况。</w:t>
      </w:r>
      <w:r>
        <w:rPr>
          <w:rFonts w:hint="default" w:ascii="Times New Roman" w:hAnsi="Times New Roman" w:eastAsia="方正仿宋_GBK" w:cs="Times New Roman"/>
          <w:sz w:val="32"/>
          <w:szCs w:val="32"/>
        </w:rPr>
        <w:t>2024年度支出合计14029.78万元，与2023年度相比，增加2993.85万元，增长27.13%，主要原因是增加中央空调及电力系统改造经费、2024年建设项目经费、2024年下半年安保经费、魁星楼片区供电设施改造项目追加经费、解放碑莲花池片区老旧小区配套基础设施建设工程等工作经费。其中：基本支出2731.58万元，占19.47%；项目支出11298.21万元，占80.53%；经营支出0.00万元，占0.00%。此外，结余分配0.00万元。</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4.结转结余情况。</w:t>
      </w:r>
      <w:r>
        <w:rPr>
          <w:rFonts w:hint="default" w:ascii="Times New Roman" w:hAnsi="Times New Roman" w:eastAsia="方正仿宋_GBK" w:cs="Times New Roman"/>
          <w:sz w:val="32"/>
          <w:szCs w:val="32"/>
        </w:rPr>
        <w:t>2024年度年末结转和结余180.94万元，与2023年度相比，增加180.94万元，增长100.00%，主要原因是将老旧小区改造提升项目工程等工程项目纳入决算编报。</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8925.49万元。与2023年相比，减少2110.44万元，下降19.12%。主要原因是减少追加疫情防控工作经费、较场口片区老旧小区改造提升项目、莲花池片区老旧小区改造提升项目、沧白路片区老旧小区改造提升项目等工作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1.收入情况。</w:t>
      </w:r>
      <w:r>
        <w:rPr>
          <w:rFonts w:hint="default" w:ascii="Times New Roman" w:hAnsi="Times New Roman" w:eastAsia="方正仿宋_GBK" w:cs="Times New Roman"/>
          <w:sz w:val="32"/>
          <w:szCs w:val="32"/>
        </w:rPr>
        <w:t>2024年度一般公共预算财政拨款收入8891.87万元，与2023年度相比，减少2126.48万元，下降19.30%。主要原因是减少追加疫情防控工作经费、较场口片区老旧小区改造提升项目、莲花池片区老旧小区改造提升项目、沧白路片区老旧小区改造提升项目等工作经费。较年初预算数增加1894.98万元，增长27.08%。主要原因是增加中央空调及电力系统改造经费、党群服务中心运行经费、魁星楼片区供电设施改造项目追加经费、第五次全国经济普查（区统计局）等工作经费。此外，年初财政拨款结转和结余0.00万元。</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2.支出情况。</w:t>
      </w:r>
      <w:r>
        <w:rPr>
          <w:rFonts w:hint="default" w:ascii="Times New Roman" w:hAnsi="Times New Roman" w:eastAsia="方正仿宋_GBK" w:cs="Times New Roman"/>
          <w:sz w:val="32"/>
          <w:szCs w:val="32"/>
        </w:rPr>
        <w:t>2024年度一般公共预算财政拨款支出8891.87万元，与2023年度相比，减少2126.48万元，下降19.30%。主要原因是减少追加疫情防控工作经费、较场口片区老旧小区改造提升项目、莲花池片区老旧小区改造提升项目、沧白路片区老旧小区改造提升项目等工作经费。较年初预算数增加1894.98万元，增长27.08%。主要原因是增加中央空调及电力系统改造经费、党群服务中心运行经费、魁星楼片区供电设施改造项目追加经费、第五次全国经济普查（区统计局）等工作经费。</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3.结转结余情况。</w:t>
      </w:r>
      <w:r>
        <w:rPr>
          <w:rFonts w:hint="default" w:ascii="Times New Roman" w:hAnsi="Times New Roman" w:eastAsia="方正仿宋_GBK" w:cs="Times New Roman"/>
          <w:sz w:val="32"/>
          <w:szCs w:val="32"/>
        </w:rPr>
        <w:t>2024年度年末一般公共预算财政拨款结转和结余0.00万元，与2023年度相比，无增减。</w:t>
      </w:r>
    </w:p>
    <w:p>
      <w:pPr>
        <w:keepNext w:val="0"/>
        <w:keepLines w:val="0"/>
        <w:pageBreakBefore w:val="0"/>
        <w:widowControl/>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4.比较情况。</w:t>
      </w:r>
      <w:r>
        <w:rPr>
          <w:rFonts w:hint="default" w:ascii="Times New Roman" w:hAnsi="Times New Roman" w:eastAsia="方正仿宋_GBK" w:cs="Times New Roman"/>
          <w:sz w:val="32"/>
          <w:szCs w:val="32"/>
        </w:rPr>
        <w:t>本部门2024年度一般公共预算财政拨款支出主要用于以下几个方面：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（1）一般公共服务支出4277.56万元，占48.11%，较年初预算数增加704.44万元，增长19.71%，主要原因是增加全国文明城区专项工作经费、基层党建工作（区委组织部）、第五次全国经济普查等工作经费。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（2）公共安全支出9.24万元，占0.10%，较年初预算数减少663.78万元，下降98.63%，主要原因是将平安稳定工作经费的支出功能分类由原来的公共安全支出按要求调整到城乡社区支出。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（3）社会保障与就业支出2243.72万元，占25.23%，较年初预算数增加645.26万元，增长40.37%，主要原因是增加人生关怀（区民政局），城镇定救、临救（区民政局），抚恤金等工作经费。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（4）卫生健康支出159.42万元，占1.79%，较年初预算数减少0.27万元，下降0.17%，主要原因是</w:t>
      </w:r>
      <w:r>
        <w:rPr>
          <w:rFonts w:hint="eastAsia" w:ascii="Times New Roman" w:hAnsi="Times New Roman" w:eastAsia="方正仿宋_GBK" w:cs="Times New Roman"/>
          <w:sz w:val="32"/>
          <w:szCs w:val="32"/>
          <w:lang w:eastAsia="zh-CN"/>
        </w:rPr>
        <w:t>渝中区财政局年中据实收回多余指标</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城乡社区支出1819.06万元，占20.46%，较年初预算数增加993.94万元，增长120.46%，主要原因：一是增加2024年建设项目经费，2024年上半年老旧住宅物业管理等级评价“保底扶持+评价奖励”资金等工作经费，二是将平安稳定工作经费的支出功能分类由原来的公共安全支出按要求调整到城乡社区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（6）商业服务业等支出13.00万元，占0.15%，较年初预算数增加9.50万元，增长271.43%，主要原因是增加升规奖励政策兑现等工作经费。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（7）自然资源海洋气象等支出2.00万元，占0.02%，较年初预算数增加2.00万元，增长100.00%，主要原因是增加地质防治工作经费：群防群测工作经费。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（8）住房保障支出267.62万元，占3.01%，较年初预算数增加103.64万元，增长63.20%，主要原因是增加重庆警备区老旧小区改造提升项目，解放碑莲花池片区老旧小区配套基础设施建设工程等。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（9）灾害防治及应急管理支出100.25万元，占1.13%，较年初预算数增加100.25万元，增长100.00%，主要原因是增加魁星楼片区供电设施改造项目追加经费、全区安全生产隐患整治专项资金。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财政拨款基本支出2731.58万元。其中：人员经费2241.37万元，与2023年度相比，增加37.03万元，增长1.68%，主要原因是增加抚恤金，一次性退休补贴等。人员经费用途主要包括基本工资、津贴补贴、奖金、绩效工资、机关事业单位基本养老保险缴费、职业年金缴费、其他社会保障缴费等。公用经费490.21万元，与2023年度相比，增加27.65万元，增长5.98%，主要原因是退休人员增加。公用经费主要包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办公费、水电费、物业管理费、邮电费、公务车运行维护费、其他商品和服务支出</w:t>
      </w:r>
      <w:r>
        <w:rPr>
          <w:rFonts w:hint="eastAsia" w:ascii="Times New Roman" w:hAnsi="Times New Roman" w:eastAsia="方正仿宋_GBK" w:cs="Times New Roman"/>
          <w:sz w:val="32"/>
          <w:szCs w:val="32"/>
          <w:lang w:eastAsia="zh-CN"/>
        </w:rPr>
        <w:t>、退休人员公用经费</w:t>
      </w:r>
      <w:r>
        <w:rPr>
          <w:rFonts w:hint="default" w:ascii="Times New Roman" w:hAnsi="Times New Roman" w:eastAsia="方正仿宋_GBK" w:cs="Times New Roman"/>
          <w:sz w:val="32"/>
          <w:szCs w:val="32"/>
        </w:rPr>
        <w:t>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年初结转结余0.00万元，年末结转结余0.00万元。本年收入33.62万元，与2023年度相比，增加16.04万元，增长91.24%，主要原因是增加精神障碍社区康复服务发展补助、社会福利和公益事业(区民政局）等工作经费。本年支出33.62万元，与2023年度相比，增加16.04万元，增长91.2%，主要原因是增加精神障碍社区康复服务发展补助、社会福利和公益事业(区民政局）等工作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三、财政拨款“三公”经费情况说明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9.55万元，较年初预算数减少20.95万元，下降68.69%，主要原因：一是未购置新车，二是严格按照公务用车使用规定使用公车，厉行节约从而减少了公务车运行维护费。较上年支出数减少18.58万元，下降66.05%，主要原因：一是未购置新车，二是严格按照公务用车使用规定使用公车，厉行节约从而减少了公务车运行维护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2024年度本单位因公出国（境）费用0.00万元，费用支出较年初预算数无增减，较上年支出数无增减。</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公务车购置费0.00万元，费用支出较年初预算数减少18.00万元，下降100.0%，主要原因是2024年未购置新车。较上年支出数减少16.89万元，下降100.0%，主要原因是2024年未购置新车。</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9.55万元，主要用于机要文件交换、市内因工出行、应急任务等工作所需车辆的燃料费、维修费、保险费等工作使用公车产生费用。公务车运行维护费较年初预算数减少2.45万元，下降20.42%，主要原因是严格按照公务用车使用规定使用公车，厉行节约从而减少了公务车运行维护费。较上年支出数减少1.69万元，下降15.04%，主要原因是严格按照公务用车使用规定使用公车，厉行节约从而减少了公务车运行维护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公务接待费0.00万元，费用支出较年初预算数减少0.50万元，下降100.0%，主要原因是本单位今年未发生公务接待。较上年支出数无增减，主要原因是本单位未发生公务接待。（三）“三公”经费实物量情况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部门因公出国（境）共计0个团组，0人；公务用车购置0辆，公务车保有量为4辆；国内公务接待0批次0人，其中：国内外事接待0批次，0人；国（境）外公务接待0批次，0人。2024年本部门人均接待费0元，车均购置费0万元，车均维护费2.39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本年度培训费支出0.88万元，与2023年度相比，减少10.98万元，下降92.58%，主要原因是街道深入贯彻中央八项规定精神学习教育要求，对照中央八项规定及其实施细则精神，坚持过紧日子，厉行勤俭节约，精简会议活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部门机关运行经费支出396.42万元，机关运行经费主要用于开支办公费，水电费，邮电费，印刷费，劳务费，委托业务费，会议费，培训费，其他交通费，公务车运行维护费，其他商品服务支出等。机关运行经费较上年支出数减少66.14万元，下降14.30%，主要原因:一是街道深入贯彻中央八项规定精神学习教育要求，对照中央</w:t>
      </w:r>
      <w:bookmarkStart w:id="0" w:name="_GoBack"/>
      <w:r>
        <w:rPr>
          <w:rFonts w:hint="default" w:ascii="Times New Roman" w:hAnsi="Times New Roman" w:eastAsia="方正仿宋_GBK" w:cs="Times New Roman"/>
          <w:sz w:val="32"/>
          <w:szCs w:val="32"/>
        </w:rPr>
        <w:t>八项规定</w:t>
      </w:r>
      <w:bookmarkEnd w:id="0"/>
      <w:r>
        <w:rPr>
          <w:rFonts w:hint="default" w:ascii="Times New Roman" w:hAnsi="Times New Roman" w:eastAsia="方正仿宋_GBK" w:cs="Times New Roman"/>
          <w:sz w:val="32"/>
          <w:szCs w:val="32"/>
        </w:rPr>
        <w:t>及其实施细则精神，坚持过紧日子，厉行勤俭节约，二是事业单位独立核算，减少了部分机关运行经费。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部门共有车辆4辆，其中，副部（省）级及以上领导用车0辆、主要负责人用车0辆、机要通信用车1辆、应急保障用车3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部门政府采购支出总额98.75万元，其中：政府采购货物支出23.75万元、政府采购工程支出0.00万元、政府采购服务支出75.00万元。授予中小企业合同金额94.69万元，占政府采购支出总额的95.89%，其中：授予小微企业合同金额94.69万元，占政府采购支出总额的95.89 %。主要用于采购多功能一体机、台式电脑、碎纸机、复印纸、安保服务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五、2024年度预算绩效管理情况说明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根据预算绩效管理要求，本部门整体和78个项目开展了绩效自评，其中，以填报目标自评表形式开展自评78项，涉及资金6414.94万元。（详见附件）</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（二）部门绩效评价情况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default" w:ascii="Times New Roman" w:hAnsi="Times New Roman" w:eastAsia="方正仿宋_GBK" w:cs="Times New Roman"/>
          <w:sz w:val="32"/>
          <w:szCs w:val="32"/>
        </w:rPr>
        <w:t>本部门未委托第三方开展绩效评价。</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（三）财政绩效评价情况</w:t>
      </w:r>
    </w:p>
    <w:p>
      <w:pPr>
        <w:spacing w:line="594" w:lineRule="exact"/>
        <w:ind w:firstLine="640" w:firstLineChars="200"/>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val="en-US" w:eastAsia="zh-CN"/>
        </w:rPr>
        <w:t>区财政局对我部门大井巷片区老旧小区改造提升项目开展了绩效评价，涉及财政拨款项目资金3582.23万元，评价得分85.71分，评价等次为良，绩效评价发现了：1、</w:t>
      </w:r>
      <w:r>
        <w:rPr>
          <w:rFonts w:hint="eastAsia" w:ascii="方正楷体_GBK" w:hAnsi="方正楷体_GBK" w:eastAsia="方正楷体_GBK" w:cs="方正楷体_GBK"/>
          <w:sz w:val="32"/>
          <w:szCs w:val="32"/>
          <w:highlight w:val="none"/>
        </w:rPr>
        <w:t>绩效指标值设置不合理</w:t>
      </w: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2、</w:t>
      </w:r>
      <w:r>
        <w:rPr>
          <w:rFonts w:hint="eastAsia" w:ascii="方正楷体_GBK" w:hAnsi="方正楷体_GBK" w:eastAsia="方正楷体_GBK" w:cs="方正楷体_GBK"/>
          <w:sz w:val="32"/>
          <w:szCs w:val="32"/>
          <w:highlight w:val="none"/>
        </w:rPr>
        <w:t>部分项目工程存在延期</w:t>
      </w: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3、</w:t>
      </w:r>
      <w:r>
        <w:rPr>
          <w:rFonts w:hint="eastAsia" w:ascii="方正楷体_GBK" w:hAnsi="方正楷体_GBK" w:eastAsia="方正楷体_GBK" w:cs="方正楷体_GBK"/>
          <w:sz w:val="32"/>
          <w:szCs w:val="32"/>
          <w:highlight w:val="none"/>
        </w:rPr>
        <w:t>项目管理不规范</w:t>
      </w:r>
      <w:r>
        <w:rPr>
          <w:rFonts w:hint="eastAsia" w:ascii="方正楷体_GBK" w:hAnsi="方正楷体_GBK" w:eastAsia="方正楷体_GBK" w:cs="方正楷体_GBK"/>
          <w:sz w:val="32"/>
          <w:szCs w:val="32"/>
          <w:highlight w:val="none"/>
          <w:lang w:eastAsia="zh-CN"/>
        </w:rPr>
        <w:t>。</w:t>
      </w:r>
      <w:r>
        <w:rPr>
          <w:rFonts w:hint="eastAsia" w:ascii="方正楷体_GBK" w:hAnsi="方正楷体_GBK" w:eastAsia="方正楷体_GBK" w:cs="方正楷体_GBK"/>
          <w:sz w:val="32"/>
          <w:szCs w:val="32"/>
          <w:highlight w:val="none"/>
          <w:lang w:val="en-US" w:eastAsia="zh-CN"/>
        </w:rPr>
        <w:t>提出下一步工作建议：1、</w:t>
      </w:r>
      <w:r>
        <w:rPr>
          <w:rFonts w:hint="eastAsia" w:ascii="方正仿宋_GBK" w:eastAsia="方正仿宋_GBK"/>
          <w:sz w:val="32"/>
          <w:szCs w:val="32"/>
          <w:highlight w:val="none"/>
        </w:rPr>
        <w:t>严格按照绩效目标申报表编制要求</w:t>
      </w:r>
      <w:r>
        <w:rPr>
          <w:rFonts w:hint="eastAsia" w:ascii="方正仿宋_GBK" w:eastAsia="方正仿宋_GBK"/>
          <w:sz w:val="32"/>
          <w:szCs w:val="32"/>
          <w:highlight w:val="none"/>
          <w:lang w:eastAsia="zh-CN"/>
        </w:rPr>
        <w:t>规范</w:t>
      </w:r>
      <w:r>
        <w:rPr>
          <w:rFonts w:hint="eastAsia" w:ascii="方正仿宋_GBK" w:eastAsia="方正仿宋_GBK"/>
          <w:sz w:val="32"/>
          <w:szCs w:val="32"/>
          <w:highlight w:val="none"/>
        </w:rPr>
        <w:t>设置绩效</w:t>
      </w:r>
      <w:r>
        <w:rPr>
          <w:rFonts w:hint="eastAsia" w:ascii="方正仿宋_GBK" w:eastAsia="方正仿宋_GBK"/>
          <w:sz w:val="32"/>
          <w:szCs w:val="32"/>
          <w:highlight w:val="none"/>
          <w:lang w:eastAsia="zh-CN"/>
        </w:rPr>
        <w:t>，</w:t>
      </w:r>
      <w:r>
        <w:rPr>
          <w:rFonts w:hint="eastAsia" w:ascii="方正仿宋_GBK" w:eastAsia="方正仿宋_GBK"/>
          <w:sz w:val="32"/>
          <w:szCs w:val="32"/>
          <w:highlight w:val="none"/>
        </w:rPr>
        <w:t>此外指标设置上应遵循指向明确、细化量化、合理可行、相应匹配的原则，选取最具代表性的核心指标去考核，提高绩效目标的科学性、可执行性和可考核性，及时发挥绩效管理作用。</w:t>
      </w:r>
      <w:r>
        <w:rPr>
          <w:rFonts w:hint="eastAsia" w:ascii="方正仿宋_GBK" w:eastAsia="方正仿宋_GBK"/>
          <w:sz w:val="32"/>
          <w:szCs w:val="32"/>
          <w:highlight w:val="none"/>
          <w:lang w:val="en-US" w:eastAsia="zh-CN"/>
        </w:rPr>
        <w:t>2、</w:t>
      </w:r>
      <w:r>
        <w:rPr>
          <w:rFonts w:hint="eastAsia" w:ascii="方正仿宋_GBK" w:eastAsia="方正仿宋_GBK"/>
          <w:sz w:val="32"/>
          <w:szCs w:val="32"/>
          <w:highlight w:val="none"/>
        </w:rPr>
        <w:t>加强建设项目管理</w:t>
      </w:r>
      <w:r>
        <w:rPr>
          <w:rFonts w:hint="eastAsia" w:ascii="方正仿宋_GBK" w:eastAsia="方正仿宋_GBK"/>
          <w:sz w:val="32"/>
          <w:szCs w:val="32"/>
          <w:highlight w:val="none"/>
          <w:lang w:eastAsia="zh-CN"/>
        </w:rPr>
        <w:t>，</w:t>
      </w:r>
      <w:r>
        <w:rPr>
          <w:rFonts w:hint="eastAsia" w:ascii="方正仿宋_GBK" w:eastAsia="方正仿宋_GBK"/>
          <w:sz w:val="32"/>
          <w:szCs w:val="32"/>
          <w:highlight w:val="none"/>
        </w:rPr>
        <w:t>提高项目策划等前期工作质量，科学确定并严格执行合理建设工期，动态监测可能影响施工进度的因素并及时做好预案。</w:t>
      </w:r>
      <w:r>
        <w:rPr>
          <w:rFonts w:hint="eastAsia" w:ascii="方正仿宋_GBK" w:eastAsia="方正仿宋_GBK"/>
          <w:sz w:val="32"/>
          <w:szCs w:val="32"/>
          <w:highlight w:val="none"/>
          <w:lang w:val="en-US" w:eastAsia="zh-CN"/>
        </w:rPr>
        <w:t>3、</w:t>
      </w:r>
      <w:r>
        <w:rPr>
          <w:rFonts w:hint="eastAsia" w:ascii="方正仿宋_GBK" w:eastAsia="方正仿宋_GBK"/>
          <w:sz w:val="32"/>
          <w:szCs w:val="32"/>
          <w:highlight w:val="none"/>
        </w:rPr>
        <w:t>严格遵守建设法规和许可证办理的规定，在开工前半个月内及时办理施工许可证</w:t>
      </w:r>
      <w:r>
        <w:rPr>
          <w:rFonts w:hint="eastAsia" w:eastAsia="方正仿宋_GBK"/>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七、决算公开联系方式及信息反馈渠道</w:t>
      </w:r>
    </w:p>
    <w:p>
      <w:pPr>
        <w:pStyle w:val="2"/>
        <w:rPr>
          <w:rFonts w:hint="default"/>
        </w:rPr>
      </w:pPr>
      <w:r>
        <w:rPr>
          <w:rFonts w:hint="default" w:ascii="Times New Roman" w:hAnsi="Times New Roman" w:eastAsia="方正仿宋_GBK" w:cs="Times New Roman"/>
          <w:sz w:val="32"/>
          <w:szCs w:val="32"/>
        </w:rPr>
        <w:t>本单位决算公开信息反馈和联系方式：胡亚  023-68815897</w:t>
      </w:r>
    </w:p>
    <w:sectPr>
      <w:footerReference r:id="rId3" w:type="default"/>
      <w:pgSz w:w="11906" w:h="16838"/>
      <w:pgMar w:top="1984" w:right="1446" w:bottom="1644" w:left="1446" w:header="0"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- 23 -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- 23 -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C4E42"/>
    <w:rsid w:val="015328B3"/>
    <w:rsid w:val="0B725411"/>
    <w:rsid w:val="113A6E7F"/>
    <w:rsid w:val="14122805"/>
    <w:rsid w:val="167703CD"/>
    <w:rsid w:val="2A8A2E3F"/>
    <w:rsid w:val="2FBD1C31"/>
    <w:rsid w:val="40F12EC1"/>
    <w:rsid w:val="439E0648"/>
    <w:rsid w:val="4B2E56F6"/>
    <w:rsid w:val="64BC4E42"/>
    <w:rsid w:val="691E3076"/>
    <w:rsid w:val="7233088B"/>
    <w:rsid w:val="72414D97"/>
    <w:rsid w:val="75535E37"/>
    <w:rsid w:val="762E4C63"/>
    <w:rsid w:val="786C4827"/>
    <w:rsid w:val="79947392"/>
    <w:rsid w:val="7C4F7131"/>
    <w:rsid w:val="7E537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3"/>
    <w:basedOn w:val="1"/>
    <w:qFormat/>
    <w:uiPriority w:val="99"/>
    <w:pPr>
      <w:ind w:firstLine="420" w:firstLineChars="200"/>
    </w:pPr>
  </w:style>
  <w:style w:type="character" w:customStyle="1" w:styleId="13">
    <w:name w:val="21"/>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2025-08-28T08:13:00Z</dcterms:created>
  <dc:creator>ASUS</dc:creator>
  <cp:lastModifiedBy>Administrator</cp:lastModifiedBy>
  <dcterms:modified xsi:type="dcterms:W3CDTF">2025-10-22T09:55:29Z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26BFC1F401AA4856A6AAB34B49196C61_11</vt:lpwstr>
  </property>
  <property fmtid="{D5CDD505-2E9C-101B-9397-08002B2CF9AE}" pid="4" name="KSOTemplateDocerSaveRecord">
    <vt:lpwstr>eyJoZGlkIjoiYWUzM2ZiZjlkMjMxMDQzMTFhYTAyOTY2YzBmMTFhNjgifQ==</vt:lpwstr>
  </property>
</Properties>
</file>