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重庆市渝中区人民政府两路口街道办事处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关于印发《2024年春节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期间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禁放烟花爆竹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安全管理工作方案》的通知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《2024年春节期间禁放烟花爆竹安全管理工作方案》已经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同意，现印发给你们</w:t>
      </w:r>
      <w:r>
        <w:rPr>
          <w:rFonts w:hint="default" w:ascii="Times New Roman" w:hAnsi="Times New Roman" w:eastAsia="方正仿宋_GBK" w:cs="Times New Roman"/>
          <w:spacing w:val="-6"/>
          <w:sz w:val="33"/>
          <w:szCs w:val="33"/>
        </w:rPr>
        <w:t>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渝中区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人民政府两路口街道办事处</w:t>
      </w:r>
    </w:p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4290" w:firstLineChars="13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2023年12月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p>
      <w:pPr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2024年春节期间禁放烟花爆竹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安全管理工作方案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为深入贯彻落实《重庆市燃放烟花爆竹管理条例》（以下简称《条例》），保障公共安全和人身、财产安全，创造文明、和谐、健康的工作、生产、生活环境，确保2024年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2月9日至2月25日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春节期间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区禁止燃放烟花爆竹安全管理工作有序开展，特制定本工作方案。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一、目标任务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全面抓好《条例》贯彻落实，按照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政府组织实施、部门各司其职、行业协同管理、群众积极参与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的原则，通过强化组织领导、广泛宣传引导、强化源头管控、严厉执法打击、开展隐患排查、严格管控看护、加强督导检查、保障信息畅通，确保实现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烟花燃放严格禁止、社会面平安稳定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left="0"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统一领导下，成立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禁放烟花爆竹安全管理工作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组      长：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野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党工委书记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胡传龙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党工委副书记、办事处主任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朱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丹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人大工委主任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常务副组长：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冯志勇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办事处副主任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副  组  长：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红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党工委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264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查  辉  党工委宣统委员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张海波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264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潘洪林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办事处副主任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 李  茜  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工委组织委员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张剑波  两路口派出所所长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谭  健  两路口地区交巡警大队大队长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成      员：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张光斌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办主任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beforeAutospacing="0" w:line="600" w:lineRule="exact"/>
        <w:ind w:left="0" w:firstLine="2640" w:firstLineChars="8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邹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纪工委副书记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ind w:left="0" w:firstLine="2310" w:firstLineChars="7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党政办主任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left="0" w:firstLine="2310" w:firstLineChars="7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李  乔  民社办主任</w:t>
      </w:r>
    </w:p>
    <w:p>
      <w:pPr>
        <w:pStyle w:val="14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left="0" w:hanging="5940" w:hangingChars="18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 周纪南  规建环办主任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朱清雷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平安办主任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left="0" w:hanging="4290" w:hangingChars="13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李方舟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经发办主任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2640" w:firstLineChars="8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金  磊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城管执法大队大队长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5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kern w:val="0"/>
          <w:sz w:val="33"/>
          <w:szCs w:val="33"/>
        </w:rPr>
        <w:t>领导小组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</w:rPr>
        <w:t>下设办公室在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</w:rPr>
        <w:t>，由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  <w:lang w:eastAsia="zh-CN"/>
        </w:rPr>
        <w:t>应急办主任张光斌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</w:rPr>
        <w:t>兼任办公室主任，负责春节期间禁止燃放烟花爆竹安全管理工作。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要建立健全相应的组织领导机构，认真制定并上报工作方案，落实各项措施，</w:t>
      </w:r>
      <w:r>
        <w:rPr>
          <w:rFonts w:hint="default" w:ascii="Times New Roman" w:hAnsi="Times New Roman" w:eastAsia="方正仿宋_GBK" w:cs="Times New Roman"/>
          <w:spacing w:val="-2"/>
          <w:sz w:val="33"/>
          <w:szCs w:val="33"/>
        </w:rPr>
        <w:t>负责本行业、本区域内禁止燃放烟花爆竹安全管理工作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党政办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负责统筹禁止燃放烟花爆竹安全管理宣传工作，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</w:rPr>
        <w:t>组织协调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主流媒体和新兴媒体，采取多种形式，广泛宣传《条例》相关规定和重大意义，及时曝光非法运输、储存、经营、燃放烟花爆竹行为，引导广大市民提高守法自觉性，创造良好的社会氛围。负责组织学校开展宣传教育。将《条例》纳入中小学校安全教育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</w:rPr>
        <w:t>发挥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</w:rPr>
        <w:t>小手牵大手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</w:rPr>
        <w:t>作用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。督导学校在放假前组织开展烟花爆竹管理主题教育活动。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两路口派出所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负责并做好节日期间禁止燃放烟花爆竹安全管理，依法查处非法运输、燃放行为；配合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街道应急办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查处打击非法生产、销售、储存烟花爆竹行为，对涉嫌犯罪的，依法追究刑事责任。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负责烟花爆竹生产经营安全管理工作，开展禁放区域内经营批发企业和零售点清理排查，开展加油站安全隐患排查整治，牵头查处打击非法生产、销售、存储烟花爆竹等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打非治违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工作。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制定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区消防灭火救援应急预案，做好应急救援准备，统计因非法燃放烟花爆竹引发的火警、火</w:t>
      </w:r>
      <w:r>
        <w:rPr>
          <w:rFonts w:hint="default" w:ascii="Times New Roman" w:hAnsi="Times New Roman" w:eastAsia="方正仿宋_GBK" w:cs="Times New Roman"/>
          <w:spacing w:val="-6"/>
          <w:sz w:val="33"/>
          <w:szCs w:val="33"/>
        </w:rPr>
        <w:t>灾情况，并调查原因，组织指导重点消防单位加强防火管理工作。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规建环办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燃放烟花爆竹对环境危害的社会宣传，发布大气环境污染预警。负责教育引导在建（拆）工地留守人员严格遵守燃放烟花爆竹安全管理的有关规定。负责组织城市桥梁、隧洞、下水道、化粪池等市政公用设施和公共绿地维护管理单位落实重点管控，严防违法燃放行为引发事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民社办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负责制订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区烟花爆竹伤亡救治应急预案，做好致伤人员的救护工作；统计因燃放烟花爆竹引发的人员伤害救治情况。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平安办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负责禁止燃放烟花爆竹安全管理工作处置过程中的信访、涉稳事件。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经发办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负责天然气、民爆品经营等单位安全隐患排查整治，制定落实应急预案。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各社区居委会、相关单位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3"/>
          <w:szCs w:val="33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组织实施本辖区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、本单位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内禁止燃放烟花爆竹安全管理工作，开展宣传引导、安全隐患排查整治、巡逻防范和重点目标管控等工作；配合查处各类违法违规生产、销售、储存、运输、燃放烟花爆竹行为。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四、工作步骤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（一）动员部署（2023年12月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日前）。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召开动员部署大会，明确总体要求、目标任务、具体安排和保障措施。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组建工作机构，研究制定并上报禁止燃放烟花爆竹安全管理工作方案。做好禁止燃放烟花爆竹安全管理各项准备工作。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（二）宣传引导（2023年12月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日起至2024年2月24日）。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结合职能职责开展宣传引导，按照进社区、进机关、进学校、进部队、进企业、进工地、进影剧院、进公交地铁、进宾馆酒店的要求，采取悬挂标语横幅、发放宣传资料、短信、微信等方式，提升群众对禁止燃放烟花爆竹相关管理规定的知晓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排查整治（2023年12月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日至2024年2月24日）。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要开展危险源排查，清除可燃物，整治和消除安全隐患，落实防范措施。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执法部门要开展综合执法，全面关闭未经许可的经营点、储存点，严查严打非法生产、运输、储存、销售烟花爆竹的行为。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（四）重点管控（2024年2月9日至2月24日）。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按照工作部署，在2024年2月9日（除夕）、2月10日（正月初一）、2月14日（正月初五）、2月24日（元宵）等重要时间节点，严格落实定点值守、动态巡控和违规查处等禁放看护措施，确保禁得住、管到位、不失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（五）工作总结（2024年2月24日后）。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要围绕2024年春节期间烟花爆竹安全管理工作，认真总结经验做法，按时上报总结材料。要健全完善常态安全管理制度和长效机制，进一步落实属地管理责任和行业监管责任，确保日常禁放工作有重点、有落实。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（一）提高思想意识，全面落实责任。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深入贯彻落实党的二十大精神，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进一步提高思想认识，强化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时时放心不下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的责任感，坚守安全红线、底线思维，充分认识做好烟花爆竹安全管理工作的重要意义，坚持问题导向，切实加强风险隐患排查和整改，切实加强组织领导，落实属地责任、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行业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监管责任、企业主体责任，按照工作职责分工抓好落实。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要结合实际，细化完善禁止燃放烟花爆竹安全管理工作具体实施方案，明确责任分工，按时推进工作任务。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即日起，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将全面启动2024年春节烟花爆竹禁放工作，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shd w:val="clear" w:color="auto" w:fill="FFFFFF"/>
        </w:rPr>
        <w:t>组建工作专班，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抽调专人集中办公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认真抓好工作方案制定、通告发布、动员部署、宣传发动、督导检查等工作，确保禁放烟花爆竹安全管理工作有力有序有效推进。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（二）广泛宣传引导，全覆盖无死角。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按照《条例》规定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区今年仍为全域禁放。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要充分利用宣传栏、横幅、短信、LED屏、网络等各种渠道，宣传禁止燃放烟花爆竹安全管理工作要求，切实增强广大市民的安全意识。各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将烟花爆竹安全宣传纳入</w:t>
      </w:r>
      <w:r>
        <w:rPr>
          <w:rFonts w:hint="eastAsia" w:eastAsia="方正仿宋_GBK" w:cs="Times New Roman"/>
          <w:color w:val="000000"/>
          <w:sz w:val="33"/>
          <w:szCs w:val="33"/>
          <w:lang w:eastAsia="zh-CN"/>
        </w:rPr>
        <w:t>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市社会化治理和网格化管理范畴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，会同物业服务企业张贴宣传海报、悬挂宣传横幅，进楼宇电梯、登门入户宣传告知，开展典型事故案例警示教育；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党建办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在寒假前要组织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区中小学校开展禁止燃放烟花爆竹安全管理教育学习；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规建环办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要组织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建筑单位对春节期间留城农民工开展禁放烟花宣传教育活动，督促物管单位做好禁止燃放烟花爆竹宣传教育管理工作；其他相关单位要做好本系统、本单位禁止燃放烟花爆竹安全管理宣传教育活动，形成强大的舆论氛围，确保宣传发动全覆盖、无死角。各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社区居委会要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保证社区悬挂宣传横幅不少于4幅，每个小区张贴宣传海报不少于6张。2024年2月4日为禁放烟花爆竹安全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集中宣传日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街道将在辖区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组织开展集中统一宣传活动，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要组织开展集中宣传日活动。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（三）严格全程监管，加大联动执法。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按照全面禁止生产、经营、储存、燃放烟花爆竹的要求，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对相关企业、仓储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库房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进行全面排查，特别是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辖区小卖部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，确保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零销售、零储存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要从即日起至2024年2月24日在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区范围内组织开展禁止燃放烟花爆竹专项检查整治行动，以居民小区、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贸市场、仓储物流等场所，桥梁隧洞、闲置厂房库房、待拆（建）工地、拆迁基地、临时搭建场所等区域，以及历年查处的非法窝点为重点，开展拉网式、反复式排查，重点打击查处非法经营、生产、储存、燃放以及携带烟花爆竹乘坐公共交通工具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（四）强化隐患排查，筑牢安全防线。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要积极开展安全隐患大排查大整治活动，组织从事婚庆礼仪、宾（旅）馆、饭店等行业单位开展联合检查，重点排查加油</w:t>
      </w:r>
      <w:r>
        <w:rPr>
          <w:rFonts w:hint="eastAsia" w:eastAsia="方正仿宋_GBK" w:cs="Times New Roman"/>
          <w:sz w:val="33"/>
          <w:szCs w:val="33"/>
          <w:lang w:eastAsia="zh-CN"/>
        </w:rPr>
        <w:t>站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、危险化学品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经营场所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电力设施、城市下水道、化粪池等危险源，对棚户区、拆迁片区、露天平台、开放式阳台、防盗窗护栏、建筑施工工地外墙装饰防护网等开展可燃物的清理。在危险源周边张贴禁燃禁放标识，重点时段安排专人值守。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要针对性开展消防安全隐患排查整治，督促各有关单位检查消防器材配备、完好状况及消防通道畅通情况，落实消防安全责任。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（五）严格管控看护，强化应急准备。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要坚持守土有责、守土有效，强化应急值守和指挥调度，组织专门力量，严格落实重点时段监管措施。在除夕、正月初一、正月初五、元宵节等重要节点，要切实落实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网格化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管控力量，紧盯重要点位，实行禁止燃放管控看护，定人定岗定责，并综合运用明察暗访、视频巡查等方式，确保管控看护力量落实到位。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两路口派出所、社区巡防队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要提升社会面巡防勤务等级，加强街面巡逻和重点目标管控。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（六）重视信息报送，畅通工作渠道。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各办公室（队）、各社区居委会、相关单位</w:t>
      </w:r>
      <w:r>
        <w:rPr>
          <w:rFonts w:hint="default" w:ascii="Times New Roman" w:hAnsi="Times New Roman" w:eastAsia="方正仿宋_GBK" w:cs="Times New Roman"/>
          <w:spacing w:val="4"/>
          <w:sz w:val="33"/>
          <w:szCs w:val="33"/>
        </w:rPr>
        <w:t>落实专人收集、汇总工作开展情况，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要加强与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的工作联系，通报情况，畅通信息渠道，重大事项及时报告。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要将本单位《2024年春节期间禁止燃放烟花爆竹安全管理工作方案》《领导小组及成员登记表》（见附件1）于2023年12月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日前加盖公章后报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，工作总结于2024年2月26日前报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。请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各社区居委会、相关单位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填写《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网格化、实名制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情况登记表》（见附件2），加盖公章后随工作方案一同报送。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联系人：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王满林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，联系电话：</w:t>
      </w:r>
      <w:r>
        <w:rPr>
          <w:rFonts w:hint="eastAsia" w:eastAsia="方正仿宋_GBK" w:cs="Times New Roman"/>
          <w:sz w:val="33"/>
          <w:szCs w:val="33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63609128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、电子邮箱：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7481284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@qq.com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附件：1.2024年春节禁燃工作领导小组成员登记表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650" w:firstLineChars="500"/>
        <w:textAlignment w:val="auto"/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2.2024</w:t>
      </w:r>
      <w:r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  <w:t>年春节禁放看护</w:t>
      </w:r>
      <w:r>
        <w:rPr>
          <w:rFonts w:hint="default" w:ascii="Times New Roman" w:hAnsi="Times New Roman" w:eastAsia="方正仿宋_GBK" w:cs="Times New Roman"/>
          <w:spacing w:val="-2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  <w:t>网格化、实名制</w:t>
      </w:r>
      <w:r>
        <w:rPr>
          <w:rFonts w:hint="default" w:ascii="Times New Roman" w:hAnsi="Times New Roman" w:eastAsia="方正仿宋_GBK" w:cs="Times New Roman"/>
          <w:spacing w:val="-2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  <w:t>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textAlignment w:val="auto"/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pacing w:val="-20"/>
          <w:sz w:val="33"/>
          <w:szCs w:val="33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2024年春节禁燃工作领导小组成员登记表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填表单位：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两路口街道办事处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填报时间：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年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月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日</w:t>
      </w:r>
    </w:p>
    <w:tbl>
      <w:tblPr>
        <w:tblStyle w:val="12"/>
        <w:tblW w:w="958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"/>
        <w:gridCol w:w="891"/>
        <w:gridCol w:w="1365"/>
        <w:gridCol w:w="1832"/>
        <w:gridCol w:w="1483"/>
        <w:gridCol w:w="32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3217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领导小组</w:t>
            </w:r>
          </w:p>
        </w:tc>
        <w:tc>
          <w:tcPr>
            <w:tcW w:w="89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组长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田野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党工委书记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63603108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胡传龙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办事处主任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63867131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朱丹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人大工委主任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63622831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副组长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冉红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党工委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副书记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63829782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母智勇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办事处副主任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63628992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查辉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工委组织委员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63320667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冯志勇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办事处副主任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63616706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张海波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办事处副主任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63874224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潘洪林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办事处副主任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63268359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李茜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工委组织委员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63632857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89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张光斌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应急办主任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63609128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邹蕤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工作人员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63609128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梁芸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工作人员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63609128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王满林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工作人员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 w:bidi="ar-SA"/>
              </w:rPr>
              <w:t>两路口街道</w:t>
            </w:r>
          </w:p>
        </w:tc>
        <w:tc>
          <w:tcPr>
            <w:tcW w:w="32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63609128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联络员：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王满林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电话：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63609128</w:t>
            </w:r>
          </w:p>
        </w:tc>
      </w:tr>
    </w:tbl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审核人：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冯志勇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  填表人：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王满林</w:t>
      </w:r>
    </w:p>
    <w:p>
      <w:pP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</w:rPr>
        <w:t>2024年春节禁放看护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</w:rPr>
        <w:t>网格化、实名制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kern w:val="0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填报街道：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两路口街道办事处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填报时间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日</w:t>
      </w:r>
    </w:p>
    <w:tbl>
      <w:tblPr>
        <w:tblStyle w:val="12"/>
        <w:tblW w:w="10104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64"/>
        <w:gridCol w:w="757"/>
        <w:gridCol w:w="757"/>
        <w:gridCol w:w="757"/>
        <w:gridCol w:w="759"/>
        <w:gridCol w:w="12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网格内管控力量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警力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党政干部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社会力量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两路口街道重庆村社区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何锐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63857901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两路口街道中山二路社区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程燕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13452855553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两路口街道王家坡社区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何伶俐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63860871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两路口街道铁路坡社区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黄静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86561293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两路口街道国际村社区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唐坤蓉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13527567456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两路口街道桂花园新村社区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刘春燕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63858010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两路口街道枇杷山正街社区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龙顺菊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13983183072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此表由各社区居委会、相关单位汇总，于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single"/>
              </w:rPr>
              <w:t>2023年12月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single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前报送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应急办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MTA5NGI0MGFmZDZkODA4Y2M3MWI0ZTgyOTMwOWYifQ=="/>
  </w:docVars>
  <w:rsids>
    <w:rsidRoot w:val="00311655"/>
    <w:rsid w:val="00003293"/>
    <w:rsid w:val="00017D7F"/>
    <w:rsid w:val="00044EE8"/>
    <w:rsid w:val="00046995"/>
    <w:rsid w:val="00050F5F"/>
    <w:rsid w:val="000650D3"/>
    <w:rsid w:val="000721BE"/>
    <w:rsid w:val="000B3A69"/>
    <w:rsid w:val="000C1EF9"/>
    <w:rsid w:val="000D56A0"/>
    <w:rsid w:val="00125C03"/>
    <w:rsid w:val="00137374"/>
    <w:rsid w:val="00162E4E"/>
    <w:rsid w:val="0019016D"/>
    <w:rsid w:val="001A6439"/>
    <w:rsid w:val="001A7D20"/>
    <w:rsid w:val="001C13C2"/>
    <w:rsid w:val="001C19AD"/>
    <w:rsid w:val="001C242E"/>
    <w:rsid w:val="001D4DB7"/>
    <w:rsid w:val="001E2F52"/>
    <w:rsid w:val="001E6B53"/>
    <w:rsid w:val="001F6730"/>
    <w:rsid w:val="0023173A"/>
    <w:rsid w:val="00257CDB"/>
    <w:rsid w:val="00271F50"/>
    <w:rsid w:val="00274C94"/>
    <w:rsid w:val="002A6378"/>
    <w:rsid w:val="002D2D10"/>
    <w:rsid w:val="002D4F92"/>
    <w:rsid w:val="00311655"/>
    <w:rsid w:val="0032193D"/>
    <w:rsid w:val="00333823"/>
    <w:rsid w:val="0036349F"/>
    <w:rsid w:val="00370F14"/>
    <w:rsid w:val="0038543D"/>
    <w:rsid w:val="00394F47"/>
    <w:rsid w:val="003A1AEA"/>
    <w:rsid w:val="003D66C2"/>
    <w:rsid w:val="003D742E"/>
    <w:rsid w:val="003E0A99"/>
    <w:rsid w:val="003E2E29"/>
    <w:rsid w:val="003E355F"/>
    <w:rsid w:val="003F00A8"/>
    <w:rsid w:val="003F60BE"/>
    <w:rsid w:val="004142D7"/>
    <w:rsid w:val="00450576"/>
    <w:rsid w:val="00463693"/>
    <w:rsid w:val="00463951"/>
    <w:rsid w:val="00464149"/>
    <w:rsid w:val="0046785C"/>
    <w:rsid w:val="004936F9"/>
    <w:rsid w:val="004C2AF8"/>
    <w:rsid w:val="004C7AB1"/>
    <w:rsid w:val="005011CA"/>
    <w:rsid w:val="005257D6"/>
    <w:rsid w:val="00531203"/>
    <w:rsid w:val="00534DBE"/>
    <w:rsid w:val="005D4852"/>
    <w:rsid w:val="0064470F"/>
    <w:rsid w:val="00665F73"/>
    <w:rsid w:val="006679C1"/>
    <w:rsid w:val="0068560A"/>
    <w:rsid w:val="006B2443"/>
    <w:rsid w:val="006D045F"/>
    <w:rsid w:val="006D56CF"/>
    <w:rsid w:val="006D7836"/>
    <w:rsid w:val="006E1825"/>
    <w:rsid w:val="00740643"/>
    <w:rsid w:val="007729DF"/>
    <w:rsid w:val="00774152"/>
    <w:rsid w:val="007C1470"/>
    <w:rsid w:val="007E3736"/>
    <w:rsid w:val="007E51B6"/>
    <w:rsid w:val="007F540B"/>
    <w:rsid w:val="008021AE"/>
    <w:rsid w:val="0082451D"/>
    <w:rsid w:val="00861DB2"/>
    <w:rsid w:val="008B0E61"/>
    <w:rsid w:val="008C275A"/>
    <w:rsid w:val="009551D5"/>
    <w:rsid w:val="00977A70"/>
    <w:rsid w:val="00986282"/>
    <w:rsid w:val="009A5266"/>
    <w:rsid w:val="009A592D"/>
    <w:rsid w:val="009B4DF2"/>
    <w:rsid w:val="009F3641"/>
    <w:rsid w:val="009F5557"/>
    <w:rsid w:val="00A250D6"/>
    <w:rsid w:val="00A43DAB"/>
    <w:rsid w:val="00A472B0"/>
    <w:rsid w:val="00A73867"/>
    <w:rsid w:val="00AB0583"/>
    <w:rsid w:val="00AC3EC9"/>
    <w:rsid w:val="00B0344F"/>
    <w:rsid w:val="00B36011"/>
    <w:rsid w:val="00B66BF8"/>
    <w:rsid w:val="00B6740E"/>
    <w:rsid w:val="00B73B71"/>
    <w:rsid w:val="00BA1554"/>
    <w:rsid w:val="00BD6AD6"/>
    <w:rsid w:val="00BE033B"/>
    <w:rsid w:val="00BE706E"/>
    <w:rsid w:val="00BF212B"/>
    <w:rsid w:val="00C00654"/>
    <w:rsid w:val="00C1650C"/>
    <w:rsid w:val="00C45DFE"/>
    <w:rsid w:val="00C54982"/>
    <w:rsid w:val="00C65AC3"/>
    <w:rsid w:val="00C72A9E"/>
    <w:rsid w:val="00C760B3"/>
    <w:rsid w:val="00D129E7"/>
    <w:rsid w:val="00D14756"/>
    <w:rsid w:val="00D24F09"/>
    <w:rsid w:val="00D31284"/>
    <w:rsid w:val="00D44EC9"/>
    <w:rsid w:val="00D63117"/>
    <w:rsid w:val="00D6704E"/>
    <w:rsid w:val="00D7577D"/>
    <w:rsid w:val="00D93BC2"/>
    <w:rsid w:val="00DB670B"/>
    <w:rsid w:val="00DD478B"/>
    <w:rsid w:val="00DE32C4"/>
    <w:rsid w:val="00E02408"/>
    <w:rsid w:val="00E15A08"/>
    <w:rsid w:val="00E419F1"/>
    <w:rsid w:val="00E44F9F"/>
    <w:rsid w:val="00E478A5"/>
    <w:rsid w:val="00E65E3B"/>
    <w:rsid w:val="00EA5DDC"/>
    <w:rsid w:val="00EF3A56"/>
    <w:rsid w:val="00F10AC6"/>
    <w:rsid w:val="00F2339F"/>
    <w:rsid w:val="00F34E40"/>
    <w:rsid w:val="00F545CD"/>
    <w:rsid w:val="00F70AE7"/>
    <w:rsid w:val="00F7523F"/>
    <w:rsid w:val="00FA1C95"/>
    <w:rsid w:val="00FF2181"/>
    <w:rsid w:val="07354B9C"/>
    <w:rsid w:val="0A307DE4"/>
    <w:rsid w:val="0BA649F9"/>
    <w:rsid w:val="11206A4D"/>
    <w:rsid w:val="1BBC35A7"/>
    <w:rsid w:val="2143330D"/>
    <w:rsid w:val="23C709E3"/>
    <w:rsid w:val="2BCD795A"/>
    <w:rsid w:val="34BB08E2"/>
    <w:rsid w:val="388962D4"/>
    <w:rsid w:val="3BD84BAF"/>
    <w:rsid w:val="3E781E0A"/>
    <w:rsid w:val="3EF03943"/>
    <w:rsid w:val="42A36334"/>
    <w:rsid w:val="43294336"/>
    <w:rsid w:val="455562C4"/>
    <w:rsid w:val="47F043AD"/>
    <w:rsid w:val="4A2A0EE6"/>
    <w:rsid w:val="4C6E032E"/>
    <w:rsid w:val="4C7E107F"/>
    <w:rsid w:val="4FDE75EC"/>
    <w:rsid w:val="51A81A52"/>
    <w:rsid w:val="635E1020"/>
    <w:rsid w:val="73781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 w:val="0"/>
      <w:spacing w:before="100" w:beforeAutospacing="1" w:after="100" w:afterAutospacing="1"/>
      <w:jc w:val="both"/>
      <w:outlineLvl w:val="2"/>
    </w:pPr>
    <w:rPr>
      <w:rFonts w:ascii="宋体" w:hAnsi="永中宋体" w:eastAsia="宋体" w:cs="宋体"/>
      <w:b/>
      <w:bCs/>
      <w:kern w:val="2"/>
      <w:sz w:val="27"/>
      <w:szCs w:val="27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next w:val="1"/>
    <w:semiHidden/>
    <w:qFormat/>
    <w:uiPriority w:val="0"/>
    <w:pPr>
      <w:ind w:firstLine="540"/>
    </w:pPr>
    <w:rPr>
      <w:rFonts w:ascii="仿宋" w:eastAsia="仿宋"/>
    </w:rPr>
  </w:style>
  <w:style w:type="paragraph" w:styleId="5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8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List"/>
    <w:basedOn w:val="1"/>
    <w:qFormat/>
    <w:uiPriority w:val="0"/>
  </w:style>
  <w:style w:type="paragraph" w:styleId="11">
    <w:name w:val="Body Text First Indent"/>
    <w:basedOn w:val="2"/>
    <w:qFormat/>
    <w:uiPriority w:val="0"/>
    <w:pPr>
      <w:ind w:firstLine="100" w:firstLineChars="100"/>
    </w:pPr>
  </w:style>
  <w:style w:type="paragraph" w:customStyle="1" w:styleId="14">
    <w:name w:val="Default"/>
    <w:next w:val="10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纯文本 字符"/>
    <w:basedOn w:val="13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渝中公安</Company>
  <Pages>12</Pages>
  <Words>852</Words>
  <Characters>4859</Characters>
  <Lines>40</Lines>
  <Paragraphs>11</Paragraphs>
  <TotalTime>1</TotalTime>
  <ScaleCrop>false</ScaleCrop>
  <LinksUpToDate>false</LinksUpToDate>
  <CharactersWithSpaces>5700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2023-12-06T08:01:00Z</dcterms:created>
  <dc:creator>顾晓冬</dc:creator>
  <cp:lastModifiedBy>两路口收文人员</cp:lastModifiedBy>
  <cp:lastPrinted>2023-12-27T03:36:00Z</cp:lastPrinted>
  <dcterms:modified xsi:type="dcterms:W3CDTF">2023-12-28T02:11:03Z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FAC84E84865540CD9A45C89A657F8864_12</vt:lpwstr>
  </property>
</Properties>
</file>