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eastAsia="方正小标宋_GBK"/>
          <w:sz w:val="44"/>
          <w:szCs w:val="32"/>
          <w:lang w:eastAsia="zh-CN"/>
        </w:rPr>
      </w:pPr>
      <w:r>
        <w:rPr>
          <w:rFonts w:hint="eastAsia" w:eastAsia="方正小标宋_GBK"/>
          <w:sz w:val="44"/>
          <w:szCs w:val="32"/>
          <w:lang w:eastAsia="zh-CN"/>
        </w:rPr>
        <w:t>两路口街道办事处</w:t>
      </w:r>
    </w:p>
    <w:p>
      <w:pPr>
        <w:spacing w:line="594" w:lineRule="exact"/>
        <w:jc w:val="center"/>
        <w:rPr>
          <w:rFonts w:eastAsia="方正小标宋_GBK"/>
          <w:sz w:val="44"/>
          <w:szCs w:val="32"/>
        </w:rPr>
      </w:pPr>
      <w:r>
        <w:rPr>
          <w:rFonts w:eastAsia="方正小标宋_GBK"/>
          <w:sz w:val="44"/>
          <w:szCs w:val="32"/>
        </w:rPr>
        <w:t>项目支出绩效评价报告</w:t>
      </w:r>
    </w:p>
    <w:p>
      <w:pPr>
        <w:spacing w:line="594" w:lineRule="exact"/>
        <w:jc w:val="center"/>
        <w:rPr>
          <w:rFonts w:eastAsia="方正小标宋_GBK"/>
          <w:sz w:val="44"/>
          <w:szCs w:val="32"/>
        </w:rPr>
      </w:pPr>
    </w:p>
    <w:p>
      <w:pPr>
        <w:spacing w:line="594" w:lineRule="exact"/>
        <w:ind w:firstLine="640" w:firstLineChars="200"/>
        <w:rPr>
          <w:rFonts w:eastAsia="方正黑体_GBK"/>
          <w:sz w:val="32"/>
          <w:szCs w:val="32"/>
        </w:rPr>
      </w:pPr>
      <w:r>
        <w:rPr>
          <w:rFonts w:eastAsia="方正黑体_GBK"/>
          <w:sz w:val="32"/>
          <w:szCs w:val="32"/>
        </w:rPr>
        <w:t>一、基本概况</w:t>
      </w:r>
    </w:p>
    <w:p>
      <w:pPr>
        <w:spacing w:line="594" w:lineRule="exact"/>
        <w:ind w:firstLine="640" w:firstLineChars="200"/>
        <w:rPr>
          <w:rFonts w:eastAsia="方正仿宋_GBK"/>
          <w:sz w:val="32"/>
          <w:szCs w:val="32"/>
        </w:rPr>
      </w:pPr>
      <w:r>
        <w:rPr>
          <w:rFonts w:eastAsia="方正仿宋_GBK"/>
          <w:sz w:val="32"/>
          <w:szCs w:val="32"/>
        </w:rPr>
        <w:t>（一）项目概况。</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为了全面贯彻党的十九大、中央城市工作会议精神，进一步改善我市老旧小区居住环境居住品质，根据市委、市政府对城市提升行动计划的总体部署，决定在主城区范围内开展老旧小区改造提升示范工作。中山二路社区枣子岚垭一巷52、53、54、55、56、57、58号是作为2018年度全市老旧小区改造提升4个示范点之一。改造内容为疏通、改造排污管网，维修小区晾衣设施；增加小区休闲场所和增设小区休闲生活设施；维修堡坎，维修文化墙，维修门头；更换小区桌椅；增设小区宣传栏；增加小区绿化景观。</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鹅岭正街门楣店招及外立面整治项目为街道2018年区级一般项目，改造内容为建筑外立面及周边环境改造，建筑改造范围为鹅岭公园大门对面三栋建筑，修建于上个世纪，底层为商户、农贸市场，底层以上为住户，由于历史久远,建筑外立面陈旧，出现脱落痕迹，设施老化，绿化人居环境差，从当地居民的生活需求以及鹅岭公园门户展示形象的要求出发，对该区域进行翻新、整修、整治。</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项目支出绩效目标。</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枣一巷片区示范点景观工程项目绩效目标：疏通、改造排污管网，维修小区晾衣设施；增加小区休闲场所和增设小区休闲生活设施；维修堡坎，维修文化墙，维修门头；更换小区桌椅；增设小区宣传栏；增加小区绿化景观。</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鹅岭正街门楣店招及周边环境整治提升项目的绩效目标：鹅岭正街人行道提档升级，门楣店招规整，老旧建筑外立面整治，开展环境综合整治工作，改善辖区市容市貌。</w:t>
      </w:r>
    </w:p>
    <w:p>
      <w:pPr>
        <w:spacing w:line="594" w:lineRule="exact"/>
        <w:ind w:firstLine="640" w:firstLineChars="200"/>
        <w:rPr>
          <w:rFonts w:eastAsia="方正仿宋_GBK"/>
          <w:sz w:val="32"/>
          <w:szCs w:val="32"/>
        </w:rPr>
      </w:pPr>
      <w:r>
        <w:rPr>
          <w:rFonts w:eastAsia="方正黑体_GBK"/>
          <w:sz w:val="32"/>
          <w:szCs w:val="32"/>
        </w:rPr>
        <w:t>二、绩效评价工作情况</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（一）绩效评价目的。</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为贯彻落实重庆市渝中</w:t>
      </w:r>
      <w:bookmarkStart w:id="0" w:name="_GoBack"/>
      <w:bookmarkEnd w:id="0"/>
      <w:r>
        <w:rPr>
          <w:rFonts w:hint="eastAsia" w:ascii="仿宋_GB2312" w:eastAsia="仿宋_GB2312"/>
          <w:sz w:val="28"/>
          <w:szCs w:val="28"/>
          <w:lang w:val="en-US" w:eastAsia="zh-CN"/>
        </w:rPr>
        <w:t>区委、区政府《关于推进预算绩效管理工作实施意见》和区人大《关于全面推进财政预算绩效管理的决议》精神，加快推进区级部门整体支出和项目支出绩效评价工作，提高财政资金使用效益，了解和掌握项目实施的具体情况，及时总结项目管理经验，完善项目管理办法，提高项目管理水平和资金使用效益。根据评价中发现的问题，认真加以整改，及时调整和完善单位的工作计划和绩效目标，同时为后续资金投入、分配和管理提供依据。</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（二）绩效评价原则、评价指标体系、评价方法。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绩效评价原则</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1.相关性原则</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绩效评价采用的资料和数据应当与绩效评价指标有直接的联系，能够恰当反映指标的可确认性。</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2.重要性原则</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绩效评价指标体系分值较大项目应当重点进行评价，证据要客观、真实、充分。</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3.社会性原则</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绩效评价应当结合机动财力产生的社会效益和群众满意度进行评分。</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4.合理性原则</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绩效评价应当将定量与定性相结合，使绩效评价结果客观公允。</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5.经济性原则</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绩效评价工作数据的获得应当考虑现实条件和可操作性，符合成本效益原则。</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绩效评价标准（指标体系）</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2017年度渝中区两路口街道机动财力绩效评价指标体系由渝中区财政局设计，包括一级指标、二级指标、三级指标、明细指标、指标说明、分值、评价标准、得分等。</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1、一级指标-产出</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一级指标-产出分值67分，设项目产出1个二级指标，设实际完成率、完成及时率、成本偏离度、质量达标率4个三级指标，设7个明细指标。</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2、一级指标-管理</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一级指标-管理分值33分，设决策管理、资金管理、业务管理3个二级指标，设立项依据、资金使用合规性、管理制度健全性等9个三级指标，设12个明细指标。</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绩效评价方法。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（1）比较法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比较法是指通过对绩效目标与实施效果进行比较，综合分析绩效目标的实现程度。</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（2）因素分析法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因素分析法是指通过综合分析影响绩效目标实现、实施效果的内外因素，评价绩效目标的实现程度。</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（3）座谈法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了解项目实施的基本情况、取得的绩效以及发现的问题，对项目实施的总体情况作初步了解。  </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（4）询问查证法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通过书面及口头，核查项目资料是否真实、合理，从而对项目做出初步的判断和评价。</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（5）公众评判法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公众批判法是指通过专家评估、公众问卷及抽样调查等对财政支出效果进行评判，评价绩效目标的实现程度。</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（6）抽样调查法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对街道办事处经费支出抽取一定比例的支付凭据进行抽样调查，查看是否存在支出依据不合规、虚列支出的情况；是否存在截留、挤占、挪用资金情况；财政专项资金是否及时到位；项目是否按计划和要求及时实施等。</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（7）其他适宜的评价方法。</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（三）绩效评价工作过程。</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1.前期准备。</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全面学习政策，为做好绩效评价工作的知识储备；合理调配人力。为按时、保质、保量完成本次绩效评价工作合理调配人员力量；科学制定方案。为使绩效评价工作平稳有序进行，我们在正式评价开展前拟定了详细的工作方案，方案内容包括评价内容、评价方法、评价依据、时间安排、工作步骤、工作要求等方面；加强沟通协调。接到绩效评价工作任务后，第一时间与相关科室沟通，加快工作进度。</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2.组织实施。</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收集项目资料进行总结，在此基础上实施绩效评价；对项目实施情况进行检查，通过座谈、走访、实地勘察等方式核实；检查项目资金是否按专项资金管理办法足额投入，是否按财务会计制度执行，会计核算是否真实，专项资金是否有完整的审批程序，是否及时支付、有无挪用、挤占等情况实施绩效评价。</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3.分析评价。</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结合检查情况，在全面分析情况下进行总结，对照评价指标和标准，进行综合评议和打分，得出评价结论，撰写评价报告。</w:t>
      </w:r>
    </w:p>
    <w:p>
      <w:pPr>
        <w:spacing w:line="240" w:lineRule="auto"/>
        <w:ind w:firstLine="640" w:firstLineChars="200"/>
        <w:rPr>
          <w:rFonts w:eastAsia="方正仿宋_GBK"/>
          <w:sz w:val="32"/>
          <w:szCs w:val="32"/>
        </w:rPr>
      </w:pPr>
      <w:r>
        <w:rPr>
          <w:rFonts w:eastAsia="方正黑体_GBK"/>
          <w:sz w:val="32"/>
          <w:szCs w:val="32"/>
        </w:rPr>
        <w:t>三、综合评价情况及评价结论</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鹅岭正街门楣店招及外立面整治项目绩效评价总分100分，本单位综合评价得分81.4分。其中管理指标分值33分，实际得分33分，产出指标分值67分，实际得分48.4分，扣18.6分。</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扣分原因：</w:t>
      </w:r>
    </w:p>
    <w:p>
      <w:pPr>
        <w:tabs>
          <w:tab w:val="left" w:pos="1560"/>
        </w:tabs>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1、明细指标-实施进度分值18分，4月份开始施工，与绩效指标实施进度不符，扣13分，实际得分5分。</w:t>
      </w:r>
    </w:p>
    <w:p>
      <w:pPr>
        <w:tabs>
          <w:tab w:val="left" w:pos="1560"/>
        </w:tabs>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2、明细指标-完成及时率分值12分，未达到绩效指标实际完成率扣5.6分，实际得分6.4分。</w:t>
      </w:r>
    </w:p>
    <w:p>
      <w:pPr>
        <w:tabs>
          <w:tab w:val="left" w:pos="1560"/>
        </w:tabs>
        <w:ind w:firstLine="560" w:firstLineChars="200"/>
        <w:rPr>
          <w:rFonts w:hint="eastAsia" w:ascii="仿宋_GB2312" w:eastAsia="仿宋_GB2312"/>
          <w:sz w:val="28"/>
          <w:szCs w:val="28"/>
        </w:rPr>
      </w:pPr>
      <w:r>
        <w:rPr>
          <w:rFonts w:hint="eastAsia" w:ascii="仿宋_GB2312" w:eastAsia="仿宋_GB2312"/>
          <w:sz w:val="28"/>
          <w:szCs w:val="28"/>
        </w:rPr>
        <w:t>枣一巷片区</w:t>
      </w:r>
      <w:r>
        <w:rPr>
          <w:rFonts w:hint="eastAsia" w:ascii="仿宋_GB2312" w:eastAsia="仿宋_GB2312"/>
          <w:sz w:val="28"/>
          <w:szCs w:val="28"/>
          <w:lang w:eastAsia="zh-CN"/>
        </w:rPr>
        <w:t>示范点景观工程</w:t>
      </w:r>
      <w:r>
        <w:rPr>
          <w:rFonts w:hint="eastAsia" w:ascii="仿宋_GB2312" w:eastAsia="仿宋_GB2312"/>
          <w:sz w:val="28"/>
          <w:szCs w:val="28"/>
          <w:lang w:val="en-US" w:eastAsia="zh-CN"/>
        </w:rPr>
        <w:t>项目绩效评价总分100分，本单位综合评价得分98.2分。其中管理指标分值33分，实际得分33分，</w:t>
      </w:r>
      <w:r>
        <w:rPr>
          <w:rFonts w:hint="eastAsia" w:ascii="仿宋_GB2312" w:eastAsia="仿宋_GB2312"/>
          <w:sz w:val="28"/>
          <w:szCs w:val="28"/>
        </w:rPr>
        <w:t>产出指标分值</w:t>
      </w:r>
      <w:r>
        <w:rPr>
          <w:rFonts w:hint="eastAsia" w:ascii="仿宋_GB2312" w:eastAsia="仿宋_GB2312"/>
          <w:sz w:val="28"/>
          <w:szCs w:val="28"/>
          <w:lang w:val="en-US" w:eastAsia="zh-CN"/>
        </w:rPr>
        <w:t>67</w:t>
      </w:r>
      <w:r>
        <w:rPr>
          <w:rFonts w:hint="eastAsia" w:ascii="仿宋_GB2312" w:eastAsia="仿宋_GB2312"/>
          <w:sz w:val="28"/>
          <w:szCs w:val="28"/>
        </w:rPr>
        <w:t>分</w:t>
      </w:r>
      <w:r>
        <w:rPr>
          <w:rFonts w:hint="eastAsia" w:ascii="仿宋_GB2312" w:eastAsia="仿宋_GB2312"/>
          <w:sz w:val="28"/>
          <w:szCs w:val="28"/>
          <w:lang w:eastAsia="zh-CN"/>
        </w:rPr>
        <w:t>，</w:t>
      </w:r>
      <w:r>
        <w:rPr>
          <w:rFonts w:hint="eastAsia" w:ascii="仿宋_GB2312" w:eastAsia="仿宋_GB2312"/>
          <w:sz w:val="28"/>
          <w:szCs w:val="28"/>
        </w:rPr>
        <w:t>实际得分</w:t>
      </w:r>
      <w:r>
        <w:rPr>
          <w:rFonts w:hint="eastAsia" w:ascii="仿宋_GB2312" w:eastAsia="仿宋_GB2312"/>
          <w:sz w:val="28"/>
          <w:szCs w:val="28"/>
          <w:lang w:val="en-US" w:eastAsia="zh-CN"/>
        </w:rPr>
        <w:t>65.2</w:t>
      </w:r>
      <w:r>
        <w:rPr>
          <w:rFonts w:hint="eastAsia" w:ascii="仿宋_GB2312" w:eastAsia="仿宋_GB2312"/>
          <w:sz w:val="28"/>
          <w:szCs w:val="28"/>
        </w:rPr>
        <w:t>分，扣</w:t>
      </w:r>
      <w:r>
        <w:rPr>
          <w:rFonts w:hint="eastAsia" w:ascii="仿宋_GB2312" w:eastAsia="仿宋_GB2312"/>
          <w:sz w:val="28"/>
          <w:szCs w:val="28"/>
          <w:lang w:val="en-US" w:eastAsia="zh-CN"/>
        </w:rPr>
        <w:t>1.8</w:t>
      </w:r>
      <w:r>
        <w:rPr>
          <w:rFonts w:hint="eastAsia" w:ascii="仿宋_GB2312" w:eastAsia="仿宋_GB2312"/>
          <w:sz w:val="28"/>
          <w:szCs w:val="28"/>
        </w:rPr>
        <w:t>分。</w:t>
      </w:r>
    </w:p>
    <w:p>
      <w:pPr>
        <w:tabs>
          <w:tab w:val="left" w:pos="1560"/>
        </w:tabs>
        <w:ind w:firstLine="560" w:firstLineChars="200"/>
        <w:rPr>
          <w:rFonts w:hint="eastAsia" w:ascii="仿宋_GB2312" w:eastAsia="仿宋_GB2312"/>
          <w:sz w:val="28"/>
          <w:szCs w:val="28"/>
        </w:rPr>
      </w:pPr>
      <w:r>
        <w:rPr>
          <w:rFonts w:hint="eastAsia" w:ascii="仿宋_GB2312" w:eastAsia="仿宋_GB2312"/>
          <w:sz w:val="28"/>
          <w:szCs w:val="28"/>
        </w:rPr>
        <w:t>扣分原因：</w:t>
      </w:r>
    </w:p>
    <w:p>
      <w:pPr>
        <w:tabs>
          <w:tab w:val="left" w:pos="1560"/>
        </w:tabs>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明细指标-实施进度分值15分，3月底未全部完成任务扣1分，实际得分14分。</w:t>
      </w:r>
    </w:p>
    <w:p>
      <w:pPr>
        <w:tabs>
          <w:tab w:val="left" w:pos="1560"/>
        </w:tabs>
        <w:ind w:firstLine="560" w:firstLineChars="200"/>
        <w:rPr>
          <w:rFonts w:hint="eastAsia" w:ascii="仿宋_GB2312" w:eastAsia="仿宋_GB2312"/>
          <w:sz w:val="28"/>
          <w:szCs w:val="28"/>
        </w:rPr>
      </w:pPr>
      <w:r>
        <w:rPr>
          <w:rFonts w:hint="eastAsia" w:ascii="仿宋_GB2312" w:eastAsia="仿宋_GB2312"/>
          <w:sz w:val="28"/>
          <w:szCs w:val="28"/>
          <w:lang w:val="en-US" w:eastAsia="zh-CN"/>
        </w:rPr>
        <w:t>2、明细指标-完成及时率分值12分，完全完工延迟2个月扣0.8分，实际得分11.2分。</w:t>
      </w:r>
    </w:p>
    <w:p>
      <w:pPr>
        <w:spacing w:line="594" w:lineRule="exact"/>
        <w:ind w:firstLine="640" w:firstLineChars="200"/>
        <w:rPr>
          <w:rFonts w:eastAsia="方正黑体_GBK"/>
          <w:sz w:val="32"/>
          <w:szCs w:val="32"/>
        </w:rPr>
      </w:pPr>
      <w:r>
        <w:rPr>
          <w:rFonts w:eastAsia="方正黑体_GBK"/>
          <w:sz w:val="32"/>
          <w:szCs w:val="32"/>
        </w:rPr>
        <w:t>四、项目资金和组织管理情况</w:t>
      </w:r>
    </w:p>
    <w:p>
      <w:pPr>
        <w:tabs>
          <w:tab w:val="left" w:pos="1560"/>
        </w:tabs>
        <w:ind w:firstLine="640" w:firstLineChars="200"/>
        <w:rPr>
          <w:rFonts w:hint="eastAsia" w:ascii="仿宋_GB2312" w:eastAsia="仿宋_GB2312"/>
          <w:sz w:val="28"/>
          <w:szCs w:val="28"/>
          <w:lang w:val="en-US" w:eastAsia="zh-CN"/>
        </w:rPr>
      </w:pPr>
      <w:r>
        <w:rPr>
          <w:rFonts w:eastAsia="方正仿宋_GBK"/>
          <w:sz w:val="32"/>
          <w:szCs w:val="32"/>
        </w:rPr>
        <w:t>（一）</w:t>
      </w:r>
      <w:r>
        <w:rPr>
          <w:rFonts w:hint="eastAsia" w:ascii="仿宋_GB2312" w:eastAsia="仿宋_GB2312"/>
          <w:sz w:val="28"/>
          <w:szCs w:val="28"/>
          <w:lang w:val="en-US" w:eastAsia="zh-CN"/>
        </w:rPr>
        <w:t>项目/整体支出资金情况分析</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1.项目/整体支出资金安排落实、总投入等情况分析。</w:t>
      </w:r>
    </w:p>
    <w:p>
      <w:pPr>
        <w:tabs>
          <w:tab w:val="left" w:pos="1560"/>
        </w:tabs>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枣一巷片区示范点景观工程项目起止时间是2019.1-2019.6，项目总预算348.55万元。鹅岭正街门楣店招及外立面整治项目立项时间2018.6-2019.12，项目总预算541.99万元。</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项目/整体支出资金实际使用情况分析。</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截止2019年12月枣一巷片区示范点景观工程经费共计支付241.16万元，其中工程款168万元，示范点整治提升经费56万元，造价服务费0.95万元，提升设计费8.82万元，工程监理费7.39万元。</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截止2019年12月鹅岭正街周边环境整治经费共计支付358.13万元，其中工程款330万元，环境整治提升经费10万元，设计费13.7万元，提升编制服务费3.23万元，施工图审费1.2万元。</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项目/整体支出资金管理情况（包括管理制度、办法的制订及执行情况分析）。</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项目资金严格按照建设项目资金管理办法执行，落实财务管理制度，无截留、挤占、挪用支出等情况，严格按照财政资金审批程序，支出一笔经费申请一笔经费，做到收入支出有凭证。</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（二）项目/整体支出组织情况分析</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1.项目/整体支出组织情况（包括项目/整体支出招投标情况、调整情况、完成验收等）分析。</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鹅岭正街周边环境整治工程招标投标情况：</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鹅岭正街周边环境整治提升工程由两路口街道办事处作为业主单位，委托中机中联工程有限公司作为招标代理，于2019年3月28日在重庆市招标投标综合网、重庆市渝中区公共资源交易网同时发布招标公告。2019年4月3日，两路口街道在渝中区公共资源交易网上发布了招标文件答疑和最高限价460万元的通知。截止2019年4月18日上午10点，共计收到7家投标单位的投标文件，2019年4月18日上午9点，两路口街道在重庆市综合评标专家库中随机抽取了拟参与评标的专家4人，派1名招标人代表。</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开评标情况：该项目在渝中区公共资源市场配置中心一开标室召开，开标会由招标代理单位主持，参加开标会的人员为渝中区发改委代表、招标人代表、投标单位法人授权委托代表。现场通过核对投标单位名单、查验投标人身份资料、核验密封投标文件。通过现场查询陕西亿金建设有限公司拟投入本项目的项目经理在开标现场查询显示有在建项目，其余6家单位符合条件。</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评标委员会本着“公平、公正、公开”的原则，根据招标文件和相关法规以及招标人确定的“定标原则”，第一中标候选人：重庆市渝中区第九建筑工程公司；第二中标候选人：长沙金诚建筑有限公司；第三中标候选人：四川兴林建设工程有限公司。2019年4月22日至4月24日公示期间无投诉。渝中区第九建筑工程公司中标金额为4375678.87元。</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老旧小区提升改造工程——栆一巷片区示范点景观工程：</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栆一巷片区示范点景观工程由两路口街道办事处作为业主单位，委托中机中联工程有限公司作为招标代理，于2018年12月11日在重庆市招标投标综合网、重庆市渝中区公共资源交易网同时发布招标公告。截止2019年3月6日上午10点，共计收到12家竞标单位的投标文件，2019年3月6日上午9点，两路口街道在重庆市综合评标专家库中随机抽取了拟参与评标的专家3人。</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开评标情况：该项目在渝中区公共资源市场配置中心一开标室召开，开标会由招标代理单位主持，参加开标会的人员为比选人代表、监督部门、竞标单位法人授权委托代表。现场通过核对投标单位名单、查验投标人身份资料、核验密封投标文件。通过现场查询重庆沣铧建筑工程有限公司商务部分未按竞争性比选文件要求加盖竞标人单位公章，未能通过初步评审，其余11家单位符合条件。</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评标委员会本着“公平、公正、公开”的原则，根据招标文件和相关法规以及招标人确定的“定标原则”，第一中标候选人：重庆市渝中区第九建筑工程公司；第二中标候选人：重庆亿新建筑工程有限公司；第三中标候选人：重庆渝圣建筑工程有限公司。2019年3月8日至3月10日公示期间无投诉。渝中区第九建筑工程公司中标金额为2792015.6元。</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项目/整体支出管理情况（包括项目/整体支出管理制度建设、日常检查监督管理等情况）分析。</w:t>
      </w:r>
    </w:p>
    <w:p>
      <w:pPr>
        <w:tabs>
          <w:tab w:val="left" w:pos="1560"/>
        </w:tabs>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项目开工前，项目实施单位主动公式项目建设内容和资金等情况。定期向项目单位报送项目实施进展情况，随时接受上级部门对工程质量等情况的检查，项目单位每天安排专人检查项目实施进展情况。项目完工后，主动申请和接受上级部门的检查，按照规定由审计部门对工程进行审计并出具审计报告。</w:t>
      </w:r>
    </w:p>
    <w:p>
      <w:pPr>
        <w:spacing w:line="594" w:lineRule="exact"/>
        <w:ind w:firstLine="640" w:firstLineChars="200"/>
        <w:rPr>
          <w:rFonts w:hint="eastAsia" w:ascii="仿宋_GB2312" w:eastAsia="仿宋_GB2312"/>
          <w:sz w:val="28"/>
          <w:szCs w:val="28"/>
        </w:rPr>
      </w:pPr>
      <w:r>
        <w:rPr>
          <w:rFonts w:eastAsia="方正黑体_GBK"/>
          <w:sz w:val="32"/>
          <w:szCs w:val="32"/>
        </w:rPr>
        <w:t>五、主要经验及做法、存在的问题和建议</w:t>
      </w:r>
      <w:r>
        <w:rPr>
          <w:rFonts w:eastAsia="方正仿宋_GBK"/>
          <w:sz w:val="32"/>
          <w:szCs w:val="32"/>
        </w:rPr>
        <w:t>（包括使用过程中的经验、做法、存在问题、改进措施等）</w:t>
      </w:r>
    </w:p>
    <w:p>
      <w:pPr>
        <w:numPr>
          <w:ilvl w:val="0"/>
          <w:numId w:val="0"/>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主要经验做法：</w:t>
      </w:r>
    </w:p>
    <w:p>
      <w:pPr>
        <w:numPr>
          <w:ilvl w:val="0"/>
          <w:numId w:val="1"/>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强化领导，建立健全绩效考评组织体系。</w:t>
      </w:r>
    </w:p>
    <w:p>
      <w:pPr>
        <w:numPr>
          <w:ilvl w:val="0"/>
          <w:numId w:val="1"/>
        </w:num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结合实际，确定绩效考评范围和指标。</w:t>
      </w:r>
    </w:p>
    <w:p>
      <w:pPr>
        <w:numPr>
          <w:ilvl w:val="0"/>
          <w:numId w:val="1"/>
        </w:num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制定措施，扎实推进考评工作。</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存在问题：</w:t>
      </w:r>
    </w:p>
    <w:p>
      <w:pPr>
        <w:numPr>
          <w:ilvl w:val="0"/>
          <w:numId w:val="0"/>
        </w:numPr>
        <w:ind w:firstLine="560" w:firstLineChars="200"/>
        <w:rPr>
          <w:rFonts w:ascii="仿宋_GB2312" w:eastAsia="仿宋_GB2312"/>
          <w:sz w:val="28"/>
          <w:szCs w:val="28"/>
        </w:rPr>
      </w:pPr>
      <w:r>
        <w:rPr>
          <w:rFonts w:hint="eastAsia" w:ascii="仿宋_GB2312" w:eastAsia="仿宋_GB2312"/>
          <w:sz w:val="28"/>
          <w:szCs w:val="28"/>
        </w:rPr>
        <w:t>部分绩效目标制定考虑不周，</w:t>
      </w:r>
      <w:r>
        <w:rPr>
          <w:rFonts w:hint="eastAsia" w:ascii="仿宋_GB2312" w:eastAsia="仿宋_GB2312"/>
          <w:sz w:val="28"/>
          <w:szCs w:val="28"/>
          <w:lang w:eastAsia="zh-CN"/>
        </w:rPr>
        <w:t>未考虑不可控因素等条件，致使实施进度、实际完成率和完成及时率不达标</w:t>
      </w:r>
      <w:r>
        <w:rPr>
          <w:rFonts w:ascii="仿宋_GB2312" w:eastAsia="仿宋_GB2312"/>
          <w:sz w:val="28"/>
          <w:szCs w:val="28"/>
        </w:rPr>
        <w:t>。</w:t>
      </w:r>
    </w:p>
    <w:p>
      <w:pPr>
        <w:numPr>
          <w:ilvl w:val="0"/>
          <w:numId w:val="0"/>
        </w:num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改进措施：</w:t>
      </w:r>
    </w:p>
    <w:p>
      <w:pPr>
        <w:numPr>
          <w:ilvl w:val="0"/>
          <w:numId w:val="0"/>
        </w:numPr>
        <w:ind w:firstLine="560" w:firstLineChars="200"/>
        <w:rPr>
          <w:rFonts w:eastAsia="方正仿宋_GBK"/>
          <w:sz w:val="32"/>
          <w:szCs w:val="32"/>
        </w:rPr>
      </w:pPr>
      <w:r>
        <w:rPr>
          <w:rFonts w:hint="eastAsia" w:ascii="仿宋_GB2312" w:eastAsia="仿宋_GB2312"/>
          <w:sz w:val="28"/>
          <w:szCs w:val="28"/>
          <w:lang w:val="en-US" w:eastAsia="zh-CN"/>
        </w:rPr>
        <w:t>在制定绩效目标时，充分考虑不确定因素，在绩效评价方法上注重可操作性、适当性，充分发挥绩效评价结果的运用，项目推进过程中还需提升技术管理、成本控制和应急管理的能力。</w:t>
      </w:r>
    </w:p>
    <w:p>
      <w:pPr>
        <w:spacing w:line="594" w:lineRule="exact"/>
        <w:rPr>
          <w:rFonts w:eastAsia="方正仿宋_GBK"/>
          <w:sz w:val="32"/>
          <w:szCs w:val="32"/>
        </w:rPr>
      </w:pPr>
    </w:p>
    <w:p>
      <w:pPr>
        <w:spacing w:line="594" w:lineRule="exact"/>
        <w:ind w:firstLine="640" w:firstLineChars="200"/>
        <w:rPr>
          <w:rFonts w:hint="eastAsia" w:eastAsia="方正仿宋_GBK"/>
          <w:sz w:val="32"/>
          <w:szCs w:val="32"/>
          <w:lang w:eastAsia="zh-CN"/>
        </w:rPr>
      </w:pPr>
      <w:r>
        <w:rPr>
          <w:rFonts w:hint="eastAsia" w:eastAsia="方正仿宋_GBK"/>
          <w:sz w:val="32"/>
          <w:szCs w:val="32"/>
          <w:lang w:eastAsia="zh-CN"/>
        </w:rPr>
        <w:t>（此页无正文）</w:t>
      </w:r>
    </w:p>
    <w:p>
      <w:pPr>
        <w:spacing w:line="594"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 xml:space="preserve"> </w:t>
      </w:r>
    </w:p>
    <w:p>
      <w:pPr>
        <w:spacing w:line="594" w:lineRule="exact"/>
        <w:ind w:firstLine="640" w:firstLineChars="200"/>
        <w:rPr>
          <w:rFonts w:hint="eastAsia" w:eastAsia="方正仿宋_GBK"/>
          <w:sz w:val="32"/>
          <w:szCs w:val="32"/>
          <w:lang w:val="en-US" w:eastAsia="zh-CN"/>
        </w:rPr>
      </w:pPr>
      <w:r>
        <w:rPr>
          <w:rFonts w:hint="eastAsia" w:eastAsia="方正仿宋_GBK"/>
          <w:sz w:val="32"/>
          <w:szCs w:val="32"/>
          <w:lang w:val="en-US" w:eastAsia="zh-CN"/>
        </w:rPr>
        <w:t xml:space="preserve">                   </w:t>
      </w:r>
    </w:p>
    <w:p>
      <w:pPr>
        <w:spacing w:line="594" w:lineRule="exact"/>
        <w:ind w:firstLine="3840" w:firstLineChars="1200"/>
        <w:rPr>
          <w:rFonts w:hint="default" w:eastAsia="方正仿宋_GBK"/>
          <w:sz w:val="32"/>
          <w:szCs w:val="32"/>
          <w:lang w:val="en-US" w:eastAsia="zh-CN"/>
        </w:rPr>
      </w:pPr>
      <w:r>
        <w:rPr>
          <w:rFonts w:hint="eastAsia" w:eastAsia="方正仿宋_GBK"/>
          <w:sz w:val="32"/>
          <w:szCs w:val="32"/>
          <w:lang w:val="en-US" w:eastAsia="zh-CN"/>
        </w:rPr>
        <w:t xml:space="preserve">      渝中区两路口街道办事处</w:t>
      </w:r>
    </w:p>
    <w:p>
      <w:pPr>
        <w:spacing w:line="594" w:lineRule="exact"/>
        <w:ind w:firstLine="640" w:firstLineChars="200"/>
        <w:rPr>
          <w:rFonts w:hint="default" w:eastAsia="方正仿宋_GBK"/>
          <w:sz w:val="32"/>
          <w:szCs w:val="32"/>
          <w:lang w:val="en-US" w:eastAsia="zh-CN"/>
        </w:rPr>
      </w:pPr>
      <w:r>
        <w:rPr>
          <w:rFonts w:hint="eastAsia" w:eastAsia="方正仿宋_GBK"/>
          <w:sz w:val="32"/>
          <w:szCs w:val="32"/>
          <w:lang w:val="en-US" w:eastAsia="zh-CN"/>
        </w:rPr>
        <w:t xml:space="preserve">                             2020年4月20日</w:t>
      </w:r>
    </w:p>
    <w:sectPr>
      <w:footerReference r:id="rId3" w:type="default"/>
      <w:pgSz w:w="11906" w:h="16838"/>
      <w:pgMar w:top="1588" w:right="1474" w:bottom="158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223C8"/>
    <w:multiLevelType w:val="singleLevel"/>
    <w:tmpl w:val="4AF223C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E3NzIyZTdkZTU1NjZlNzAxNTc1YThjYzQwOGQ4MGUifQ=="/>
  </w:docVars>
  <w:rsids>
    <w:rsidRoot w:val="00806865"/>
    <w:rsid w:val="000575E2"/>
    <w:rsid w:val="00381982"/>
    <w:rsid w:val="00725E01"/>
    <w:rsid w:val="00806865"/>
    <w:rsid w:val="008103B5"/>
    <w:rsid w:val="009108DF"/>
    <w:rsid w:val="00A27343"/>
    <w:rsid w:val="00BC3295"/>
    <w:rsid w:val="00EF2A45"/>
    <w:rsid w:val="00F93438"/>
    <w:rsid w:val="01342405"/>
    <w:rsid w:val="016620D5"/>
    <w:rsid w:val="02573309"/>
    <w:rsid w:val="06FB126F"/>
    <w:rsid w:val="08255BE5"/>
    <w:rsid w:val="0A347745"/>
    <w:rsid w:val="0AFA647D"/>
    <w:rsid w:val="0B5E3D55"/>
    <w:rsid w:val="0D5D7297"/>
    <w:rsid w:val="0FC91259"/>
    <w:rsid w:val="13E82227"/>
    <w:rsid w:val="18A00F29"/>
    <w:rsid w:val="194D6126"/>
    <w:rsid w:val="1A6569DF"/>
    <w:rsid w:val="1C7E2343"/>
    <w:rsid w:val="1E2258A4"/>
    <w:rsid w:val="2505349A"/>
    <w:rsid w:val="25776080"/>
    <w:rsid w:val="26691E74"/>
    <w:rsid w:val="268B56B0"/>
    <w:rsid w:val="28D65704"/>
    <w:rsid w:val="29705698"/>
    <w:rsid w:val="2A4414AA"/>
    <w:rsid w:val="2A9A56C4"/>
    <w:rsid w:val="2AD90163"/>
    <w:rsid w:val="2CE86BB5"/>
    <w:rsid w:val="2E5419F4"/>
    <w:rsid w:val="31280FBE"/>
    <w:rsid w:val="31632752"/>
    <w:rsid w:val="31A64CF2"/>
    <w:rsid w:val="31E35CF7"/>
    <w:rsid w:val="347A5B07"/>
    <w:rsid w:val="355C0401"/>
    <w:rsid w:val="35AC69D3"/>
    <w:rsid w:val="3B6267A2"/>
    <w:rsid w:val="3BAE0271"/>
    <w:rsid w:val="407507A7"/>
    <w:rsid w:val="42F136E3"/>
    <w:rsid w:val="436E27BA"/>
    <w:rsid w:val="468F5B36"/>
    <w:rsid w:val="48421DAD"/>
    <w:rsid w:val="48767630"/>
    <w:rsid w:val="49224EC4"/>
    <w:rsid w:val="4C3E2CE1"/>
    <w:rsid w:val="4CBF2D89"/>
    <w:rsid w:val="4E5C601E"/>
    <w:rsid w:val="50B213CE"/>
    <w:rsid w:val="50CD7E70"/>
    <w:rsid w:val="54AE0F6E"/>
    <w:rsid w:val="55A16EA4"/>
    <w:rsid w:val="586B11B9"/>
    <w:rsid w:val="58AA67C3"/>
    <w:rsid w:val="591E143C"/>
    <w:rsid w:val="5C723E09"/>
    <w:rsid w:val="60DB0588"/>
    <w:rsid w:val="612B5122"/>
    <w:rsid w:val="62072D81"/>
    <w:rsid w:val="654F1390"/>
    <w:rsid w:val="686F44FD"/>
    <w:rsid w:val="6D9A7717"/>
    <w:rsid w:val="6DF57B51"/>
    <w:rsid w:val="6E18407C"/>
    <w:rsid w:val="6EBC3269"/>
    <w:rsid w:val="702659EE"/>
    <w:rsid w:val="703E2880"/>
    <w:rsid w:val="71AA7EF1"/>
    <w:rsid w:val="75831701"/>
    <w:rsid w:val="79BF31DF"/>
    <w:rsid w:val="79E924D7"/>
    <w:rsid w:val="7A5E1D3F"/>
    <w:rsid w:val="7B823C0F"/>
    <w:rsid w:val="7C8D27FD"/>
    <w:rsid w:val="7CFF210B"/>
    <w:rsid w:val="7D484998"/>
    <w:rsid w:val="7D6B65D4"/>
    <w:rsid w:val="7E082574"/>
    <w:rsid w:val="7EAF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8">
    <w:name w:val="页眉 Char"/>
    <w:basedOn w:val="6"/>
    <w:link w:val="3"/>
    <w:semiHidden/>
    <w:qFormat/>
    <w:uiPriority w:val="99"/>
    <w:rPr>
      <w:rFonts w:ascii="Times New Roman" w:hAnsi="Times New Roman" w:eastAsia="宋体" w:cs="Times New Roman"/>
      <w:sz w:val="18"/>
      <w:szCs w:val="18"/>
    </w:rPr>
  </w:style>
  <w:style w:type="character" w:customStyle="1" w:styleId="9">
    <w:name w:val="页脚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4340</Words>
  <Characters>4549</Characters>
  <Lines>3</Lines>
  <Paragraphs>1</Paragraphs>
  <TotalTime>52</TotalTime>
  <ScaleCrop>false</ScaleCrop>
  <LinksUpToDate>false</LinksUpToDate>
  <CharactersWithSpaces>4606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2020-04-03T07:41:00Z</dcterms:created>
  <dc:creator>Administrator</dc:creator>
  <cp:lastModifiedBy>那个她</cp:lastModifiedBy>
  <cp:lastPrinted>2020-04-20T03:54:00Z</cp:lastPrinted>
  <dcterms:modified xsi:type="dcterms:W3CDTF">2023-03-10T06:17:33Z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2E02586B08A1432A9C9B99CB46602330</vt:lpwstr>
  </property>
</Properties>
</file>