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重庆市渝中区两路口街道综合行政执法大队</w:t>
      </w: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3" w:firstLineChars="200"/>
        <w:rPr>
          <w:rStyle w:val="8"/>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一、部门基本情况</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负责行使依法授权或委托的规划建设、生态环境保护、卫生健康、文化旅游、民政管理、安全生产等领域的行政执法职责，完成街道党工委、办事处交办的其他工作任务。</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2024年度本单位无下级预算单位。</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二、部门决算收支情况说明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2024年度收入总计120.47万元，支出总计</w:t>
      </w:r>
      <w:r>
        <w:rPr>
          <w:rFonts w:hint="default" w:ascii="Times New Roman" w:hAnsi="Times New Roman" w:eastAsia="方正仿宋_GBK" w:cs="Times New Roman"/>
          <w:sz w:val="32"/>
          <w:szCs w:val="32"/>
        </w:rPr>
        <w:t>120.47</w:t>
      </w:r>
      <w:r>
        <w:rPr>
          <w:rFonts w:hint="default" w:ascii="Times New Roman" w:hAnsi="Times New Roman" w:eastAsia="方正仿宋_GBK" w:cs="Times New Roman"/>
          <w:sz w:val="32"/>
          <w:szCs w:val="32"/>
          <w:shd w:val="clear" w:color="auto" w:fill="FFFFFF"/>
        </w:rPr>
        <w:t>万元。收、支与2023年度相比，增加120.47万元，增长100.0%，主要原因是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2024年度收入合计120.47万元，与2023年度相比，增加120.47万元，增长100.0%，主要原因是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120.47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120.47</w:t>
      </w:r>
      <w:r>
        <w:rPr>
          <w:rFonts w:hint="default" w:ascii="Times New Roman" w:hAnsi="Times New Roman" w:eastAsia="方正仿宋_GBK" w:cs="Times New Roman"/>
          <w:sz w:val="32"/>
          <w:szCs w:val="32"/>
          <w:shd w:val="clear" w:color="auto" w:fill="FFFFFF"/>
        </w:rPr>
        <w:t>万元，与2023年度相比，增加120.47万元，增长100.0%，主要原因是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120.47</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2024年度财政拨款收、支总计120.47万元。与2023年相比，增加120.47万元，增长100.0%。主要原因是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120.47</w:t>
      </w:r>
      <w:r>
        <w:rPr>
          <w:rFonts w:hint="default" w:ascii="Times New Roman" w:hAnsi="Times New Roman" w:eastAsia="方正仿宋_GBK" w:cs="Times New Roman"/>
          <w:sz w:val="32"/>
          <w:szCs w:val="32"/>
          <w:shd w:val="clear" w:color="auto" w:fill="FFFFFF"/>
        </w:rPr>
        <w:t>万元，与2023年度相比，增加120.47万元，增长100.0%。主要原因是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较年初预算数增加120.47万元，增长100.0%。主要原因是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120.47</w:t>
      </w:r>
      <w:r>
        <w:rPr>
          <w:rFonts w:hint="default" w:ascii="Times New Roman" w:hAnsi="Times New Roman" w:eastAsia="方正仿宋_GBK" w:cs="Times New Roman"/>
          <w:sz w:val="32"/>
          <w:szCs w:val="32"/>
          <w:shd w:val="clear" w:color="auto" w:fill="FFFFFF"/>
        </w:rPr>
        <w:t>万元，与2023年度相比，增加120.47万元，增长100.0%。主要原因是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r>
        <w:rPr>
          <w:rFonts w:hint="default" w:ascii="Times New Roman" w:hAnsi="Times New Roman" w:eastAsia="方正仿宋_GBK" w:cs="Times New Roman"/>
          <w:sz w:val="32"/>
          <w:szCs w:val="32"/>
          <w:shd w:val="clear" w:color="auto" w:fill="FFFFFF"/>
        </w:rPr>
        <w:t>较年初预算数增加120.47万元，增长100.0%。主要原因是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102.68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85.23</w:t>
      </w:r>
      <w:r>
        <w:rPr>
          <w:rFonts w:hint="default" w:ascii="Times New Roman" w:hAnsi="Times New Roman" w:eastAsia="方正仿宋_GBK" w:cs="Times New Roman"/>
          <w:sz w:val="32"/>
          <w:szCs w:val="32"/>
          <w:shd w:val="clear" w:color="auto" w:fill="FFFFFF"/>
        </w:rPr>
        <w:t>%，较年初预算数增加102.68万元，增长100.0%，主要原因是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本年度年初未独立核算，年度执行中由于工作需要，本单位人员经费及公用经费独立核算。</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4.67</w:t>
      </w:r>
      <w:r>
        <w:rPr>
          <w:rFonts w:hint="default" w:ascii="Times New Roman" w:hAnsi="Times New Roman" w:eastAsia="方正仿宋_GBK" w:cs="Times New Roman"/>
          <w:sz w:val="32"/>
          <w:szCs w:val="32"/>
          <w:shd w:val="clear" w:color="auto" w:fill="FFFFFF"/>
        </w:rPr>
        <w:t>%，较年初预算数增加5.63万元，增长100.0%，主要原因是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本年度年初未独立核算，年度执行中由于工作需要，本单位人员经费独立核算。</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6.16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5.11</w:t>
      </w:r>
      <w:r>
        <w:rPr>
          <w:rFonts w:hint="default" w:ascii="Times New Roman" w:hAnsi="Times New Roman" w:eastAsia="方正仿宋_GBK" w:cs="Times New Roman"/>
          <w:sz w:val="32"/>
          <w:szCs w:val="32"/>
          <w:shd w:val="clear" w:color="auto" w:fill="FFFFFF"/>
        </w:rPr>
        <w:t>%，较年初预算数增加6.16万元，增长100.0%，主要原因是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本年度年初未独立核算，年度执行中由于工作需要，本单位人员经费独立核算。</w:t>
      </w:r>
    </w:p>
    <w:p>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4.98</w:t>
      </w:r>
      <w:r>
        <w:rPr>
          <w:rFonts w:hint="default" w:ascii="Times New Roman" w:hAnsi="Times New Roman" w:eastAsia="方正仿宋_GBK" w:cs="Times New Roman"/>
          <w:sz w:val="32"/>
          <w:szCs w:val="32"/>
          <w:shd w:val="clear" w:color="auto" w:fill="FFFFFF"/>
        </w:rPr>
        <w:t>%，较年初预算数增加6.00万元，增长100.0%，主要原因是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本年度年初未独立核算，年度执行中由于工作需要，本单位人员经费独立核算。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keepNext w:val="0"/>
        <w:keepLines w:val="0"/>
        <w:pageBreakBefore w:val="0"/>
        <w:widowControl/>
        <w:kinsoku/>
        <w:overflowPunct/>
        <w:topLinePunct w:val="0"/>
        <w:autoSpaceDN/>
        <w:bidi w:val="0"/>
        <w:adjustRightInd/>
        <w:spacing w:line="594"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2024年度一般公共</w:t>
      </w:r>
      <w:bookmarkStart w:id="0" w:name="_GoBack"/>
      <w:bookmarkEnd w:id="0"/>
      <w:r>
        <w:rPr>
          <w:rFonts w:hint="eastAsia" w:ascii="Times New Roman" w:hAnsi="Times New Roman" w:eastAsia="方正仿宋_GBK" w:cs="Times New Roman"/>
          <w:sz w:val="32"/>
          <w:szCs w:val="32"/>
          <w:shd w:val="clear" w:color="auto" w:fill="FFFFFF"/>
          <w:lang w:eastAsia="zh-CN"/>
        </w:rPr>
        <w:t>预</w:t>
      </w:r>
      <w:r>
        <w:rPr>
          <w:rFonts w:hint="eastAsia" w:ascii="Times New Roman" w:hAnsi="Times New Roman" w:eastAsia="方正仿宋_GBK" w:cs="Times New Roman"/>
          <w:sz w:val="32"/>
          <w:szCs w:val="32"/>
          <w:shd w:val="clear" w:color="auto" w:fill="FFFFFF"/>
          <w:lang w:val="en-US" w:eastAsia="zh-CN"/>
        </w:rPr>
        <w:t>算</w:t>
      </w:r>
      <w:r>
        <w:rPr>
          <w:rFonts w:hint="default" w:ascii="Times New Roman" w:hAnsi="Times New Roman" w:eastAsia="方正仿宋_GBK" w:cs="Times New Roman"/>
          <w:sz w:val="32"/>
          <w:szCs w:val="32"/>
          <w:shd w:val="clear" w:color="auto" w:fill="FFFFFF"/>
        </w:rPr>
        <w:t>财政拨款基本支出</w:t>
      </w:r>
      <w:r>
        <w:rPr>
          <w:rFonts w:hint="default" w:ascii="Times New Roman" w:hAnsi="Times New Roman" w:eastAsia="方正仿宋_GBK" w:cs="Times New Roman"/>
          <w:sz w:val="32"/>
          <w:szCs w:val="32"/>
        </w:rPr>
        <w:t>120.47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102.00</w:t>
      </w:r>
      <w:r>
        <w:rPr>
          <w:rFonts w:hint="default" w:ascii="Times New Roman" w:hAnsi="Times New Roman" w:eastAsia="方正仿宋_GBK" w:cs="Times New Roman"/>
          <w:sz w:val="32"/>
          <w:szCs w:val="32"/>
          <w:shd w:val="clear" w:color="auto" w:fill="FFFFFF"/>
        </w:rPr>
        <w:t>万元，与2023年度相比，增加102.00万元，增长100.0%，主要原因是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本年度年初未独立核算，年度执行中由于工作需要，本单位人员经费独立核算。</w:t>
      </w:r>
      <w:r>
        <w:rPr>
          <w:rFonts w:hint="default" w:ascii="Times New Roman" w:hAnsi="Times New Roman" w:eastAsia="方正仿宋_GBK" w:cs="Times New Roman"/>
          <w:sz w:val="32"/>
          <w:szCs w:val="32"/>
          <w:shd w:val="clear" w:color="auto" w:fill="FFFFFF"/>
        </w:rPr>
        <w:t>人员经费用途主要包括主要用于保障在职人员的基本工资、津贴补贴、养老保险、医疗保险、工伤保险、住房公积金、职业年金等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18.47</w:t>
      </w:r>
      <w:r>
        <w:rPr>
          <w:rFonts w:hint="default" w:ascii="Times New Roman" w:hAnsi="Times New Roman" w:eastAsia="方正仿宋_GBK" w:cs="Times New Roman"/>
          <w:sz w:val="32"/>
          <w:szCs w:val="32"/>
          <w:shd w:val="clear" w:color="auto" w:fill="FFFFFF"/>
        </w:rPr>
        <w:t>万元，与2023年度相比，增加18.47万元，增长100.0%，主要原因是</w:t>
      </w:r>
      <w:r>
        <w:rPr>
          <w:rFonts w:hint="default" w:ascii="Times New Roman" w:hAnsi="Times New Roman" w:eastAsia="仿宋_GB2312" w:cs="Times New Roman"/>
          <w:color w:val="auto"/>
          <w:sz w:val="32"/>
          <w:szCs w:val="32"/>
          <w:lang w:val="en-US" w:eastAsia="zh-CN"/>
        </w:rPr>
        <w:t>本年度年初未独立核算，年度执行中由于工作需要，本单位公用经费独立核算。</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rPr>
        <w:t>用于保障</w:t>
      </w:r>
      <w:r>
        <w:rPr>
          <w:rFonts w:hint="default" w:ascii="Times New Roman" w:hAnsi="Times New Roman" w:eastAsia="方正仿宋_GBK" w:cs="Times New Roman"/>
          <w:color w:val="auto"/>
          <w:sz w:val="32"/>
          <w:szCs w:val="32"/>
          <w:shd w:val="clear" w:color="auto" w:fill="FFFFFF"/>
          <w:lang w:val="en-US" w:eastAsia="zh-CN"/>
        </w:rPr>
        <w:t>事业</w:t>
      </w:r>
      <w:r>
        <w:rPr>
          <w:rFonts w:hint="default" w:ascii="Times New Roman" w:hAnsi="Times New Roman" w:eastAsia="方正仿宋_GBK" w:cs="Times New Roman"/>
          <w:color w:val="auto"/>
          <w:sz w:val="32"/>
          <w:szCs w:val="32"/>
          <w:shd w:val="clear" w:color="auto" w:fill="FFFFFF"/>
        </w:rPr>
        <w:t>单位正常运行而开支的办公费、印刷费、水费、电费、物业管理费、劳务费、租赁费、其他交通费等</w:t>
      </w:r>
      <w:r>
        <w:rPr>
          <w:rFonts w:hint="default"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本部门2024年度无政府性基金预算财政拨款收支。</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三、财政拨款“三公”经费情况说明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b w:val="0"/>
          <w:bCs w:val="0"/>
          <w:sz w:val="32"/>
          <w:szCs w:val="32"/>
          <w:shd w:val="clear" w:color="auto" w:fill="FFFFFF"/>
        </w:rPr>
        <w:t>（一）“三公”经费支出总体情况说明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与上年度持平。</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用于</w:t>
      </w:r>
      <w:r>
        <w:rPr>
          <w:rFonts w:hint="default" w:ascii="Times New Roman" w:hAnsi="Times New Roman" w:eastAsia="方正仿宋_GBK" w:cs="Times New Roman"/>
          <w:color w:val="auto"/>
          <w:sz w:val="32"/>
          <w:szCs w:val="32"/>
          <w:shd w:val="clear" w:color="auto" w:fill="FFFFFF"/>
          <w:lang w:val="en-US" w:eastAsia="zh-CN"/>
        </w:rPr>
        <w:t>单位公务出国（境）的国际旅费、国外城市间交通费、住宿费、伙食费、培训费、公杂费等支出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购置应急保障车辆</w:t>
      </w:r>
      <w:r>
        <w:rPr>
          <w:rFonts w:hint="default" w:ascii="Times New Roman" w:hAnsi="Times New Roman" w:eastAsia="方正仿宋_GBK" w:cs="Times New Roman"/>
          <w:sz w:val="32"/>
          <w:szCs w:val="32"/>
          <w:shd w:val="clear" w:color="auto" w:fill="FFFFFF"/>
        </w:rPr>
        <w:t>。费用支出较年初预算数无增减。与2023年度相比，无增减，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公务车运行维护费万元，主要用于</w:t>
      </w:r>
      <w:r>
        <w:rPr>
          <w:rFonts w:hint="default" w:ascii="Times New Roman" w:hAnsi="Times New Roman" w:eastAsia="方正仿宋_GBK" w:cs="Times New Roman"/>
          <w:sz w:val="32"/>
          <w:szCs w:val="32"/>
          <w:shd w:val="clear" w:color="auto" w:fill="FFFFFF"/>
          <w:lang w:val="en-US" w:eastAsia="zh-CN"/>
        </w:rPr>
        <w:t>街道应急保障车辆燃料费、新能源汽车充电费、维修费、过桥过路费、保险</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val="en-US" w:eastAsia="zh-CN"/>
        </w:rPr>
        <w:t>按照规定开支的各类公务接待费用。</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val="en-US" w:eastAsia="zh-CN"/>
        </w:rPr>
        <w:t>与上年度持平</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  （一）财政拨款会议费和培训费情况说明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本单位2024年度无会议费支出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0.63</w:t>
      </w:r>
      <w:r>
        <w:rPr>
          <w:rFonts w:hint="default" w:ascii="Times New Roman" w:hAnsi="Times New Roman" w:eastAsia="方正仿宋_GBK" w:cs="Times New Roman"/>
          <w:sz w:val="32"/>
          <w:szCs w:val="32"/>
          <w:shd w:val="clear" w:color="auto" w:fill="FFFFFF"/>
        </w:rPr>
        <w:t>万元，与2023年度相比，增加0.63万元，增长100.0%，主要原因是</w:t>
      </w:r>
      <w:r>
        <w:rPr>
          <w:rFonts w:hint="default" w:ascii="Times New Roman" w:hAnsi="Times New Roman" w:eastAsia="方正仿宋_GBK" w:cs="Times New Roman"/>
          <w:sz w:val="32"/>
          <w:szCs w:val="32"/>
          <w:shd w:val="clear" w:color="auto" w:fill="FFFFFF"/>
          <w:lang w:val="en-US" w:eastAsia="zh-CN"/>
        </w:rPr>
        <w:t>2024年本单位</w:t>
      </w:r>
      <w:r>
        <w:rPr>
          <w:rFonts w:hint="eastAsia" w:ascii="Times New Roman" w:hAnsi="Times New Roman" w:eastAsia="方正仿宋_GBK" w:cs="Times New Roman"/>
          <w:sz w:val="32"/>
          <w:szCs w:val="32"/>
          <w:shd w:val="clear" w:color="auto" w:fill="FFFFFF"/>
          <w:lang w:val="en-US" w:eastAsia="zh-CN"/>
        </w:rPr>
        <w:t>公用</w:t>
      </w:r>
      <w:r>
        <w:rPr>
          <w:rFonts w:hint="default" w:ascii="Times New Roman" w:hAnsi="Times New Roman" w:eastAsia="方正仿宋_GBK" w:cs="Times New Roman"/>
          <w:sz w:val="32"/>
          <w:szCs w:val="32"/>
          <w:shd w:val="clear" w:color="auto" w:fill="FFFFFF"/>
          <w:lang w:val="en-US" w:eastAsia="zh-CN"/>
        </w:rPr>
        <w:t>经费开始独立核算</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建筑物、公共基础设施等大型修缮以及采购办公电脑、打印机、复印机等固定资产。</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五、2024年度预算绩效管理情况说明</w:t>
      </w:r>
    </w:p>
    <w:p>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2024年度本部门无项目支出，故不涉及绩效评价。</w:t>
      </w:r>
    </w:p>
    <w:p>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8"/>
          <w:rFonts w:hint="eastAsia" w:ascii="方正黑体_GBK" w:hAnsi="方正黑体_GBK" w:eastAsia="方正黑体_GBK" w:cs="方正黑体_GBK"/>
          <w:b w:val="0"/>
          <w:bCs/>
          <w:sz w:val="32"/>
          <w:szCs w:val="32"/>
          <w:shd w:val="clear" w:color="auto" w:fill="FFFFFF"/>
        </w:rPr>
        <w:t>六、专业名词解释</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七、决算公开联系方式及信息反馈渠道</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val="en-US" w:eastAsia="zh-CN"/>
        </w:rPr>
        <w:t>两路口街道办事处</w:t>
      </w:r>
      <w:r>
        <w:rPr>
          <w:rFonts w:hint="default" w:ascii="Times New Roman" w:hAnsi="Times New Roman" w:eastAsia="方正仿宋_GBK" w:cs="Times New Roman"/>
          <w:color w:val="auto"/>
          <w:sz w:val="32"/>
          <w:szCs w:val="32"/>
          <w:shd w:val="clear" w:color="auto" w:fill="FFFFFF"/>
        </w:rPr>
        <w:t xml:space="preserve">   023</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63623710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2BB2A6C"/>
    <w:rsid w:val="23DA37D9"/>
    <w:rsid w:val="24B92327"/>
    <w:rsid w:val="24C14514"/>
    <w:rsid w:val="2533755C"/>
    <w:rsid w:val="25791755"/>
    <w:rsid w:val="26396DF4"/>
    <w:rsid w:val="27167136"/>
    <w:rsid w:val="27B23302"/>
    <w:rsid w:val="29310A5F"/>
    <w:rsid w:val="293E5E6E"/>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37983"/>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987057"/>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1A46F6"/>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6269D5"/>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TotalTime>0</TotalTime>
  <ScaleCrop>false</ScaleCrop>
  <LinksUpToDate>false</LinksUpToDate>
  <CharactersWithSpaces>26968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严欣</cp:lastModifiedBy>
  <dcterms:modified xsi:type="dcterms:W3CDTF">2025-10-17T01:47:51Z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