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hint="default" w:ascii="Times New Roman" w:hAnsi="Times New Roman" w:eastAsia="方正小标宋_GBK" w:cs="Times New Roman"/>
          <w:b/>
          <w:bCs/>
          <w:sz w:val="44"/>
          <w:szCs w:val="44"/>
        </w:rPr>
      </w:pPr>
      <w:r>
        <w:rPr>
          <w:rFonts w:hint="default" w:ascii="Times New Roman" w:hAnsi="Times New Roman" w:eastAsia="方正小标宋_GBK" w:cs="Times New Roman"/>
          <w:b/>
          <w:bCs/>
          <w:sz w:val="44"/>
          <w:szCs w:val="44"/>
        </w:rPr>
        <w:t>重庆市渝中区人民政府两路口街道办事处</w:t>
      </w:r>
    </w:p>
    <w:p>
      <w:pPr>
        <w:pStyle w:val="6"/>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hint="default" w:ascii="Times New Roman" w:hAnsi="Times New Roman" w:eastAsia="方正小标宋_GBK" w:cs="Times New Roman"/>
          <w:b/>
          <w:bCs/>
          <w:sz w:val="44"/>
          <w:szCs w:val="44"/>
          <w:shd w:val="clear" w:color="auto" w:fill="FFFFFF"/>
        </w:rPr>
      </w:pPr>
      <w:r>
        <w:rPr>
          <w:rFonts w:hint="default" w:ascii="Times New Roman" w:hAnsi="Times New Roman" w:eastAsia="方正小标宋_GBK" w:cs="Times New Roman"/>
          <w:b/>
          <w:bCs/>
          <w:sz w:val="44"/>
          <w:szCs w:val="44"/>
          <w:shd w:val="clear" w:color="auto" w:fill="FFFFFF"/>
        </w:rPr>
        <w:t>2024年度决算公开说明</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3" w:firstLineChars="200"/>
        <w:textAlignment w:val="auto"/>
        <w:rPr>
          <w:rStyle w:val="9"/>
          <w:rFonts w:hint="default" w:ascii="Times New Roman" w:hAnsi="Times New Roman" w:eastAsia="黑体" w:cs="Times New Roman"/>
          <w:sz w:val="32"/>
          <w:szCs w:val="32"/>
          <w:shd w:val="clear" w:color="auto" w:fill="FFFFFF"/>
        </w:rPr>
      </w:pP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0" w:firstLineChars="200"/>
        <w:textAlignment w:val="auto"/>
        <w:rPr>
          <w:rStyle w:val="9"/>
          <w:rFonts w:hint="default" w:ascii="方正黑体_GBK" w:hAnsi="方正黑体_GBK" w:eastAsia="方正黑体_GBK" w:cs="方正黑体_GBK"/>
          <w:b w:val="0"/>
          <w:bCs/>
          <w:sz w:val="32"/>
          <w:szCs w:val="32"/>
          <w:shd w:val="clear" w:color="auto" w:fill="FFFFFF"/>
        </w:rPr>
      </w:pPr>
      <w:r>
        <w:rPr>
          <w:rStyle w:val="9"/>
          <w:rFonts w:hint="default" w:ascii="方正黑体_GBK" w:hAnsi="方正黑体_GBK" w:eastAsia="方正黑体_GBK" w:cs="方正黑体_GBK"/>
          <w:b w:val="0"/>
          <w:bCs/>
          <w:sz w:val="32"/>
          <w:szCs w:val="32"/>
          <w:shd w:val="clear" w:color="auto" w:fill="FFFFFF"/>
        </w:rPr>
        <w:t>一、部门基本情况</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eastAsia" w:ascii="方正楷体_GBK" w:hAnsi="方正楷体_GBK" w:eastAsia="方正楷体_GBK" w:cs="方正楷体_GBK"/>
          <w:b w:val="0"/>
          <w:bCs/>
          <w:sz w:val="32"/>
          <w:szCs w:val="32"/>
        </w:rPr>
      </w:pPr>
      <w:r>
        <w:rPr>
          <w:rStyle w:val="9"/>
          <w:rFonts w:hint="eastAsia" w:ascii="方正楷体_GBK" w:hAnsi="方正楷体_GBK" w:eastAsia="方正楷体_GBK" w:cs="方正楷体_GBK"/>
          <w:b w:val="0"/>
          <w:bCs/>
          <w:sz w:val="32"/>
          <w:szCs w:val="32"/>
          <w:shd w:val="clear" w:color="auto" w:fill="FFFFFF"/>
        </w:rPr>
        <w:t>（一）职能职责</w:t>
      </w:r>
    </w:p>
    <w:p>
      <w:pPr>
        <w:pStyle w:val="6"/>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两路口街道办事处为重庆市渝中区人民政府的派出机关，</w:t>
      </w:r>
      <w:r>
        <w:rPr>
          <w:rFonts w:hint="eastAsia" w:ascii="Times New Roman" w:hAnsi="Times New Roman" w:eastAsia="方正仿宋_GBK" w:cs="Times New Roman"/>
          <w:sz w:val="32"/>
          <w:szCs w:val="32"/>
          <w:shd w:val="clear" w:color="auto" w:fill="FFFFFF"/>
          <w:lang w:val="en-US" w:eastAsia="zh-CN" w:bidi="ar-SA"/>
        </w:rPr>
        <w:t>负责贯彻落实党中央有关方针政策、决策部署以及市委、市政府及区委区政府工作要求。</w:t>
      </w:r>
      <w:r>
        <w:rPr>
          <w:rFonts w:hint="default" w:ascii="Times New Roman" w:hAnsi="Times New Roman" w:eastAsia="方正仿宋_GBK" w:cs="Times New Roman"/>
          <w:sz w:val="32"/>
          <w:szCs w:val="32"/>
          <w:shd w:val="clear" w:color="auto" w:fill="FFFFFF"/>
          <w:lang w:val="en-US" w:eastAsia="zh-CN" w:bidi="ar-SA"/>
        </w:rPr>
        <w:t>主要职责是：履行党的建设职责；履行经济发展职责；履行</w:t>
      </w:r>
      <w:r>
        <w:rPr>
          <w:rFonts w:hint="eastAsia" w:ascii="Times New Roman" w:hAnsi="Times New Roman" w:eastAsia="方正仿宋_GBK" w:cs="Times New Roman"/>
          <w:sz w:val="32"/>
          <w:szCs w:val="32"/>
          <w:shd w:val="clear" w:color="auto" w:fill="FFFFFF"/>
          <w:lang w:val="en-US" w:eastAsia="zh-CN" w:bidi="ar-SA"/>
        </w:rPr>
        <w:t>民生服务</w:t>
      </w:r>
      <w:r>
        <w:rPr>
          <w:rFonts w:hint="default" w:ascii="Times New Roman" w:hAnsi="Times New Roman" w:eastAsia="方正仿宋_GBK" w:cs="Times New Roman"/>
          <w:sz w:val="32"/>
          <w:szCs w:val="32"/>
          <w:shd w:val="clear" w:color="auto" w:fill="FFFFFF"/>
          <w:lang w:val="en-US" w:eastAsia="zh-CN" w:bidi="ar-SA"/>
        </w:rPr>
        <w:t>职责；履行</w:t>
      </w:r>
      <w:r>
        <w:rPr>
          <w:rFonts w:hint="eastAsia" w:ascii="Times New Roman" w:hAnsi="Times New Roman" w:eastAsia="方正仿宋_GBK" w:cs="Times New Roman"/>
          <w:sz w:val="32"/>
          <w:szCs w:val="32"/>
          <w:shd w:val="clear" w:color="auto" w:fill="FFFFFF"/>
          <w:lang w:val="en-US" w:eastAsia="zh-CN" w:bidi="ar-SA"/>
        </w:rPr>
        <w:t>平安法治</w:t>
      </w:r>
      <w:r>
        <w:rPr>
          <w:rFonts w:hint="default" w:ascii="Times New Roman" w:hAnsi="Times New Roman" w:eastAsia="方正仿宋_GBK" w:cs="Times New Roman"/>
          <w:sz w:val="32"/>
          <w:szCs w:val="32"/>
          <w:shd w:val="clear" w:color="auto" w:fill="FFFFFF"/>
          <w:lang w:val="en-US" w:eastAsia="zh-CN" w:bidi="ar-SA"/>
        </w:rPr>
        <w:t>职责；完成区委、区政府交办的其他任务。</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9"/>
          <w:rFonts w:hint="default" w:ascii="方正楷体_GBK" w:hAnsi="方正楷体_GBK" w:eastAsia="方正楷体_GBK" w:cs="方正楷体_GBK"/>
          <w:b w:val="0"/>
          <w:bCs/>
          <w:sz w:val="32"/>
          <w:szCs w:val="32"/>
          <w:shd w:val="clear" w:color="auto" w:fill="FFFFFF"/>
        </w:rPr>
      </w:pPr>
      <w:r>
        <w:rPr>
          <w:rStyle w:val="9"/>
          <w:rFonts w:hint="default" w:ascii="方正楷体_GBK" w:hAnsi="方正楷体_GBK" w:eastAsia="方正楷体_GBK" w:cs="方正楷体_GBK"/>
          <w:b w:val="0"/>
          <w:bCs/>
          <w:sz w:val="32"/>
          <w:szCs w:val="32"/>
          <w:shd w:val="clear" w:color="auto" w:fill="FFFFFF"/>
        </w:rPr>
        <w:t>（二）机构设置</w:t>
      </w:r>
    </w:p>
    <w:p>
      <w:pPr>
        <w:keepNext w:val="0"/>
        <w:keepLines w:val="0"/>
        <w:pageBreakBefore w:val="0"/>
        <w:widowControl/>
        <w:kinsoku/>
        <w:wordWrap/>
        <w:overflowPunct/>
        <w:topLinePunct w:val="0"/>
        <w:autoSpaceDN/>
        <w:bidi w:val="0"/>
        <w:adjustRightInd/>
        <w:snapToGrid/>
        <w:spacing w:beforeAutospacing="0" w:afterAutospacing="0" w:line="594"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方正仿宋_GBK" w:cs="Times New Roman"/>
          <w:sz w:val="32"/>
          <w:lang w:val="en-US" w:eastAsia="zh-CN"/>
        </w:rPr>
        <w:t>两路口</w:t>
      </w:r>
      <w:r>
        <w:rPr>
          <w:rFonts w:hint="default" w:ascii="Times New Roman" w:hAnsi="Times New Roman" w:eastAsia="方正仿宋_GBK" w:cs="Times New Roman"/>
          <w:sz w:val="32"/>
        </w:rPr>
        <w:t>街道办事处内设</w:t>
      </w:r>
      <w:r>
        <w:rPr>
          <w:rFonts w:hint="default" w:ascii="Times New Roman" w:hAnsi="Times New Roman" w:eastAsia="方正仿宋_GBK" w:cs="Times New Roman"/>
          <w:sz w:val="32"/>
          <w:lang w:val="en-US" w:eastAsia="zh-CN"/>
        </w:rPr>
        <w:t>基层治理综合指挥室</w:t>
      </w:r>
      <w:r>
        <w:rPr>
          <w:rFonts w:hint="default" w:ascii="Times New Roman" w:hAnsi="Times New Roman" w:eastAsia="方正仿宋_GBK" w:cs="Times New Roman"/>
          <w:sz w:val="32"/>
        </w:rPr>
        <w:t>、党</w:t>
      </w:r>
      <w:r>
        <w:rPr>
          <w:rFonts w:hint="default" w:ascii="Times New Roman" w:hAnsi="Times New Roman" w:eastAsia="方正仿宋_GBK" w:cs="Times New Roman"/>
          <w:sz w:val="32"/>
          <w:lang w:val="en-US" w:eastAsia="zh-CN"/>
        </w:rPr>
        <w:t>的建设</w:t>
      </w:r>
      <w:r>
        <w:rPr>
          <w:rFonts w:hint="default" w:ascii="Times New Roman" w:hAnsi="Times New Roman" w:eastAsia="方正仿宋_GBK" w:cs="Times New Roman"/>
          <w:sz w:val="32"/>
        </w:rPr>
        <w:t>办公室、经济发展办公室、</w:t>
      </w:r>
      <w:r>
        <w:rPr>
          <w:rFonts w:hint="default" w:ascii="Times New Roman" w:hAnsi="Times New Roman" w:eastAsia="方正仿宋_GBK" w:cs="Times New Roman"/>
          <w:sz w:val="32"/>
          <w:lang w:val="en-US" w:eastAsia="zh-CN"/>
        </w:rPr>
        <w:t>民生服务</w:t>
      </w:r>
      <w:r>
        <w:rPr>
          <w:rFonts w:hint="default" w:ascii="Times New Roman" w:hAnsi="Times New Roman" w:eastAsia="方正仿宋_GBK" w:cs="Times New Roman"/>
          <w:sz w:val="32"/>
        </w:rPr>
        <w:t>办公室、平安</w:t>
      </w:r>
      <w:r>
        <w:rPr>
          <w:rFonts w:hint="eastAsia" w:ascii="Times New Roman" w:hAnsi="Times New Roman" w:eastAsia="方正仿宋_GBK" w:cs="Times New Roman"/>
          <w:sz w:val="32"/>
          <w:lang w:val="en-US" w:eastAsia="zh-CN"/>
        </w:rPr>
        <w:t>法治</w:t>
      </w:r>
      <w:r>
        <w:rPr>
          <w:rFonts w:hint="default" w:ascii="Times New Roman" w:hAnsi="Times New Roman" w:eastAsia="方正仿宋_GBK" w:cs="Times New Roman"/>
          <w:sz w:val="32"/>
        </w:rPr>
        <w:t>办公室</w:t>
      </w:r>
      <w:r>
        <w:rPr>
          <w:rFonts w:hint="default" w:ascii="Times New Roman" w:hAnsi="Times New Roman" w:eastAsia="仿宋_GB2312" w:cs="Times New Roman"/>
          <w:color w:val="auto"/>
          <w:sz w:val="32"/>
          <w:szCs w:val="32"/>
          <w:highlight w:val="none"/>
        </w:rPr>
        <w:t>。</w:t>
      </w:r>
      <w:r>
        <w:rPr>
          <w:rFonts w:hint="default" w:ascii="Times New Roman" w:hAnsi="Times New Roman" w:eastAsia="方正仿宋_GBK" w:cs="Times New Roman"/>
          <w:sz w:val="32"/>
          <w:szCs w:val="32"/>
          <w:shd w:val="clear" w:color="auto" w:fill="FFFFFF"/>
          <w:lang w:val="en-US" w:eastAsia="zh-CN" w:bidi="ar-SA"/>
        </w:rPr>
        <w:t>参公事业单位为渝中区城市管理局综合行政执法支队两路口大队。下属事业单位为街道</w:t>
      </w:r>
      <w:r>
        <w:rPr>
          <w:rFonts w:hint="eastAsia" w:ascii="Times New Roman" w:hAnsi="Times New Roman" w:eastAsia="方正仿宋_GBK" w:cs="Times New Roman"/>
          <w:sz w:val="32"/>
          <w:szCs w:val="32"/>
          <w:shd w:val="clear" w:color="auto" w:fill="FFFFFF"/>
          <w:lang w:val="en-US" w:eastAsia="zh-CN" w:bidi="ar-SA"/>
        </w:rPr>
        <w:t>城市</w:t>
      </w:r>
      <w:r>
        <w:rPr>
          <w:rFonts w:hint="default" w:ascii="Times New Roman" w:hAnsi="Times New Roman" w:eastAsia="方正仿宋_GBK" w:cs="Times New Roman"/>
          <w:sz w:val="32"/>
          <w:szCs w:val="32"/>
          <w:shd w:val="clear" w:color="auto" w:fill="FFFFFF"/>
          <w:lang w:val="en-US" w:eastAsia="zh-CN" w:bidi="ar-SA"/>
        </w:rPr>
        <w:t>建设管理中心、街道</w:t>
      </w:r>
      <w:r>
        <w:rPr>
          <w:rFonts w:hint="eastAsia" w:ascii="Times New Roman" w:hAnsi="Times New Roman" w:eastAsia="方正仿宋_GBK" w:cs="Times New Roman"/>
          <w:sz w:val="32"/>
          <w:szCs w:val="32"/>
          <w:shd w:val="clear" w:color="auto" w:fill="FFFFFF"/>
          <w:lang w:val="en-US" w:eastAsia="zh-CN" w:bidi="ar-SA"/>
        </w:rPr>
        <w:t>新时代文明实践</w:t>
      </w:r>
      <w:r>
        <w:rPr>
          <w:rFonts w:hint="default" w:ascii="Times New Roman" w:hAnsi="Times New Roman" w:eastAsia="方正仿宋_GBK" w:cs="Times New Roman"/>
          <w:sz w:val="32"/>
          <w:szCs w:val="32"/>
          <w:shd w:val="clear" w:color="auto" w:fill="FFFFFF"/>
          <w:lang w:val="en-US" w:eastAsia="zh-CN" w:bidi="ar-SA"/>
        </w:rPr>
        <w:t>服务中心、街道</w:t>
      </w:r>
      <w:r>
        <w:rPr>
          <w:rFonts w:hint="eastAsia" w:ascii="Times New Roman" w:hAnsi="Times New Roman" w:eastAsia="方正仿宋_GBK" w:cs="Times New Roman"/>
          <w:sz w:val="32"/>
          <w:szCs w:val="32"/>
          <w:shd w:val="clear" w:color="auto" w:fill="FFFFFF"/>
          <w:lang w:val="en-US" w:eastAsia="zh-CN" w:bidi="ar-SA"/>
        </w:rPr>
        <w:t>产业发展服务中心</w:t>
      </w:r>
      <w:r>
        <w:rPr>
          <w:rFonts w:hint="default" w:ascii="Times New Roman" w:hAnsi="Times New Roman" w:eastAsia="方正仿宋_GBK" w:cs="Times New Roman"/>
          <w:sz w:val="32"/>
          <w:szCs w:val="32"/>
          <w:shd w:val="clear" w:color="auto" w:fill="FFFFFF"/>
          <w:lang w:val="en-US" w:eastAsia="zh-CN" w:bidi="ar-SA"/>
        </w:rPr>
        <w:t>、街道</w:t>
      </w:r>
      <w:r>
        <w:rPr>
          <w:rFonts w:hint="eastAsia" w:ascii="Times New Roman" w:hAnsi="Times New Roman" w:eastAsia="方正仿宋_GBK" w:cs="Times New Roman"/>
          <w:sz w:val="32"/>
          <w:szCs w:val="32"/>
          <w:shd w:val="clear" w:color="auto" w:fill="FFFFFF"/>
          <w:lang w:val="en-US" w:eastAsia="zh-CN" w:bidi="ar-SA"/>
        </w:rPr>
        <w:t>便民服务中心（退役军人服务站）</w:t>
      </w:r>
      <w:r>
        <w:rPr>
          <w:rFonts w:hint="default" w:ascii="Times New Roman" w:hAnsi="Times New Roman" w:eastAsia="方正仿宋_GBK" w:cs="Times New Roman"/>
          <w:sz w:val="32"/>
          <w:szCs w:val="32"/>
          <w:shd w:val="clear" w:color="auto" w:fill="FFFFFF"/>
          <w:lang w:val="en-US" w:eastAsia="zh-CN" w:bidi="ar-SA"/>
        </w:rPr>
        <w:t>、综合行政执法大队</w:t>
      </w:r>
      <w:r>
        <w:rPr>
          <w:rFonts w:hint="eastAsia" w:ascii="Times New Roman" w:hAnsi="Times New Roman" w:eastAsia="方正仿宋_GBK" w:cs="Times New Roman"/>
          <w:sz w:val="32"/>
          <w:szCs w:val="32"/>
          <w:shd w:val="clear" w:color="auto" w:fill="FFFFFF"/>
          <w:lang w:val="en-US" w:eastAsia="zh-CN" w:bidi="ar-SA"/>
        </w:rPr>
        <w:t>等</w:t>
      </w:r>
      <w:r>
        <w:rPr>
          <w:rFonts w:hint="default" w:ascii="Times New Roman" w:hAnsi="Times New Roman" w:eastAsia="方正仿宋_GBK" w:cs="Times New Roman"/>
          <w:sz w:val="32"/>
          <w:szCs w:val="32"/>
          <w:shd w:val="clear" w:color="auto" w:fill="FFFFFF"/>
          <w:lang w:val="en-US" w:eastAsia="zh-CN" w:bidi="ar-SA"/>
        </w:rPr>
        <w:t>。</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二、部门决算收支情况说明</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9"/>
          <w:rFonts w:hint="default" w:ascii="方正楷体_GBK" w:hAnsi="方正楷体_GBK" w:eastAsia="方正楷体_GBK" w:cs="方正楷体_GBK"/>
          <w:b w:val="0"/>
          <w:bCs/>
          <w:sz w:val="32"/>
          <w:szCs w:val="32"/>
          <w:shd w:val="clear" w:color="auto" w:fill="FFFFFF"/>
        </w:rPr>
      </w:pPr>
      <w:r>
        <w:rPr>
          <w:rStyle w:val="9"/>
          <w:rFonts w:hint="default" w:ascii="方正楷体_GBK" w:hAnsi="方正楷体_GBK" w:eastAsia="方正楷体_GBK" w:cs="方正楷体_GBK"/>
          <w:b w:val="0"/>
          <w:bCs/>
          <w:sz w:val="32"/>
          <w:szCs w:val="32"/>
          <w:shd w:val="clear" w:color="auto" w:fill="FFFFFF"/>
        </w:rPr>
        <w:t>（一）收入支出决算总体情况说明。</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3" w:firstLineChars="200"/>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2024年度收入总计7548.19万元，支出总计</w:t>
      </w:r>
      <w:r>
        <w:rPr>
          <w:rFonts w:hint="default" w:ascii="Times New Roman" w:hAnsi="Times New Roman" w:eastAsia="方正仿宋_GBK" w:cs="Times New Roman"/>
          <w:sz w:val="32"/>
          <w:szCs w:val="32"/>
        </w:rPr>
        <w:t>7548.19</w:t>
      </w:r>
      <w:r>
        <w:rPr>
          <w:rFonts w:hint="default" w:ascii="Times New Roman" w:hAnsi="Times New Roman" w:eastAsia="方正仿宋_GBK" w:cs="Times New Roman"/>
          <w:sz w:val="32"/>
          <w:szCs w:val="32"/>
          <w:shd w:val="clear" w:color="auto" w:fill="FFFFFF"/>
        </w:rPr>
        <w:t>万元。收、支与2023年度相比，减少719.66万元，下降8.7%，</w:t>
      </w:r>
      <w:r>
        <w:rPr>
          <w:rFonts w:hint="default" w:ascii="Times New Roman" w:hAnsi="Times New Roman" w:eastAsia="方正仿宋_GBK" w:cs="Times New Roman"/>
          <w:sz w:val="32"/>
          <w:szCs w:val="32"/>
          <w:shd w:val="clear" w:color="auto" w:fill="FFFFFF"/>
          <w:lang w:val="en-US" w:eastAsia="zh-CN" w:bidi="ar-SA"/>
        </w:rPr>
        <w:t>主要原因是减少新冠疫情防控经费支出</w:t>
      </w:r>
      <w:r>
        <w:rPr>
          <w:rFonts w:hint="default" w:ascii="Times New Roman" w:hAnsi="Times New Roman" w:eastAsia="方正仿宋_GBK" w:cs="Times New Roman"/>
          <w:color w:val="FF0000"/>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9"/>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2024年度收入合计7548.19万元，</w:t>
      </w:r>
      <w:r>
        <w:rPr>
          <w:rFonts w:hint="default" w:ascii="Times New Roman" w:hAnsi="Times New Roman" w:eastAsia="方正仿宋_GBK" w:cs="Times New Roman"/>
          <w:sz w:val="32"/>
          <w:szCs w:val="32"/>
          <w:shd w:val="clear" w:color="auto" w:fill="FFFFFF"/>
          <w:lang w:val="en-US" w:eastAsia="zh-CN"/>
        </w:rPr>
        <w:t>与</w:t>
      </w:r>
      <w:r>
        <w:rPr>
          <w:rFonts w:hint="default" w:ascii="Times New Roman" w:hAnsi="Times New Roman" w:eastAsia="方正仿宋_GBK" w:cs="Times New Roman"/>
          <w:sz w:val="32"/>
          <w:szCs w:val="32"/>
          <w:shd w:val="clear" w:color="auto" w:fill="FFFFFF"/>
        </w:rPr>
        <w:t>2023年度相比，减少719.66万元，下降8.7%，</w:t>
      </w:r>
      <w:r>
        <w:rPr>
          <w:rFonts w:hint="default" w:ascii="Times New Roman" w:hAnsi="Times New Roman" w:eastAsia="方正仿宋_GBK" w:cs="Times New Roman"/>
          <w:sz w:val="32"/>
          <w:szCs w:val="32"/>
          <w:shd w:val="clear" w:color="auto" w:fill="FFFFFF"/>
          <w:lang w:val="en-US" w:eastAsia="zh-CN" w:bidi="ar-SA"/>
        </w:rPr>
        <w:t>主要原因是减少新冠疫情防控经费支</w:t>
      </w:r>
      <w:r>
        <w:rPr>
          <w:rFonts w:hint="default" w:ascii="Times New Roman" w:hAnsi="Times New Roman" w:eastAsia="方正仿宋_GBK" w:cs="Times New Roman"/>
          <w:color w:val="auto"/>
          <w:sz w:val="32"/>
          <w:szCs w:val="32"/>
          <w:shd w:val="clear" w:color="auto" w:fill="FFFFFF"/>
          <w:lang w:val="en-US" w:eastAsia="zh-CN" w:bidi="ar-SA"/>
        </w:rPr>
        <w:t>出</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7548.19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万元，占0.0%；经营收入</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万元，占0.0%；其他收入</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万元，占0.0%。此外，使用非财政拨款结余和专用结余</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万元，年初结转和结余</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9"/>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2024年度支出合计</w:t>
      </w:r>
      <w:r>
        <w:rPr>
          <w:rFonts w:hint="default" w:ascii="Times New Roman" w:hAnsi="Times New Roman" w:eastAsia="方正仿宋_GBK" w:cs="Times New Roman"/>
          <w:sz w:val="32"/>
          <w:szCs w:val="32"/>
        </w:rPr>
        <w:t>7548.19</w:t>
      </w:r>
      <w:r>
        <w:rPr>
          <w:rFonts w:hint="default" w:ascii="Times New Roman" w:hAnsi="Times New Roman" w:eastAsia="方正仿宋_GBK" w:cs="Times New Roman"/>
          <w:sz w:val="32"/>
          <w:szCs w:val="32"/>
          <w:shd w:val="clear" w:color="auto" w:fill="FFFFFF"/>
        </w:rPr>
        <w:t>万元，与2023年度相比，减少719.66万元，下降8.7%，</w:t>
      </w:r>
      <w:r>
        <w:rPr>
          <w:rFonts w:hint="default" w:ascii="Times New Roman" w:hAnsi="Times New Roman" w:eastAsia="方正仿宋_GBK" w:cs="Times New Roman"/>
          <w:sz w:val="32"/>
          <w:szCs w:val="32"/>
          <w:shd w:val="clear" w:color="auto" w:fill="FFFFFF"/>
          <w:lang w:val="en-US" w:eastAsia="zh-CN" w:bidi="ar-SA"/>
        </w:rPr>
        <w:t>主要原因是减少新冠疫情防控经费支</w:t>
      </w:r>
      <w:r>
        <w:rPr>
          <w:rFonts w:hint="default" w:ascii="Times New Roman" w:hAnsi="Times New Roman" w:eastAsia="方正仿宋_GBK" w:cs="Times New Roman"/>
          <w:color w:val="auto"/>
          <w:sz w:val="32"/>
          <w:szCs w:val="32"/>
          <w:shd w:val="clear" w:color="auto" w:fill="FFFFFF"/>
          <w:lang w:val="en-US" w:eastAsia="zh-CN" w:bidi="ar-SA"/>
        </w:rPr>
        <w:t>出。</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2047.84</w:t>
      </w:r>
      <w:r>
        <w:rPr>
          <w:rFonts w:hint="default" w:ascii="Times New Roman" w:hAnsi="Times New Roman" w:eastAsia="方正仿宋_GBK" w:cs="Times New Roman"/>
          <w:sz w:val="32"/>
          <w:szCs w:val="32"/>
          <w:shd w:val="clear" w:color="auto" w:fill="FFFFFF"/>
        </w:rPr>
        <w:t>万元，占27.13%；项目支出</w:t>
      </w:r>
      <w:r>
        <w:rPr>
          <w:rFonts w:hint="default" w:ascii="Times New Roman" w:hAnsi="Times New Roman" w:eastAsia="方正仿宋_GBK" w:cs="Times New Roman"/>
          <w:sz w:val="32"/>
          <w:szCs w:val="32"/>
        </w:rPr>
        <w:t>5500.35</w:t>
      </w:r>
      <w:r>
        <w:rPr>
          <w:rFonts w:hint="default" w:ascii="Times New Roman" w:hAnsi="Times New Roman" w:eastAsia="方正仿宋_GBK" w:cs="Times New Roman"/>
          <w:sz w:val="32"/>
          <w:szCs w:val="32"/>
          <w:shd w:val="clear" w:color="auto" w:fill="FFFFFF"/>
        </w:rPr>
        <w:t>万元，占72.87%；经营支出</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万元，占0.0%。此外，结余分配</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lang w:eastAsia="zh-CN"/>
        </w:rPr>
      </w:pPr>
      <w:r>
        <w:rPr>
          <w:rStyle w:val="9"/>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2024年度年末结转和结余</w:t>
      </w:r>
      <w:r>
        <w:rPr>
          <w:rFonts w:hint="default" w:ascii="Times New Roman" w:hAnsi="Times New Roman" w:eastAsia="方正仿宋_GBK" w:cs="Times New Roman"/>
          <w:sz w:val="32"/>
          <w:szCs w:val="32"/>
        </w:rPr>
        <w:t>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eastAsia="zh-CN"/>
        </w:rPr>
        <w:t>。</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9"/>
          <w:rFonts w:hint="default" w:ascii="方正楷体_GBK" w:hAnsi="方正楷体_GBK" w:eastAsia="方正楷体_GBK" w:cs="方正楷体_GBK"/>
          <w:b w:val="0"/>
          <w:bCs/>
          <w:sz w:val="32"/>
          <w:szCs w:val="32"/>
          <w:shd w:val="clear" w:color="auto" w:fill="FFFFFF"/>
        </w:rPr>
      </w:pPr>
      <w:r>
        <w:rPr>
          <w:rStyle w:val="9"/>
          <w:rFonts w:hint="default" w:ascii="方正楷体_GBK" w:hAnsi="方正楷体_GBK" w:eastAsia="方正楷体_GBK" w:cs="方正楷体_GBK"/>
          <w:b w:val="0"/>
          <w:bCs/>
          <w:sz w:val="32"/>
          <w:szCs w:val="32"/>
          <w:shd w:val="clear" w:color="auto" w:fill="FFFFFF"/>
        </w:rPr>
        <w:t>（二）财政拨款收入支出决算总体情况说明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2024年度财政拨款收、支总计7548.19万元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与2023年相比，减少719.66万元，下降8.7%，</w:t>
      </w:r>
      <w:r>
        <w:rPr>
          <w:rFonts w:hint="default" w:ascii="Times New Roman" w:hAnsi="Times New Roman" w:eastAsia="方正仿宋_GBK" w:cs="Times New Roman"/>
          <w:sz w:val="32"/>
          <w:szCs w:val="32"/>
          <w:shd w:val="clear" w:color="auto" w:fill="FFFFFF"/>
          <w:lang w:val="en-US" w:eastAsia="zh-CN" w:bidi="ar-SA"/>
        </w:rPr>
        <w:t>主要原因是减少新冠疫情防控经费支出。</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9"/>
          <w:rFonts w:hint="default" w:ascii="方正楷体_GBK" w:hAnsi="方正楷体_GBK" w:eastAsia="方正楷体_GBK" w:cs="方正楷体_GBK"/>
          <w:b w:val="0"/>
          <w:bCs/>
          <w:sz w:val="32"/>
          <w:szCs w:val="32"/>
          <w:shd w:val="clear" w:color="auto" w:fill="FFFFFF"/>
        </w:rPr>
      </w:pPr>
      <w:r>
        <w:rPr>
          <w:rStyle w:val="9"/>
          <w:rFonts w:hint="default" w:ascii="方正楷体_GBK" w:hAnsi="方正楷体_GBK" w:eastAsia="方正楷体_GBK" w:cs="方正楷体_GBK"/>
          <w:b w:val="0"/>
          <w:bCs/>
          <w:sz w:val="32"/>
          <w:szCs w:val="32"/>
          <w:shd w:val="clear" w:color="auto" w:fill="FFFFFF"/>
        </w:rPr>
        <w:t>（三）一般公共预算财政拨款收入支出决算情况说明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w:t>
      </w:r>
      <w:r>
        <w:rPr>
          <w:rFonts w:hint="default" w:ascii="Times New Roman" w:hAnsi="Times New Roman" w:eastAsia="方正仿宋_GBK" w:cs="Times New Roman"/>
          <w:sz w:val="32"/>
          <w:szCs w:val="32"/>
        </w:rPr>
        <w:t>7530.99</w:t>
      </w:r>
      <w:r>
        <w:rPr>
          <w:rFonts w:hint="default" w:ascii="Times New Roman" w:hAnsi="Times New Roman" w:eastAsia="方正仿宋_GBK" w:cs="Times New Roman"/>
          <w:sz w:val="32"/>
          <w:szCs w:val="32"/>
          <w:shd w:val="clear" w:color="auto" w:fill="FFFFFF"/>
        </w:rPr>
        <w:t>万元，与2023年度相比，减少722.33万元，下降8.8%</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bidi="ar-SA"/>
        </w:rPr>
        <w:t>减少新冠疫情防控经费支出。</w:t>
      </w:r>
      <w:r>
        <w:rPr>
          <w:rFonts w:hint="default" w:ascii="Times New Roman" w:hAnsi="Times New Roman" w:eastAsia="方正仿宋_GBK" w:cs="Times New Roman"/>
          <w:sz w:val="32"/>
          <w:szCs w:val="32"/>
          <w:shd w:val="clear" w:color="auto" w:fill="FFFFFF"/>
        </w:rPr>
        <w:t>较年初预算数增加1835.85万元，增长32.2%</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主要原因是</w:t>
      </w:r>
      <w:r>
        <w:rPr>
          <w:rFonts w:hint="default" w:ascii="Times New Roman" w:hAnsi="Times New Roman" w:eastAsia="方正仿宋_GBK" w:cs="Times New Roman"/>
          <w:sz w:val="32"/>
          <w:szCs w:val="32"/>
          <w:shd w:val="clear" w:color="auto" w:fill="FFFFFF"/>
        </w:rPr>
        <w:t>年初未预算，年度执行中由于工作需要</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追加全国文明城区专项工作经费、基层党建工作经费</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2023年社区和社区工作者年度考核经费、第五次全国经济普查</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全区信访稳定专项经费</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无军籍职工工资及生活待遇、城镇定救临救金</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企业退休人员社会化管理服务工作经费</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老复员军人等对象生活困难补贴</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老旧住宅物业管理等级评价“保底扶持+评价奖励”资金</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城市管理提档升级考核经费</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全区安全生产隐患整治专项资金、追加枇杷山社区老旧小区配套基础设施建设工程等</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w:t>
      </w:r>
      <w:r>
        <w:rPr>
          <w:rFonts w:hint="default" w:ascii="Times New Roman" w:hAnsi="Times New Roman" w:eastAsia="方正仿宋_GBK" w:cs="Times New Roman"/>
          <w:sz w:val="32"/>
          <w:szCs w:val="32"/>
        </w:rPr>
        <w:t>7530.99</w:t>
      </w:r>
      <w:r>
        <w:rPr>
          <w:rFonts w:hint="default" w:ascii="Times New Roman" w:hAnsi="Times New Roman" w:eastAsia="方正仿宋_GBK" w:cs="Times New Roman"/>
          <w:sz w:val="32"/>
          <w:szCs w:val="32"/>
          <w:shd w:val="clear" w:color="auto" w:fill="FFFFFF"/>
        </w:rPr>
        <w:t>万元，与2023年度相比，减少722.33万元，下降8.8%。主要原因是</w:t>
      </w:r>
      <w:r>
        <w:rPr>
          <w:rFonts w:hint="default" w:ascii="Times New Roman" w:hAnsi="Times New Roman" w:eastAsia="方正仿宋_GBK" w:cs="Times New Roman"/>
          <w:sz w:val="32"/>
          <w:szCs w:val="32"/>
          <w:shd w:val="clear" w:color="auto" w:fill="FFFFFF"/>
          <w:lang w:val="en-US" w:eastAsia="zh-CN" w:bidi="ar-SA"/>
        </w:rPr>
        <w:t>减少新冠疫情防控经费支出。</w:t>
      </w:r>
      <w:r>
        <w:rPr>
          <w:rFonts w:hint="default" w:ascii="Times New Roman" w:hAnsi="Times New Roman" w:eastAsia="方正仿宋_GBK" w:cs="Times New Roman"/>
          <w:sz w:val="32"/>
          <w:szCs w:val="32"/>
          <w:shd w:val="clear" w:color="auto" w:fill="FFFFFF"/>
        </w:rPr>
        <w:t>较年初预算数增加1835.85万元，增长32.2%。</w:t>
      </w:r>
      <w:r>
        <w:rPr>
          <w:rFonts w:hint="default" w:ascii="Times New Roman" w:hAnsi="Times New Roman" w:eastAsia="方正仿宋_GBK" w:cs="Times New Roman"/>
          <w:sz w:val="32"/>
          <w:szCs w:val="32"/>
          <w:shd w:val="clear" w:color="auto" w:fill="FFFFFF"/>
          <w:lang w:val="en-US" w:eastAsia="zh-CN"/>
        </w:rPr>
        <w:t>主要原因是</w:t>
      </w:r>
      <w:r>
        <w:rPr>
          <w:rFonts w:hint="default" w:ascii="Times New Roman" w:hAnsi="Times New Roman" w:eastAsia="方正仿宋_GBK" w:cs="Times New Roman"/>
          <w:sz w:val="32"/>
          <w:szCs w:val="32"/>
          <w:shd w:val="clear" w:color="auto" w:fill="FFFFFF"/>
        </w:rPr>
        <w:t>年初未预算，年度执行中由于工作需要</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追加全国文明城区专项工作经费、基层党建工作经费</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2023年社区和社区工作者年度考核经费、第五次全国经济普查</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全区信访稳定专项经费</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无军籍职工工资及生活待遇、城镇定救临救金</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企业退休人员社会化管理服务工作经费</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老复员军人等对象生活困难补贴</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老旧住宅物业管理等级评价“保底扶持+评价奖励”资金</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城市管理提档升级考核经费</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全区安全生产隐患整治专项资金、追加枇杷山社区老旧小区配套基础设施建设工程等</w:t>
      </w:r>
      <w:r>
        <w:rPr>
          <w:rFonts w:hint="default" w:ascii="Times New Roman" w:hAnsi="Times New Roman" w:eastAsia="方正仿宋_GBK" w:cs="Times New Roman"/>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lang w:eastAsia="zh-CN"/>
        </w:rPr>
      </w:pPr>
      <w:r>
        <w:rPr>
          <w:rStyle w:val="9"/>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eastAsia="zh-CN"/>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FF0000"/>
          <w:sz w:val="32"/>
          <w:szCs w:val="32"/>
          <w:highlight w:val="cyan"/>
          <w:shd w:val="clear" w:color="auto" w:fill="FFFFFF"/>
        </w:rPr>
      </w:pPr>
      <w:r>
        <w:rPr>
          <w:rStyle w:val="9"/>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本部门2024年度一般公共预算财政拨款支出主要用于以下几个方面：</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rPr>
        <w:t>3395.88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45.09</w:t>
      </w:r>
      <w:r>
        <w:rPr>
          <w:rFonts w:hint="default" w:ascii="Times New Roman" w:hAnsi="Times New Roman" w:eastAsia="方正仿宋_GBK" w:cs="Times New Roman"/>
          <w:sz w:val="32"/>
          <w:szCs w:val="32"/>
          <w:shd w:val="clear" w:color="auto" w:fill="FFFFFF"/>
        </w:rPr>
        <w:t>%，较年初预算数增加502.27万元，增长17.4%，</w:t>
      </w:r>
      <w:r>
        <w:rPr>
          <w:rFonts w:hint="default" w:ascii="Times New Roman" w:hAnsi="Times New Roman" w:eastAsia="方正仿宋_GBK" w:cs="Times New Roman"/>
          <w:sz w:val="32"/>
          <w:szCs w:val="32"/>
          <w:shd w:val="clear" w:color="auto" w:fill="FFFFFF"/>
          <w:lang w:val="en-US" w:eastAsia="zh-CN"/>
        </w:rPr>
        <w:t>主要原因是</w:t>
      </w:r>
      <w:r>
        <w:rPr>
          <w:rFonts w:hint="default" w:ascii="Times New Roman" w:hAnsi="Times New Roman" w:eastAsia="方正仿宋_GBK" w:cs="Times New Roman"/>
          <w:sz w:val="32"/>
          <w:szCs w:val="32"/>
          <w:shd w:val="clear" w:color="auto" w:fill="FFFFFF"/>
        </w:rPr>
        <w:t>年初未预算，年度执行中由于工作需要</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追加全国文明城区专项工作经费、基层党建工作经费</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2023年社区和社区工作者年度考核经费、第五次全国经济普查</w:t>
      </w:r>
      <w:r>
        <w:rPr>
          <w:rFonts w:hint="default" w:ascii="Times New Roman" w:hAnsi="Times New Roman" w:eastAsia="方正仿宋_GBK" w:cs="Times New Roman"/>
          <w:sz w:val="32"/>
          <w:szCs w:val="32"/>
          <w:shd w:val="clear" w:color="auto" w:fill="FFFFFF"/>
          <w:lang w:val="en-US" w:eastAsia="zh-CN"/>
        </w:rPr>
        <w:t>经费</w:t>
      </w:r>
      <w:r>
        <w:rPr>
          <w:rFonts w:hint="default" w:ascii="Times New Roman" w:hAnsi="Times New Roman" w:eastAsia="方正仿宋_GBK" w:cs="Times New Roman"/>
          <w:sz w:val="32"/>
          <w:szCs w:val="32"/>
          <w:shd w:val="clear" w:color="auto" w:fill="FFFFFF"/>
        </w:rPr>
        <w:t>、全区信访稳定专项经费等。</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）公共安全支出</w:t>
      </w:r>
      <w:r>
        <w:rPr>
          <w:rFonts w:hint="default" w:ascii="Times New Roman" w:hAnsi="Times New Roman" w:eastAsia="方正仿宋_GBK" w:cs="Times New Roman"/>
          <w:sz w:val="32"/>
          <w:szCs w:val="32"/>
        </w:rPr>
        <w:t>10.78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0.14</w:t>
      </w:r>
      <w:r>
        <w:rPr>
          <w:rFonts w:hint="default" w:ascii="Times New Roman" w:hAnsi="Times New Roman" w:eastAsia="方正仿宋_GBK" w:cs="Times New Roman"/>
          <w:sz w:val="32"/>
          <w:szCs w:val="32"/>
          <w:shd w:val="clear" w:color="auto" w:fill="FFFFFF"/>
        </w:rPr>
        <w:t>%，较年初预算数减少404.46万元，下降97.4%，主要原因</w:t>
      </w:r>
      <w:r>
        <w:rPr>
          <w:rFonts w:hint="eastAsia" w:ascii="Times New Roman" w:hAnsi="Times New Roman" w:eastAsia="方正仿宋_GBK" w:cs="Times New Roman"/>
          <w:sz w:val="32"/>
          <w:szCs w:val="32"/>
          <w:shd w:val="clear" w:color="auto" w:fill="FFFFFF"/>
          <w:lang w:val="en-US" w:eastAsia="zh-CN"/>
        </w:rPr>
        <w:t>是</w:t>
      </w:r>
      <w:r>
        <w:rPr>
          <w:rFonts w:hint="default" w:ascii="Times New Roman" w:hAnsi="Times New Roman" w:eastAsia="方正仿宋_GBK" w:cs="Times New Roman"/>
          <w:sz w:val="32"/>
          <w:szCs w:val="32"/>
          <w:shd w:val="clear" w:color="auto" w:fill="FFFFFF"/>
          <w:lang w:val="en-US" w:eastAsia="zh-CN"/>
        </w:rPr>
        <w:t>上级相关</w:t>
      </w:r>
      <w:r>
        <w:rPr>
          <w:rFonts w:hint="default" w:ascii="Times New Roman" w:hAnsi="Times New Roman" w:eastAsia="方正仿宋_GBK" w:cs="Times New Roman"/>
          <w:sz w:val="32"/>
          <w:szCs w:val="32"/>
          <w:shd w:val="clear" w:color="auto" w:fill="FFFFFF"/>
        </w:rPr>
        <w:t>政策要求，</w:t>
      </w:r>
      <w:r>
        <w:rPr>
          <w:rFonts w:hint="default" w:ascii="Times New Roman" w:hAnsi="Times New Roman" w:eastAsia="方正仿宋_GBK" w:cs="Times New Roman"/>
          <w:sz w:val="32"/>
          <w:szCs w:val="32"/>
          <w:shd w:val="clear" w:color="auto" w:fill="FFFFFF"/>
          <w:lang w:val="en-US" w:eastAsia="zh-CN"/>
        </w:rPr>
        <w:t>将原本</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公共安全支出</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支出调整至</w:t>
      </w:r>
      <w:r>
        <w:rPr>
          <w:rFonts w:hint="eastAsia"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城乡社区支出</w:t>
      </w:r>
      <w:r>
        <w:rPr>
          <w:rFonts w:hint="eastAsia" w:ascii="Times New Roman" w:hAnsi="Times New Roman" w:eastAsia="方正仿宋_GBK" w:cs="Times New Roman"/>
          <w:sz w:val="32"/>
          <w:szCs w:val="32"/>
          <w:shd w:val="clear" w:color="auto" w:fill="FFFFFF"/>
          <w:lang w:val="en-US" w:eastAsia="zh-CN"/>
        </w:rPr>
        <w:t>”支出。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1547.63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20.55</w:t>
      </w:r>
      <w:r>
        <w:rPr>
          <w:rFonts w:hint="default" w:ascii="Times New Roman" w:hAnsi="Times New Roman" w:eastAsia="方正仿宋_GBK" w:cs="Times New Roman"/>
          <w:sz w:val="32"/>
          <w:szCs w:val="32"/>
          <w:shd w:val="clear" w:color="auto" w:fill="FFFFFF"/>
        </w:rPr>
        <w:t>%，较年初预算数增加449.80万元，增长41.0%，</w:t>
      </w:r>
      <w:r>
        <w:rPr>
          <w:rFonts w:hint="default" w:ascii="Times New Roman" w:hAnsi="Times New Roman" w:eastAsia="方正仿宋_GBK" w:cs="Times New Roman"/>
          <w:sz w:val="32"/>
          <w:szCs w:val="32"/>
          <w:shd w:val="clear" w:color="auto" w:fill="FFFFFF"/>
          <w:lang w:val="en-US" w:eastAsia="zh-CN"/>
        </w:rPr>
        <w:t>主要原因是</w:t>
      </w:r>
      <w:r>
        <w:rPr>
          <w:rFonts w:hint="default" w:ascii="Times New Roman" w:hAnsi="Times New Roman" w:eastAsia="方正仿宋_GBK" w:cs="Times New Roman"/>
          <w:sz w:val="32"/>
          <w:szCs w:val="32"/>
          <w:shd w:val="clear" w:color="auto" w:fill="FFFFFF"/>
        </w:rPr>
        <w:t>年初未预算，年度执行中由于工作需要</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追加无军籍职工工资及生活待遇、城镇定救临救金、企业退休人员社会化管理服务工作经费、老复员军人等对象生活困难补贴等。</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123.01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1.63</w:t>
      </w:r>
      <w:r>
        <w:rPr>
          <w:rFonts w:hint="default" w:ascii="Times New Roman" w:hAnsi="Times New Roman" w:eastAsia="方正仿宋_GBK" w:cs="Times New Roman"/>
          <w:sz w:val="32"/>
          <w:szCs w:val="32"/>
          <w:shd w:val="clear" w:color="auto" w:fill="FFFFFF"/>
        </w:rPr>
        <w:t>%，较年初预算数增加6.67万元，增长5.7%，</w:t>
      </w:r>
      <w:r>
        <w:rPr>
          <w:rFonts w:hint="default" w:ascii="Times New Roman" w:hAnsi="Times New Roman" w:eastAsia="方正仿宋_GBK" w:cs="Times New Roman"/>
          <w:sz w:val="32"/>
          <w:szCs w:val="32"/>
          <w:shd w:val="clear" w:color="auto" w:fill="FFFFFF"/>
          <w:lang w:val="en-US" w:eastAsia="zh-CN"/>
        </w:rPr>
        <w:t>主要原因是</w:t>
      </w:r>
      <w:r>
        <w:rPr>
          <w:rFonts w:hint="default" w:ascii="Times New Roman" w:hAnsi="Times New Roman" w:eastAsia="方正仿宋_GBK" w:cs="Times New Roman"/>
          <w:sz w:val="32"/>
          <w:szCs w:val="32"/>
          <w:shd w:val="clear" w:color="auto" w:fill="FFFFFF"/>
        </w:rPr>
        <w:t>年初未预算，年度执行中由于工作需要</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追加优抚对象医疗补助经费。</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）城乡社区支出</w:t>
      </w:r>
      <w:r>
        <w:rPr>
          <w:rFonts w:hint="default" w:ascii="Times New Roman" w:hAnsi="Times New Roman" w:eastAsia="方正仿宋_GBK" w:cs="Times New Roman"/>
          <w:sz w:val="32"/>
          <w:szCs w:val="32"/>
        </w:rPr>
        <w:t>1260.7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16.74</w:t>
      </w:r>
      <w:r>
        <w:rPr>
          <w:rFonts w:hint="default" w:ascii="Times New Roman" w:hAnsi="Times New Roman" w:eastAsia="方正仿宋_GBK" w:cs="Times New Roman"/>
          <w:sz w:val="32"/>
          <w:szCs w:val="32"/>
          <w:shd w:val="clear" w:color="auto" w:fill="FFFFFF"/>
        </w:rPr>
        <w:t>%，较年初预算数增加658.15万元，增长109.2%，主要原因</w:t>
      </w:r>
      <w:r>
        <w:rPr>
          <w:rFonts w:hint="eastAsia" w:ascii="Times New Roman" w:hAnsi="Times New Roman" w:eastAsia="方正仿宋_GBK" w:cs="Times New Roman"/>
          <w:sz w:val="32"/>
          <w:szCs w:val="32"/>
          <w:shd w:val="clear" w:color="auto" w:fill="FFFFFF"/>
          <w:lang w:val="en-US" w:eastAsia="zh-CN"/>
        </w:rPr>
        <w:t>一是</w:t>
      </w:r>
      <w:r>
        <w:rPr>
          <w:rFonts w:hint="default" w:ascii="Times New Roman" w:hAnsi="Times New Roman" w:eastAsia="方正仿宋_GBK" w:cs="Times New Roman"/>
          <w:sz w:val="32"/>
          <w:szCs w:val="32"/>
          <w:shd w:val="clear" w:color="auto" w:fill="FFFFFF"/>
          <w:lang w:val="en-US" w:eastAsia="zh-CN"/>
        </w:rPr>
        <w:t>上级相关</w:t>
      </w:r>
      <w:r>
        <w:rPr>
          <w:rFonts w:hint="default" w:ascii="Times New Roman" w:hAnsi="Times New Roman" w:eastAsia="方正仿宋_GBK" w:cs="Times New Roman"/>
          <w:sz w:val="32"/>
          <w:szCs w:val="32"/>
          <w:shd w:val="clear" w:color="auto" w:fill="FFFFFF"/>
        </w:rPr>
        <w:t>政策要求，</w:t>
      </w:r>
      <w:r>
        <w:rPr>
          <w:rFonts w:hint="default" w:ascii="Times New Roman" w:hAnsi="Times New Roman" w:eastAsia="方正仿宋_GBK" w:cs="Times New Roman"/>
          <w:sz w:val="32"/>
          <w:szCs w:val="32"/>
          <w:shd w:val="clear" w:color="auto" w:fill="FFFFFF"/>
          <w:lang w:val="en-US" w:eastAsia="zh-CN"/>
        </w:rPr>
        <w:t>将原本</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公共安全支出</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支出调整至</w:t>
      </w:r>
      <w:r>
        <w:rPr>
          <w:rFonts w:hint="eastAsia"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城乡社区支出</w:t>
      </w:r>
      <w:r>
        <w:rPr>
          <w:rFonts w:hint="eastAsia" w:ascii="Times New Roman" w:hAnsi="Times New Roman" w:eastAsia="方正仿宋_GBK" w:cs="Times New Roman"/>
          <w:sz w:val="32"/>
          <w:szCs w:val="32"/>
          <w:shd w:val="clear" w:color="auto" w:fill="FFFFFF"/>
          <w:lang w:val="en-US" w:eastAsia="zh-CN"/>
        </w:rPr>
        <w:t>”支出。</w:t>
      </w:r>
      <w:r>
        <w:rPr>
          <w:rFonts w:hint="default" w:ascii="Times New Roman" w:hAnsi="Times New Roman" w:eastAsia="方正仿宋_GBK" w:cs="Times New Roman"/>
          <w:sz w:val="32"/>
          <w:szCs w:val="32"/>
          <w:shd w:val="clear" w:color="auto" w:fill="FFFFFF"/>
          <w:lang w:val="en-US" w:eastAsia="zh-CN"/>
        </w:rPr>
        <w:t>二是</w:t>
      </w:r>
      <w:r>
        <w:rPr>
          <w:rFonts w:hint="default" w:ascii="Times New Roman" w:hAnsi="Times New Roman" w:eastAsia="方正仿宋_GBK" w:cs="Times New Roman"/>
          <w:sz w:val="32"/>
          <w:szCs w:val="32"/>
          <w:shd w:val="clear" w:color="auto" w:fill="FFFFFF"/>
        </w:rPr>
        <w:t>年初未预算，年度执行中由于工作需要</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追加老旧住宅物业管理等级评价“保底扶持+评价奖励”资金、城市管理提档升级考核经费等</w:t>
      </w:r>
      <w:r>
        <w:rPr>
          <w:rFonts w:hint="default" w:ascii="Times New Roman" w:hAnsi="Times New Roman" w:eastAsia="方正仿宋_GBK" w:cs="Times New Roman"/>
          <w:sz w:val="32"/>
          <w:szCs w:val="32"/>
          <w:shd w:val="clear" w:color="auto" w:fill="FFFFFF"/>
          <w:lang w:eastAsia="zh-CN"/>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rPr>
        <w:t>）商业服务业等支出</w:t>
      </w:r>
      <w:r>
        <w:rPr>
          <w:rFonts w:hint="default" w:ascii="Times New Roman" w:hAnsi="Times New Roman" w:eastAsia="方正仿宋_GBK" w:cs="Times New Roman"/>
          <w:sz w:val="32"/>
          <w:szCs w:val="32"/>
        </w:rPr>
        <w:t>10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0.13</w:t>
      </w:r>
      <w:r>
        <w:rPr>
          <w:rFonts w:hint="default" w:ascii="Times New Roman" w:hAnsi="Times New Roman" w:eastAsia="方正仿宋_GBK" w:cs="Times New Roman"/>
          <w:sz w:val="32"/>
          <w:szCs w:val="32"/>
          <w:shd w:val="clear" w:color="auto" w:fill="FFFFFF"/>
        </w:rPr>
        <w:t>%，较年初预算数增加8万元，增长400.0%，主要原因是年初未预算，年度执行中由于工作需要，追加2022年度升规奖励兑现、提升经济运行质量奖励</w:t>
      </w:r>
      <w:r>
        <w:rPr>
          <w:rFonts w:hint="default" w:ascii="Times New Roman" w:hAnsi="Times New Roman" w:eastAsia="方正仿宋_GBK" w:cs="Times New Roman"/>
          <w:sz w:val="32"/>
          <w:szCs w:val="32"/>
          <w:shd w:val="clear" w:color="auto" w:fill="FFFFFF"/>
          <w:lang w:val="en-US" w:eastAsia="zh-CN"/>
        </w:rPr>
        <w:t>等</w:t>
      </w:r>
      <w:r>
        <w:rPr>
          <w:rFonts w:hint="default" w:ascii="Times New Roman" w:hAnsi="Times New Roman" w:eastAsia="方正仿宋_GBK" w:cs="Times New Roman"/>
          <w:sz w:val="32"/>
          <w:szCs w:val="32"/>
          <w:shd w:val="clear" w:color="auto" w:fill="FFFFFF"/>
        </w:rPr>
        <w:t>。</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7</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自然资源海洋气象等支出4.5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0.06</w:t>
      </w:r>
      <w:r>
        <w:rPr>
          <w:rFonts w:hint="default" w:ascii="Times New Roman" w:hAnsi="Times New Roman" w:eastAsia="方正仿宋_GBK" w:cs="Times New Roman"/>
          <w:sz w:val="32"/>
          <w:szCs w:val="32"/>
          <w:shd w:val="clear" w:color="auto" w:fill="FFFFFF"/>
        </w:rPr>
        <w:t>%，较年初预算数增加4.5万元，增长100.0%，主要原因是年初未预算，年度执行中由于工作需要，追加</w:t>
      </w:r>
      <w:r>
        <w:rPr>
          <w:rFonts w:hint="default" w:ascii="Times New Roman" w:hAnsi="Times New Roman" w:eastAsia="方正仿宋_GBK" w:cs="Times New Roman"/>
          <w:sz w:val="32"/>
          <w:szCs w:val="32"/>
          <w:shd w:val="clear" w:color="auto" w:fill="FFFFFF"/>
          <w:lang w:val="en-US" w:eastAsia="zh-CN"/>
        </w:rPr>
        <w:t>地质灾害群测群防工作经费。</w:t>
      </w:r>
    </w:p>
    <w:p>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8</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住房保障支出1147.49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15.24</w:t>
      </w:r>
      <w:r>
        <w:rPr>
          <w:rFonts w:hint="default" w:ascii="Times New Roman" w:hAnsi="Times New Roman" w:eastAsia="方正仿宋_GBK" w:cs="Times New Roman"/>
          <w:sz w:val="32"/>
          <w:szCs w:val="32"/>
          <w:shd w:val="clear" w:color="auto" w:fill="FFFFFF"/>
        </w:rPr>
        <w:t>%，较年初预算数增加579.93万元，增长102.2%，主要原因是年初未预算，年度执行中由于工作需要</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追加枇杷山社区老旧小区配套基础设施建设工程</w:t>
      </w:r>
      <w:r>
        <w:rPr>
          <w:rFonts w:hint="default" w:ascii="Times New Roman" w:hAnsi="Times New Roman" w:eastAsia="方正仿宋_GBK" w:cs="Times New Roman"/>
          <w:sz w:val="32"/>
          <w:szCs w:val="32"/>
          <w:shd w:val="clear" w:color="auto" w:fill="FFFFFF"/>
          <w:lang w:val="en-US" w:eastAsia="zh-CN"/>
        </w:rPr>
        <w:t>项目经费。</w:t>
      </w:r>
    </w:p>
    <w:p>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9</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灾害防治及应急管理支出31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0.41</w:t>
      </w:r>
      <w:r>
        <w:rPr>
          <w:rFonts w:hint="default" w:ascii="Times New Roman" w:hAnsi="Times New Roman" w:eastAsia="方正仿宋_GBK" w:cs="Times New Roman"/>
          <w:sz w:val="32"/>
          <w:szCs w:val="32"/>
          <w:shd w:val="clear" w:color="auto" w:fill="FFFFFF"/>
        </w:rPr>
        <w:t>%，较年初预算数增加31万元，增长100.0%，主要原因是年初未预算，年度执行中由于工作需要，追加全区安全生产隐患整治专项资金</w:t>
      </w:r>
      <w:r>
        <w:rPr>
          <w:rFonts w:hint="default" w:ascii="Times New Roman" w:hAnsi="Times New Roman" w:eastAsia="方正仿宋_GBK" w:cs="Times New Roman"/>
          <w:sz w:val="32"/>
          <w:szCs w:val="32"/>
          <w:shd w:val="clear" w:color="auto" w:fill="FFFFFF"/>
          <w:lang w:eastAsia="zh-CN"/>
        </w:rPr>
        <w:t>。</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9"/>
          <w:rFonts w:hint="default" w:ascii="方正楷体_GBK" w:hAnsi="方正楷体_GBK" w:eastAsia="方正楷体_GBK" w:cs="方正楷体_GBK"/>
          <w:b w:val="0"/>
          <w:bCs/>
          <w:sz w:val="32"/>
          <w:szCs w:val="32"/>
          <w:shd w:val="clear" w:color="auto" w:fill="FFFFFF"/>
        </w:rPr>
      </w:pPr>
      <w:r>
        <w:rPr>
          <w:rStyle w:val="9"/>
          <w:rFonts w:hint="default" w:ascii="方正楷体_GBK" w:hAnsi="方正楷体_GBK" w:eastAsia="方正楷体_GBK" w:cs="方正楷体_GBK"/>
          <w:b w:val="0"/>
          <w:bCs/>
          <w:sz w:val="32"/>
          <w:szCs w:val="32"/>
          <w:shd w:val="clear" w:color="auto" w:fill="FFFFFF"/>
        </w:rPr>
        <w:t>（四）一般公共预算财政拨款基本支出决算情况说明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 2024年度一般公共</w:t>
      </w:r>
      <w:r>
        <w:rPr>
          <w:rFonts w:hint="eastAsia" w:ascii="Times New Roman" w:hAnsi="Times New Roman" w:eastAsia="方正仿宋_GBK" w:cs="Times New Roman"/>
          <w:sz w:val="32"/>
          <w:szCs w:val="32"/>
          <w:shd w:val="clear" w:color="auto" w:fill="FFFFFF"/>
          <w:lang w:eastAsia="zh-CN"/>
        </w:rPr>
        <w:t>预算</w:t>
      </w:r>
      <w:r>
        <w:rPr>
          <w:rFonts w:hint="default" w:ascii="Times New Roman" w:hAnsi="Times New Roman" w:eastAsia="方正仿宋_GBK" w:cs="Times New Roman"/>
          <w:sz w:val="32"/>
          <w:szCs w:val="32"/>
          <w:shd w:val="clear" w:color="auto" w:fill="FFFFFF"/>
        </w:rPr>
        <w:t>财政拨款基本支出</w:t>
      </w:r>
      <w:r>
        <w:rPr>
          <w:rFonts w:hint="default" w:ascii="Times New Roman" w:hAnsi="Times New Roman" w:eastAsia="方正仿宋_GBK" w:cs="Times New Roman"/>
          <w:sz w:val="32"/>
          <w:szCs w:val="32"/>
        </w:rPr>
        <w:t>2047.84</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1686.58</w:t>
      </w:r>
      <w:r>
        <w:rPr>
          <w:rFonts w:hint="default" w:ascii="Times New Roman" w:hAnsi="Times New Roman" w:eastAsia="方正仿宋_GBK" w:cs="Times New Roman"/>
          <w:sz w:val="32"/>
          <w:szCs w:val="32"/>
          <w:shd w:val="clear" w:color="auto" w:fill="FFFFFF"/>
        </w:rPr>
        <w:t>万元，与2023年度相比，减少36.48万元，下降2.1%，主要原因</w:t>
      </w:r>
      <w:r>
        <w:rPr>
          <w:rFonts w:hint="default" w:ascii="Times New Roman" w:hAnsi="Times New Roman" w:eastAsia="方正仿宋_GBK" w:cs="Times New Roman"/>
          <w:color w:val="auto"/>
          <w:sz w:val="32"/>
          <w:szCs w:val="32"/>
          <w:shd w:val="clear" w:color="auto" w:fill="FFFFFF"/>
        </w:rPr>
        <w:t>是</w:t>
      </w:r>
      <w:r>
        <w:rPr>
          <w:rFonts w:hint="eastAsia" w:ascii="Times New Roman" w:hAnsi="Times New Roman" w:eastAsia="方正仿宋_GBK" w:cs="Times New Roman"/>
          <w:color w:val="auto"/>
          <w:sz w:val="32"/>
          <w:szCs w:val="32"/>
          <w:shd w:val="clear" w:color="auto" w:fill="FFFFFF"/>
          <w:lang w:val="en-US" w:eastAsia="zh-CN"/>
        </w:rPr>
        <w:t>2024年退休人数6人，导致人员经费减少</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人员经费用途主要包括主要用于保障在职人员的基本工资、津贴补贴、养老保险、医疗保险、工伤保险、住房公积金、职业年金、退休人员健康休养费等</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361.26</w:t>
      </w:r>
      <w:r>
        <w:rPr>
          <w:rFonts w:hint="default" w:ascii="Times New Roman" w:hAnsi="Times New Roman" w:eastAsia="方正仿宋_GBK" w:cs="Times New Roman"/>
          <w:sz w:val="32"/>
          <w:szCs w:val="32"/>
          <w:shd w:val="clear" w:color="auto" w:fill="FFFFFF"/>
        </w:rPr>
        <w:t>万元，与2023年度相比，增加26.92万元，增长8.1%，</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人员车改补贴纳入公用经费统计导致</w:t>
      </w:r>
      <w:r>
        <w:rPr>
          <w:rFonts w:hint="default" w:ascii="Times New Roman" w:hAnsi="Times New Roman" w:eastAsia="方正仿宋_GBK" w:cs="Times New Roman"/>
          <w:color w:val="auto"/>
          <w:sz w:val="32"/>
          <w:szCs w:val="32"/>
          <w:shd w:val="clear" w:color="auto" w:fill="FFFFFF"/>
        </w:rPr>
        <w:t>。公用经费用途主要包括用于保障机关单位正常运行而开支的办公费、印刷费、水费、电费、物业管理费、劳务费、租赁费、其他交通费等</w:t>
      </w:r>
      <w:r>
        <w:rPr>
          <w:rFonts w:hint="default" w:ascii="Times New Roman" w:hAnsi="Times New Roman" w:eastAsia="方正仿宋_GBK" w:cs="Times New Roman"/>
          <w:color w:val="auto"/>
          <w:sz w:val="32"/>
          <w:szCs w:val="32"/>
          <w:shd w:val="clear" w:color="auto" w:fill="FFFFFF"/>
          <w:lang w:eastAsia="zh-CN"/>
        </w:rPr>
        <w:t>。</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9"/>
          <w:rFonts w:hint="default" w:ascii="方正楷体_GBK" w:hAnsi="方正楷体_GBK" w:eastAsia="方正楷体_GBK" w:cs="方正楷体_GBK"/>
          <w:b w:val="0"/>
          <w:bCs/>
          <w:sz w:val="32"/>
          <w:szCs w:val="32"/>
          <w:shd w:val="clear" w:color="auto" w:fill="FFFFFF"/>
        </w:rPr>
      </w:pPr>
      <w:r>
        <w:rPr>
          <w:rStyle w:val="9"/>
          <w:rFonts w:hint="default" w:ascii="方正楷体_GBK" w:hAnsi="方正楷体_GBK" w:eastAsia="方正楷体_GBK" w:cs="方正楷体_GBK"/>
          <w:b w:val="0"/>
          <w:bCs/>
          <w:sz w:val="32"/>
          <w:szCs w:val="32"/>
          <w:shd w:val="clear" w:color="auto" w:fill="FFFFFF"/>
        </w:rPr>
        <w:t>（五）政府性基金预算收支决算情况说明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2024年度政府性基金预算财政拨款年初结转结余</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17.20</w:t>
      </w:r>
      <w:r>
        <w:rPr>
          <w:rFonts w:hint="default" w:ascii="Times New Roman" w:hAnsi="Times New Roman" w:eastAsia="方正仿宋_GBK" w:cs="Times New Roman"/>
          <w:sz w:val="32"/>
          <w:szCs w:val="32"/>
          <w:shd w:val="clear" w:color="auto" w:fill="FFFFFF"/>
        </w:rPr>
        <w:t>万元，与2023年度相比，增加2.67万元，增长18.4%，</w:t>
      </w:r>
      <w:r>
        <w:rPr>
          <w:rFonts w:hint="default" w:ascii="Times New Roman" w:hAnsi="Times New Roman" w:eastAsia="方正仿宋_GBK" w:cs="Times New Roman"/>
          <w:sz w:val="32"/>
          <w:szCs w:val="32"/>
          <w:shd w:val="clear" w:color="auto" w:fill="FFFFFF"/>
          <w:lang w:val="en-US" w:eastAsia="zh-CN"/>
        </w:rPr>
        <w:t>主要原因是</w:t>
      </w:r>
      <w:r>
        <w:rPr>
          <w:rFonts w:hint="default" w:ascii="Times New Roman" w:hAnsi="Times New Roman" w:eastAsia="方正仿宋_GBK" w:cs="Times New Roman"/>
          <w:sz w:val="32"/>
          <w:szCs w:val="32"/>
          <w:shd w:val="clear" w:color="auto" w:fill="FFFFFF"/>
        </w:rPr>
        <w:t>用于社会福利的彩票公益金支出</w:t>
      </w:r>
      <w:r>
        <w:rPr>
          <w:rFonts w:hint="default" w:ascii="Times New Roman" w:hAnsi="Times New Roman" w:eastAsia="方正仿宋_GBK" w:cs="Times New Roman"/>
          <w:sz w:val="32"/>
          <w:szCs w:val="32"/>
          <w:shd w:val="clear" w:color="auto" w:fill="FFFFFF"/>
          <w:lang w:val="en-US" w:eastAsia="zh-CN"/>
        </w:rPr>
        <w:t>增加。</w:t>
      </w:r>
      <w:r>
        <w:rPr>
          <w:rFonts w:hint="default" w:ascii="Times New Roman" w:hAnsi="Times New Roman" w:eastAsia="方正仿宋_GBK" w:cs="Times New Roman"/>
          <w:sz w:val="32"/>
          <w:szCs w:val="32"/>
          <w:shd w:val="clear" w:color="auto" w:fill="FFFFFF"/>
        </w:rPr>
        <w:t>本年支出</w:t>
      </w:r>
      <w:r>
        <w:rPr>
          <w:rFonts w:hint="default" w:ascii="Times New Roman" w:hAnsi="Times New Roman" w:eastAsia="方正仿宋_GBK" w:cs="Times New Roman"/>
          <w:sz w:val="32"/>
          <w:szCs w:val="32"/>
        </w:rPr>
        <w:t>17.20</w:t>
      </w:r>
      <w:r>
        <w:rPr>
          <w:rFonts w:hint="default" w:ascii="Times New Roman" w:hAnsi="Times New Roman" w:eastAsia="方正仿宋_GBK" w:cs="Times New Roman"/>
          <w:sz w:val="32"/>
          <w:szCs w:val="32"/>
          <w:shd w:val="clear" w:color="auto" w:fill="FFFFFF"/>
        </w:rPr>
        <w:t>万元，与2023年度相比，增加2.67万元，增长18.4%，主要原因是用于社会福利的彩票公益金支出</w:t>
      </w:r>
      <w:r>
        <w:rPr>
          <w:rFonts w:hint="default" w:ascii="Times New Roman" w:hAnsi="Times New Roman" w:eastAsia="方正仿宋_GBK" w:cs="Times New Roman"/>
          <w:sz w:val="32"/>
          <w:szCs w:val="32"/>
          <w:shd w:val="clear" w:color="auto" w:fill="FFFFFF"/>
          <w:lang w:val="en-US" w:eastAsia="zh-CN"/>
        </w:rPr>
        <w:t>增加。</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9"/>
          <w:rFonts w:hint="default" w:ascii="方正楷体_GBK" w:hAnsi="方正楷体_GBK" w:eastAsia="方正楷体_GBK" w:cs="方正楷体_GBK"/>
          <w:b w:val="0"/>
          <w:bCs/>
          <w:sz w:val="32"/>
          <w:szCs w:val="32"/>
          <w:shd w:val="clear" w:color="auto" w:fill="FFFFFF"/>
        </w:rPr>
      </w:pPr>
      <w:r>
        <w:rPr>
          <w:rStyle w:val="9"/>
          <w:rFonts w:hint="default" w:ascii="方正楷体_GBK" w:hAnsi="方正楷体_GBK" w:eastAsia="方正楷体_GBK" w:cs="方正楷体_GBK"/>
          <w:b w:val="0"/>
          <w:bCs/>
          <w:sz w:val="32"/>
          <w:szCs w:val="32"/>
          <w:shd w:val="clear" w:color="auto" w:fill="FFFFFF"/>
        </w:rPr>
        <w:t>（六）国有资本经营预算财政拨款支出决算情况说明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本部门2024年度无国有资本经营预算财政拨款支出。</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三、财政拨款“三公”经费情况说明</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9"/>
          <w:rFonts w:hint="default" w:ascii="方正楷体_GBK" w:hAnsi="方正楷体_GBK" w:eastAsia="方正楷体_GBK" w:cs="方正楷体_GBK"/>
          <w:b w:val="0"/>
          <w:bCs/>
          <w:sz w:val="32"/>
          <w:szCs w:val="32"/>
          <w:shd w:val="clear" w:color="auto" w:fill="FFFFFF"/>
        </w:rPr>
      </w:pPr>
      <w:r>
        <w:rPr>
          <w:rStyle w:val="9"/>
          <w:rFonts w:hint="default" w:ascii="方正楷体_GBK" w:hAnsi="方正楷体_GBK" w:eastAsia="方正楷体_GBK" w:cs="方正楷体_GBK"/>
          <w:b w:val="0"/>
          <w:bCs/>
          <w:sz w:val="32"/>
          <w:szCs w:val="32"/>
          <w:shd w:val="clear" w:color="auto" w:fill="FFFFFF"/>
        </w:rPr>
        <w:t>（一）“三公”经费支出总体情况说明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sz w:val="32"/>
          <w:szCs w:val="32"/>
          <w:shd w:val="clear" w:color="auto" w:fill="FFFFFF"/>
        </w:rPr>
        <w:t>2024年度“三公”经费支出共计</w:t>
      </w:r>
      <w:r>
        <w:rPr>
          <w:rFonts w:hint="default" w:ascii="Times New Roman" w:hAnsi="Times New Roman" w:eastAsia="方正仿宋_GBK" w:cs="Times New Roman"/>
          <w:sz w:val="32"/>
          <w:szCs w:val="32"/>
        </w:rPr>
        <w:t>25.99</w:t>
      </w:r>
      <w:r>
        <w:rPr>
          <w:rFonts w:hint="default" w:ascii="Times New Roman" w:hAnsi="Times New Roman" w:eastAsia="方正仿宋_GBK" w:cs="Times New Roman"/>
          <w:sz w:val="32"/>
          <w:szCs w:val="32"/>
          <w:shd w:val="clear" w:color="auto" w:fill="FFFFFF"/>
        </w:rPr>
        <w:t>万元，较年初预算数增加12.99万元，增长99.9%，主要原因是年初无预算，年度执行中由于工作需要</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购买公务用车1辆</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较上年支出数增加7万元，增长36.9%，</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本年度</w:t>
      </w:r>
      <w:r>
        <w:rPr>
          <w:rFonts w:hint="eastAsia" w:ascii="Times New Roman" w:hAnsi="Times New Roman" w:eastAsia="方正仿宋_GBK" w:cs="Times New Roman"/>
          <w:sz w:val="32"/>
          <w:szCs w:val="32"/>
          <w:shd w:val="clear" w:color="auto" w:fill="FFFFFF"/>
          <w:lang w:eastAsia="zh-CN"/>
        </w:rPr>
        <w:t>公务用车</w:t>
      </w:r>
      <w:r>
        <w:rPr>
          <w:rFonts w:hint="default" w:ascii="Times New Roman" w:hAnsi="Times New Roman" w:eastAsia="方正仿宋_GBK" w:cs="Times New Roman"/>
          <w:sz w:val="32"/>
          <w:szCs w:val="32"/>
          <w:shd w:val="clear" w:color="auto" w:fill="FFFFFF"/>
        </w:rPr>
        <w:t>购置费</w:t>
      </w:r>
      <w:r>
        <w:rPr>
          <w:rFonts w:hint="default" w:ascii="Times New Roman" w:hAnsi="Times New Roman" w:eastAsia="方正仿宋_GBK" w:cs="Times New Roman"/>
          <w:color w:val="auto"/>
          <w:sz w:val="32"/>
          <w:szCs w:val="32"/>
          <w:shd w:val="clear" w:color="auto" w:fill="FFFFFF"/>
          <w:lang w:val="en-US" w:eastAsia="zh-CN"/>
        </w:rPr>
        <w:t>增加15.7万元，</w:t>
      </w:r>
      <w:r>
        <w:rPr>
          <w:rFonts w:hint="default" w:ascii="Times New Roman" w:hAnsi="Times New Roman" w:eastAsia="方正仿宋_GBK" w:cs="Times New Roman"/>
          <w:color w:val="auto"/>
          <w:sz w:val="32"/>
          <w:szCs w:val="32"/>
          <w:shd w:val="clear" w:color="auto" w:fill="FFFFFF"/>
        </w:rPr>
        <w:t>因公出国（境）费用</w:t>
      </w:r>
      <w:r>
        <w:rPr>
          <w:rFonts w:hint="default" w:ascii="Times New Roman" w:hAnsi="Times New Roman" w:eastAsia="方正仿宋_GBK" w:cs="Times New Roman"/>
          <w:color w:val="auto"/>
          <w:sz w:val="32"/>
          <w:szCs w:val="32"/>
          <w:shd w:val="clear" w:color="auto" w:fill="FFFFFF"/>
          <w:lang w:val="en-US" w:eastAsia="zh-CN"/>
        </w:rPr>
        <w:t>减少5.4万元，</w:t>
      </w:r>
      <w:r>
        <w:rPr>
          <w:rFonts w:hint="eastAsia" w:ascii="Times New Roman" w:hAnsi="Times New Roman" w:eastAsia="方正仿宋_GBK" w:cs="Times New Roman"/>
          <w:color w:val="auto"/>
          <w:sz w:val="32"/>
          <w:szCs w:val="32"/>
          <w:shd w:val="clear" w:color="auto" w:fill="FFFFFF"/>
          <w:lang w:eastAsia="zh-CN"/>
        </w:rPr>
        <w:t>公务用车</w:t>
      </w:r>
      <w:r>
        <w:rPr>
          <w:rFonts w:hint="default" w:ascii="Times New Roman" w:hAnsi="Times New Roman" w:eastAsia="方正仿宋_GBK" w:cs="Times New Roman"/>
          <w:color w:val="auto"/>
          <w:sz w:val="32"/>
          <w:szCs w:val="32"/>
          <w:shd w:val="clear" w:color="auto" w:fill="FFFFFF"/>
        </w:rPr>
        <w:t>运行维护费</w:t>
      </w:r>
      <w:r>
        <w:rPr>
          <w:rFonts w:hint="default" w:ascii="Times New Roman" w:hAnsi="Times New Roman" w:eastAsia="方正仿宋_GBK" w:cs="Times New Roman"/>
          <w:color w:val="auto"/>
          <w:sz w:val="32"/>
          <w:szCs w:val="32"/>
          <w:shd w:val="clear" w:color="auto" w:fill="FFFFFF"/>
          <w:lang w:val="en-US" w:eastAsia="zh-CN"/>
        </w:rPr>
        <w:t>减少3.3万元，品迭后增加7万元。</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9"/>
          <w:rFonts w:hint="default" w:ascii="方正楷体_GBK" w:hAnsi="方正楷体_GBK" w:eastAsia="方正楷体_GBK" w:cs="方正楷体_GBK"/>
          <w:b w:val="0"/>
          <w:bCs/>
          <w:sz w:val="32"/>
          <w:szCs w:val="32"/>
          <w:shd w:val="clear" w:color="auto" w:fill="FFFFFF"/>
        </w:rPr>
      </w:pPr>
      <w:r>
        <w:rPr>
          <w:rStyle w:val="9"/>
          <w:rFonts w:hint="default" w:ascii="方正楷体_GBK" w:hAnsi="方正楷体_GBK" w:eastAsia="方正楷体_GBK" w:cs="方正楷体_GBK"/>
          <w:b w:val="0"/>
          <w:bCs/>
          <w:sz w:val="32"/>
          <w:szCs w:val="32"/>
          <w:shd w:val="clear" w:color="auto" w:fill="FFFFFF"/>
        </w:rPr>
        <w:t>（二）“三公”经费分项支出情况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2024年度本部门因公出国（境）费用</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w:t>
      </w:r>
      <w:r>
        <w:rPr>
          <w:rFonts w:ascii="方正仿宋_GBK" w:hAnsi="方正仿宋_GBK" w:eastAsia="方正仿宋_GBK" w:cs="方正仿宋_GBK"/>
          <w:sz w:val="32"/>
          <w:szCs w:val="32"/>
          <w:shd w:val="clear" w:color="auto" w:fill="FFFFFF"/>
        </w:rPr>
        <w:t>主要是用于</w:t>
      </w:r>
      <w:r>
        <w:rPr>
          <w:rFonts w:hint="eastAsia" w:ascii="方正仿宋_GBK" w:hAnsi="方正仿宋_GBK" w:eastAsia="方正仿宋_GBK" w:cs="方正仿宋_GBK"/>
          <w:color w:val="auto"/>
          <w:sz w:val="32"/>
          <w:szCs w:val="32"/>
          <w:shd w:val="clear" w:color="auto" w:fill="FFFFFF"/>
          <w:lang w:val="en-US" w:eastAsia="zh-CN"/>
        </w:rPr>
        <w:t>单位公务出国（境）的国际旅费、国外城市间交通费、住宿费、伙食费、培训费、公杂费等支出</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w:t>
      </w:r>
      <w:r>
        <w:rPr>
          <w:rFonts w:hint="default" w:ascii="Times New Roman" w:hAnsi="Times New Roman" w:eastAsia="方正仿宋_GBK" w:cs="Times New Roman"/>
          <w:sz w:val="32"/>
          <w:szCs w:val="32"/>
          <w:shd w:val="clear" w:color="auto" w:fill="FFFFFF"/>
          <w:lang w:val="en-US" w:eastAsia="zh-CN"/>
        </w:rPr>
        <w:t>较</w:t>
      </w:r>
      <w:r>
        <w:rPr>
          <w:rFonts w:hint="default" w:ascii="Times New Roman" w:hAnsi="Times New Roman" w:eastAsia="方正仿宋_GBK" w:cs="Times New Roman"/>
          <w:sz w:val="32"/>
          <w:szCs w:val="32"/>
          <w:shd w:val="clear" w:color="auto" w:fill="FFFFFF"/>
        </w:rPr>
        <w:t>年初预算数无增减，主要原因是</w:t>
      </w:r>
      <w:r>
        <w:rPr>
          <w:rFonts w:hint="default" w:ascii="Times New Roman" w:hAnsi="Times New Roman" w:eastAsia="方正仿宋_GBK" w:cs="Times New Roman"/>
          <w:sz w:val="32"/>
          <w:szCs w:val="32"/>
          <w:shd w:val="clear" w:color="auto" w:fill="FFFFFF"/>
          <w:lang w:val="en-US" w:eastAsia="zh-CN"/>
        </w:rPr>
        <w:t>本年度无</w:t>
      </w:r>
      <w:r>
        <w:rPr>
          <w:rFonts w:hint="default" w:ascii="Times New Roman" w:hAnsi="Times New Roman" w:eastAsia="方正仿宋_GBK" w:cs="Times New Roman"/>
          <w:sz w:val="32"/>
          <w:szCs w:val="32"/>
          <w:shd w:val="clear" w:color="auto" w:fill="FFFFFF"/>
        </w:rPr>
        <w:t>因公出国（境）</w:t>
      </w:r>
      <w:r>
        <w:rPr>
          <w:rFonts w:hint="default" w:ascii="Times New Roman" w:hAnsi="Times New Roman" w:eastAsia="方正仿宋_GBK" w:cs="Times New Roman"/>
          <w:sz w:val="32"/>
          <w:szCs w:val="32"/>
          <w:shd w:val="clear" w:color="auto" w:fill="FFFFFF"/>
          <w:lang w:val="en-US" w:eastAsia="zh-CN"/>
        </w:rPr>
        <w:t>支出。</w:t>
      </w:r>
      <w:r>
        <w:rPr>
          <w:rFonts w:hint="default" w:ascii="Times New Roman" w:hAnsi="Times New Roman" w:eastAsia="方正仿宋_GBK" w:cs="Times New Roman"/>
          <w:sz w:val="32"/>
          <w:szCs w:val="32"/>
          <w:shd w:val="clear" w:color="auto" w:fill="FFFFFF"/>
        </w:rPr>
        <w:t>较上年支出数减少5.4万元，下降100.0%，主要原因是</w:t>
      </w:r>
      <w:r>
        <w:rPr>
          <w:rFonts w:hint="default" w:ascii="Times New Roman" w:hAnsi="Times New Roman" w:eastAsia="方正仿宋_GBK" w:cs="Times New Roman"/>
          <w:sz w:val="32"/>
          <w:szCs w:val="32"/>
          <w:shd w:val="clear" w:color="auto" w:fill="FFFFFF"/>
          <w:lang w:val="en-US" w:eastAsia="zh-CN"/>
        </w:rPr>
        <w:t>本年度无</w:t>
      </w:r>
      <w:r>
        <w:rPr>
          <w:rFonts w:hint="default" w:ascii="Times New Roman" w:hAnsi="Times New Roman" w:eastAsia="方正仿宋_GBK" w:cs="Times New Roman"/>
          <w:sz w:val="32"/>
          <w:szCs w:val="32"/>
          <w:shd w:val="clear" w:color="auto" w:fill="FFFFFF"/>
        </w:rPr>
        <w:t>因公出国（境）</w:t>
      </w:r>
      <w:r>
        <w:rPr>
          <w:rFonts w:hint="default" w:ascii="Times New Roman" w:hAnsi="Times New Roman" w:eastAsia="方正仿宋_GBK" w:cs="Times New Roman"/>
          <w:sz w:val="32"/>
          <w:szCs w:val="32"/>
          <w:shd w:val="clear" w:color="auto" w:fill="FFFFFF"/>
          <w:lang w:val="en-US" w:eastAsia="zh-CN"/>
        </w:rPr>
        <w:t>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 </w:t>
      </w:r>
      <w:r>
        <w:rPr>
          <w:rFonts w:hint="eastAsia" w:ascii="Times New Roman" w:hAnsi="Times New Roman" w:eastAsia="方正仿宋_GBK" w:cs="Times New Roman"/>
          <w:sz w:val="32"/>
          <w:szCs w:val="32"/>
          <w:shd w:val="clear" w:color="auto" w:fill="FFFFFF"/>
          <w:lang w:eastAsia="zh-CN"/>
        </w:rPr>
        <w:t>公务用车</w:t>
      </w:r>
      <w:r>
        <w:rPr>
          <w:rFonts w:hint="default" w:ascii="Times New Roman" w:hAnsi="Times New Roman" w:eastAsia="方正仿宋_GBK" w:cs="Times New Roman"/>
          <w:sz w:val="32"/>
          <w:szCs w:val="32"/>
          <w:shd w:val="clear" w:color="auto" w:fill="FFFFFF"/>
        </w:rPr>
        <w:t>购置费</w:t>
      </w:r>
      <w:r>
        <w:rPr>
          <w:rFonts w:hint="default" w:ascii="Times New Roman" w:hAnsi="Times New Roman" w:eastAsia="方正仿宋_GBK" w:cs="Times New Roman"/>
          <w:sz w:val="32"/>
          <w:szCs w:val="32"/>
        </w:rPr>
        <w:t>15.7</w:t>
      </w:r>
      <w:r>
        <w:rPr>
          <w:rFonts w:hint="default" w:ascii="Times New Roman" w:hAnsi="Times New Roman" w:eastAsia="方正仿宋_GBK" w:cs="Times New Roman"/>
          <w:sz w:val="32"/>
          <w:szCs w:val="32"/>
          <w:shd w:val="clear" w:color="auto" w:fill="FFFFFF"/>
        </w:rPr>
        <w:t>万元，主要用于</w:t>
      </w:r>
      <w:r>
        <w:rPr>
          <w:rFonts w:hint="default" w:ascii="Times New Roman" w:hAnsi="Times New Roman" w:eastAsia="方正仿宋_GBK" w:cs="Times New Roman"/>
          <w:sz w:val="32"/>
          <w:szCs w:val="32"/>
          <w:shd w:val="clear" w:color="auto" w:fill="FFFFFF"/>
          <w:lang w:val="en-US" w:eastAsia="zh-CN"/>
        </w:rPr>
        <w:t>街道开展应急保障工作</w:t>
      </w:r>
      <w:r>
        <w:rPr>
          <w:rFonts w:hint="default" w:ascii="Times New Roman" w:hAnsi="Times New Roman" w:eastAsia="方正仿宋_GBK" w:cs="Times New Roman"/>
          <w:sz w:val="32"/>
          <w:szCs w:val="32"/>
          <w:shd w:val="clear" w:color="auto" w:fill="FFFFFF"/>
        </w:rPr>
        <w:t>。费用支出较年初预算数增加15.7万元，增长100.0%，主要原因是年初无预算，年度执行中由于工作需要</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购买公务用车1辆</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较上年支出数增加15.7万元，增长100.0%，主要原因是年初无预算，年度执行中由于工作需要</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购买公务用车1辆</w:t>
      </w:r>
      <w:r>
        <w:rPr>
          <w:rFonts w:hint="default" w:ascii="Times New Roman" w:hAnsi="Times New Roman" w:eastAsia="方正仿宋_GBK" w:cs="Times New Roman"/>
          <w:sz w:val="32"/>
          <w:szCs w:val="32"/>
          <w:shd w:val="clear" w:color="auto" w:fill="FFFFFF"/>
          <w:lang w:eastAsia="zh-CN"/>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w:t>
      </w:r>
      <w:r>
        <w:rPr>
          <w:rFonts w:hint="eastAsia" w:ascii="Times New Roman" w:hAnsi="Times New Roman" w:eastAsia="方正仿宋_GBK" w:cs="Times New Roman"/>
          <w:sz w:val="32"/>
          <w:szCs w:val="32"/>
          <w:shd w:val="clear" w:color="auto" w:fill="FFFFFF"/>
          <w:lang w:eastAsia="zh-CN"/>
        </w:rPr>
        <w:t>公务用车</w:t>
      </w:r>
      <w:r>
        <w:rPr>
          <w:rFonts w:hint="default" w:ascii="Times New Roman" w:hAnsi="Times New Roman" w:eastAsia="方正仿宋_GBK" w:cs="Times New Roman"/>
          <w:sz w:val="32"/>
          <w:szCs w:val="32"/>
          <w:shd w:val="clear" w:color="auto" w:fill="FFFFFF"/>
        </w:rPr>
        <w:t>运行维护费</w:t>
      </w:r>
      <w:r>
        <w:rPr>
          <w:rFonts w:hint="default" w:ascii="Times New Roman" w:hAnsi="Times New Roman" w:eastAsia="方正仿宋_GBK" w:cs="Times New Roman"/>
          <w:sz w:val="32"/>
          <w:szCs w:val="32"/>
        </w:rPr>
        <w:t>10.16</w:t>
      </w:r>
      <w:r>
        <w:rPr>
          <w:rFonts w:hint="default" w:ascii="Times New Roman" w:hAnsi="Times New Roman" w:eastAsia="方正仿宋_GBK" w:cs="Times New Roman"/>
          <w:sz w:val="32"/>
          <w:szCs w:val="32"/>
          <w:shd w:val="clear" w:color="auto" w:fill="FFFFFF"/>
        </w:rPr>
        <w:t>万元，主要用于</w:t>
      </w:r>
      <w:r>
        <w:rPr>
          <w:rFonts w:hint="default" w:ascii="Times New Roman" w:hAnsi="Times New Roman" w:eastAsia="方正仿宋_GBK" w:cs="Times New Roman"/>
          <w:sz w:val="32"/>
          <w:szCs w:val="32"/>
          <w:shd w:val="clear" w:color="auto" w:fill="FFFFFF"/>
          <w:lang w:val="en-US" w:eastAsia="zh-CN"/>
        </w:rPr>
        <w:t>街道应急保障车辆燃料费、新能源汽车充电费、维修费、过桥过路费、保险</w:t>
      </w:r>
      <w:r>
        <w:rPr>
          <w:rFonts w:hint="default" w:ascii="Times New Roman" w:hAnsi="Times New Roman" w:eastAsia="方正仿宋_GBK" w:cs="Times New Roman"/>
          <w:sz w:val="32"/>
          <w:szCs w:val="32"/>
          <w:shd w:val="clear" w:color="auto" w:fill="FFFFFF"/>
        </w:rPr>
        <w:t>费用支出</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较年初预算数减少1.84万元，下降15.3%，主要原因是按照规定厉行节约，公务用车维护费减少</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较上年支出数减少3.39万元，下降25.0%，主要原因是按照规定厉行节约，公务用车维护费减少</w:t>
      </w:r>
      <w:r>
        <w:rPr>
          <w:rFonts w:hint="default" w:ascii="Times New Roman" w:hAnsi="Times New Roman" w:eastAsia="方正仿宋_GBK" w:cs="Times New Roman"/>
          <w:sz w:val="32"/>
          <w:szCs w:val="32"/>
          <w:shd w:val="clear" w:color="auto" w:fill="FFFFFF"/>
          <w:lang w:eastAsia="zh-CN"/>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 公务接待费</w:t>
      </w:r>
      <w:r>
        <w:rPr>
          <w:rFonts w:hint="default" w:ascii="Times New Roman" w:hAnsi="Times New Roman" w:eastAsia="方正仿宋_GBK" w:cs="Times New Roman"/>
          <w:sz w:val="32"/>
          <w:szCs w:val="32"/>
        </w:rPr>
        <w:t>0.13</w:t>
      </w:r>
      <w:r>
        <w:rPr>
          <w:rFonts w:hint="default" w:ascii="Times New Roman" w:hAnsi="Times New Roman" w:eastAsia="方正仿宋_GBK" w:cs="Times New Roman"/>
          <w:sz w:val="32"/>
          <w:szCs w:val="32"/>
          <w:shd w:val="clear" w:color="auto" w:fill="FFFFFF"/>
        </w:rPr>
        <w:t>万元，主要用于接待西平县人大常委会考察调研代表联络站建设事宜</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w:t>
      </w:r>
      <w:r>
        <w:rPr>
          <w:rFonts w:hint="default" w:ascii="Times New Roman" w:hAnsi="Times New Roman" w:eastAsia="方正仿宋_GBK" w:cs="Times New Roman"/>
          <w:color w:val="auto"/>
          <w:sz w:val="32"/>
          <w:szCs w:val="32"/>
          <w:shd w:val="clear" w:color="auto" w:fill="FFFFFF"/>
        </w:rPr>
        <w:t>较年初预算数减少0.87万元，下降87.0%，主要原因是</w:t>
      </w:r>
      <w:r>
        <w:rPr>
          <w:rFonts w:hint="default" w:ascii="Times New Roman" w:hAnsi="Times New Roman" w:eastAsia="方正仿宋_GBK" w:cs="Times New Roman"/>
          <w:color w:val="auto"/>
          <w:sz w:val="32"/>
          <w:szCs w:val="32"/>
          <w:shd w:val="clear" w:color="auto" w:fill="FFFFFF"/>
          <w:lang w:val="en-US" w:eastAsia="zh-CN"/>
        </w:rPr>
        <w:t>按照“过紧日子”要求，严控公务接待范围及人次等。</w:t>
      </w:r>
      <w:r>
        <w:rPr>
          <w:rFonts w:hint="default" w:ascii="Times New Roman" w:hAnsi="Times New Roman" w:eastAsia="方正仿宋_GBK" w:cs="Times New Roman"/>
          <w:color w:val="auto"/>
          <w:sz w:val="32"/>
          <w:szCs w:val="32"/>
          <w:shd w:val="clear" w:color="auto" w:fill="FFFFFF"/>
        </w:rPr>
        <w:t>较</w:t>
      </w:r>
      <w:r>
        <w:rPr>
          <w:rFonts w:hint="default" w:ascii="Times New Roman" w:hAnsi="Times New Roman" w:eastAsia="方正仿宋_GBK" w:cs="Times New Roman"/>
          <w:sz w:val="32"/>
          <w:szCs w:val="32"/>
          <w:shd w:val="clear" w:color="auto" w:fill="FFFFFF"/>
        </w:rPr>
        <w:t>上年支出数增加0.09万元，增长225.0%，主要原因是</w:t>
      </w:r>
      <w:r>
        <w:rPr>
          <w:rFonts w:hint="default" w:ascii="Times New Roman" w:hAnsi="Times New Roman" w:eastAsia="方正仿宋_GBK" w:cs="Times New Roman"/>
          <w:sz w:val="32"/>
          <w:szCs w:val="32"/>
          <w:shd w:val="clear" w:color="auto" w:fill="FFFFFF"/>
          <w:lang w:val="en-US" w:eastAsia="zh-CN"/>
        </w:rPr>
        <w:t>本年度公务接待人次</w:t>
      </w:r>
      <w:r>
        <w:rPr>
          <w:rFonts w:hint="default" w:ascii="Times New Roman" w:hAnsi="Times New Roman" w:eastAsia="方正仿宋_GBK" w:cs="Times New Roman"/>
          <w:sz w:val="32"/>
          <w:szCs w:val="32"/>
          <w:shd w:val="clear" w:color="auto" w:fill="FFFFFF"/>
        </w:rPr>
        <w:t>比上年多10人次</w:t>
      </w:r>
      <w:r>
        <w:rPr>
          <w:rFonts w:hint="default" w:ascii="Times New Roman" w:hAnsi="Times New Roman" w:eastAsia="方正仿宋_GBK" w:cs="Times New Roman"/>
          <w:sz w:val="32"/>
          <w:szCs w:val="32"/>
          <w:shd w:val="clear" w:color="auto" w:fill="FFFFFF"/>
          <w:lang w:eastAsia="zh-CN"/>
        </w:rPr>
        <w:t>。</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9"/>
          <w:rFonts w:hint="default" w:ascii="方正楷体_GBK" w:hAnsi="方正楷体_GBK" w:eastAsia="方正楷体_GBK" w:cs="方正楷体_GBK"/>
          <w:b w:val="0"/>
          <w:bCs/>
          <w:sz w:val="32"/>
          <w:szCs w:val="32"/>
          <w:shd w:val="clear" w:color="auto" w:fill="FFFFFF"/>
        </w:rPr>
      </w:pPr>
      <w:r>
        <w:rPr>
          <w:rStyle w:val="9"/>
          <w:rFonts w:hint="default" w:ascii="方正楷体_GBK" w:hAnsi="方正楷体_GBK" w:eastAsia="方正楷体_GBK" w:cs="方正楷体_GBK"/>
          <w:b w:val="0"/>
          <w:bCs/>
          <w:sz w:val="32"/>
          <w:szCs w:val="32"/>
          <w:shd w:val="clear" w:color="auto" w:fill="FFFFFF"/>
        </w:rPr>
        <w:t>（三）“三公”经费实物量情况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2024年度本部门因公出国（境）共计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w:t>
      </w:r>
      <w:r>
        <w:rPr>
          <w:rFonts w:hint="eastAsia" w:ascii="Times New Roman" w:hAnsi="Times New Roman" w:eastAsia="方正仿宋_GBK" w:cs="Times New Roman"/>
          <w:sz w:val="32"/>
          <w:szCs w:val="32"/>
          <w:shd w:val="clear" w:color="auto" w:fill="FFFFFF"/>
          <w:lang w:eastAsia="zh-CN"/>
        </w:rPr>
        <w:t>公务用车</w:t>
      </w:r>
      <w:r>
        <w:rPr>
          <w:rFonts w:hint="default" w:ascii="Times New Roman" w:hAnsi="Times New Roman" w:eastAsia="方正仿宋_GBK" w:cs="Times New Roman"/>
          <w:sz w:val="32"/>
          <w:szCs w:val="32"/>
          <w:shd w:val="clear" w:color="auto" w:fill="FFFFFF"/>
        </w:rPr>
        <w:t>保有量为</w:t>
      </w:r>
      <w:r>
        <w:rPr>
          <w:rFonts w:hint="default" w:ascii="Times New Roman" w:hAnsi="Times New Roman" w:eastAsia="方正仿宋_GBK" w:cs="Times New Roman"/>
          <w:sz w:val="32"/>
          <w:szCs w:val="32"/>
        </w:rPr>
        <w:t>5</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16</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人。2024年本部门人均接待费</w:t>
      </w:r>
      <w:r>
        <w:rPr>
          <w:rFonts w:hint="default" w:ascii="Times New Roman" w:hAnsi="Times New Roman" w:eastAsia="方正仿宋_GBK" w:cs="Times New Roman"/>
          <w:sz w:val="32"/>
          <w:szCs w:val="32"/>
        </w:rPr>
        <w:t>79.38</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15.7</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2.03</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0" w:firstLineChars="200"/>
        <w:textAlignment w:val="auto"/>
        <w:rPr>
          <w:rStyle w:val="9"/>
          <w:rFonts w:hint="default" w:ascii="Times New Roman" w:hAnsi="Times New Roman" w:eastAsia="黑体" w:cs="Times New Roman"/>
          <w:b w:val="0"/>
          <w:bCs/>
          <w:sz w:val="28"/>
          <w:szCs w:val="28"/>
          <w:shd w:val="clear" w:color="auto" w:fill="FFFFFF"/>
        </w:rPr>
      </w:pPr>
      <w:r>
        <w:rPr>
          <w:rStyle w:val="9"/>
          <w:rFonts w:hint="default" w:ascii="Times New Roman" w:hAnsi="Times New Roman" w:eastAsia="黑体" w:cs="Times New Roman"/>
          <w:b w:val="0"/>
          <w:bCs/>
          <w:sz w:val="32"/>
          <w:szCs w:val="32"/>
          <w:shd w:val="clear" w:color="auto" w:fill="FFFFFF"/>
        </w:rPr>
        <w:t>四、其他需要说明的事项</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9"/>
          <w:rFonts w:hint="default" w:ascii="方正楷体_GBK" w:hAnsi="方正楷体_GBK" w:eastAsia="方正楷体_GBK" w:cs="方正楷体_GBK"/>
          <w:b w:val="0"/>
          <w:bCs/>
          <w:sz w:val="32"/>
          <w:szCs w:val="32"/>
          <w:shd w:val="clear" w:color="auto" w:fill="FFFFFF"/>
        </w:rPr>
      </w:pPr>
      <w:r>
        <w:rPr>
          <w:rStyle w:val="9"/>
          <w:rFonts w:hint="default" w:ascii="方正楷体_GBK" w:hAnsi="方正楷体_GBK" w:eastAsia="方正楷体_GBK" w:cs="方正楷体_GBK"/>
          <w:b w:val="0"/>
          <w:bCs/>
          <w:sz w:val="32"/>
          <w:szCs w:val="32"/>
          <w:shd w:val="clear" w:color="auto" w:fill="FFFFFF"/>
        </w:rPr>
        <w:t>（一）财政拨款会议费和培训费情况说明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2.2</w:t>
      </w:r>
      <w:r>
        <w:rPr>
          <w:rFonts w:hint="default" w:ascii="Times New Roman" w:hAnsi="Times New Roman" w:eastAsia="方正仿宋_GBK" w:cs="Times New Roman"/>
          <w:sz w:val="32"/>
          <w:szCs w:val="32"/>
          <w:shd w:val="clear" w:color="auto" w:fill="FFFFFF"/>
        </w:rPr>
        <w:t>万元，与2023年度相比，增加0.61万元，增长38.4%，主要原因是</w:t>
      </w:r>
      <w:r>
        <w:rPr>
          <w:rFonts w:hint="default" w:ascii="Times New Roman" w:hAnsi="Times New Roman" w:eastAsia="方正仿宋_GBK" w:cs="Times New Roman"/>
          <w:sz w:val="32"/>
          <w:szCs w:val="32"/>
          <w:shd w:val="clear" w:color="auto" w:fill="FFFFFF"/>
          <w:lang w:val="en-US" w:eastAsia="zh-CN"/>
        </w:rPr>
        <w:t>增加</w:t>
      </w:r>
      <w:r>
        <w:rPr>
          <w:rFonts w:hint="default" w:ascii="Times New Roman" w:hAnsi="Times New Roman" w:eastAsia="方正仿宋_GBK" w:cs="Times New Roman"/>
          <w:sz w:val="32"/>
          <w:szCs w:val="32"/>
          <w:shd w:val="clear" w:color="auto" w:fill="FFFFFF"/>
        </w:rPr>
        <w:t>辖区经济调度会</w:t>
      </w:r>
      <w:r>
        <w:rPr>
          <w:rFonts w:hint="default" w:ascii="Times New Roman" w:hAnsi="Times New Roman" w:eastAsia="方正仿宋_GBK" w:cs="Times New Roman"/>
          <w:sz w:val="32"/>
          <w:szCs w:val="32"/>
          <w:shd w:val="clear" w:color="auto" w:fill="FFFFFF"/>
          <w:lang w:val="en-US" w:eastAsia="zh-CN"/>
        </w:rPr>
        <w:t>会次数</w:t>
      </w:r>
      <w:r>
        <w:rPr>
          <w:rFonts w:hint="default" w:ascii="Times New Roman" w:hAnsi="Times New Roman" w:eastAsia="方正仿宋_GBK" w:cs="Times New Roman"/>
          <w:sz w:val="32"/>
          <w:szCs w:val="32"/>
          <w:shd w:val="clear" w:color="auto" w:fill="FFFFFF"/>
        </w:rPr>
        <w:t>以及人大街道议事代表会等。本年度培训费支出</w:t>
      </w:r>
      <w:r>
        <w:rPr>
          <w:rFonts w:hint="default" w:ascii="Times New Roman" w:hAnsi="Times New Roman" w:eastAsia="方正仿宋_GBK" w:cs="Times New Roman"/>
          <w:sz w:val="32"/>
          <w:szCs w:val="32"/>
        </w:rPr>
        <w:t>12.25</w:t>
      </w:r>
      <w:r>
        <w:rPr>
          <w:rFonts w:hint="default" w:ascii="Times New Roman" w:hAnsi="Times New Roman" w:eastAsia="方正仿宋_GBK" w:cs="Times New Roman"/>
          <w:sz w:val="32"/>
          <w:szCs w:val="32"/>
          <w:shd w:val="clear" w:color="auto" w:fill="FFFFFF"/>
        </w:rPr>
        <w:t>万元，与2023年度相比，增加1.50万元，增长14.0%，主要原因是</w:t>
      </w:r>
      <w:r>
        <w:rPr>
          <w:rFonts w:hint="default" w:ascii="Times New Roman" w:hAnsi="Times New Roman" w:eastAsia="方正仿宋_GBK" w:cs="Times New Roman"/>
          <w:sz w:val="32"/>
          <w:szCs w:val="32"/>
          <w:shd w:val="clear" w:color="auto" w:fill="FFFFFF"/>
          <w:lang w:val="en-US" w:eastAsia="zh-CN"/>
        </w:rPr>
        <w:t>在职人员培训费增加</w:t>
      </w:r>
      <w:r>
        <w:rPr>
          <w:rFonts w:hint="default" w:ascii="Times New Roman" w:hAnsi="Times New Roman" w:eastAsia="方正仿宋_GBK" w:cs="Times New Roman"/>
          <w:sz w:val="32"/>
          <w:szCs w:val="32"/>
          <w:shd w:val="clear" w:color="auto" w:fill="FFFFFF"/>
        </w:rPr>
        <w:t>。</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9"/>
          <w:rFonts w:hint="default" w:ascii="方正楷体_GBK" w:hAnsi="方正楷体_GBK" w:eastAsia="方正楷体_GBK" w:cs="方正楷体_GBK"/>
          <w:b w:val="0"/>
          <w:bCs/>
          <w:sz w:val="32"/>
          <w:szCs w:val="32"/>
          <w:shd w:val="clear" w:color="auto" w:fill="FFFFFF"/>
        </w:rPr>
      </w:pPr>
      <w:r>
        <w:rPr>
          <w:rStyle w:val="9"/>
          <w:rFonts w:hint="default" w:ascii="方正楷体_GBK" w:hAnsi="方正楷体_GBK" w:eastAsia="方正楷体_GBK" w:cs="方正楷体_GBK"/>
          <w:b w:val="0"/>
          <w:bCs/>
          <w:sz w:val="32"/>
          <w:szCs w:val="32"/>
          <w:shd w:val="clear" w:color="auto" w:fill="FFFFFF"/>
        </w:rPr>
        <w:t>（二）机关运行经费情况说明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2024年度本部门机关运行经费支出</w:t>
      </w:r>
      <w:r>
        <w:rPr>
          <w:rFonts w:hint="default" w:ascii="Times New Roman" w:hAnsi="Times New Roman" w:eastAsia="方正仿宋_GBK" w:cs="Times New Roman"/>
          <w:sz w:val="32"/>
          <w:szCs w:val="32"/>
        </w:rPr>
        <w:t>285.06</w:t>
      </w:r>
      <w:r>
        <w:rPr>
          <w:rFonts w:hint="default" w:ascii="Times New Roman" w:hAnsi="Times New Roman" w:eastAsia="方正仿宋_GBK" w:cs="Times New Roman"/>
          <w:sz w:val="32"/>
          <w:szCs w:val="32"/>
          <w:shd w:val="clear" w:color="auto" w:fill="FFFFFF"/>
        </w:rPr>
        <w:t>万元，机关运行经费主要用于开支</w:t>
      </w:r>
      <w:r>
        <w:rPr>
          <w:rFonts w:hint="default" w:ascii="Times New Roman" w:hAnsi="Times New Roman" w:eastAsia="方正仿宋_GBK" w:cs="Times New Roman"/>
          <w:sz w:val="32"/>
          <w:szCs w:val="32"/>
          <w:shd w:val="clear" w:color="auto" w:fill="FFFFFF"/>
          <w:lang w:val="en-US" w:eastAsia="zh-CN"/>
        </w:rPr>
        <w:t>办公费、印刷费、水费、电费、邮电费、物业管理费、差旅费、维修费、租赁费、劳务费、委托业务费、工会经费、公务用车运行维护费、办公设备购置费等。</w:t>
      </w:r>
      <w:r>
        <w:rPr>
          <w:rFonts w:hint="default" w:ascii="Times New Roman" w:hAnsi="Times New Roman" w:eastAsia="方正仿宋_GBK" w:cs="Times New Roman"/>
          <w:sz w:val="32"/>
          <w:szCs w:val="32"/>
          <w:shd w:val="clear" w:color="auto" w:fill="FFFFFF"/>
        </w:rPr>
        <w:t>机关运行经费较上年支出数减少49.28万元，下降14.7%，</w:t>
      </w:r>
      <w:r>
        <w:rPr>
          <w:rFonts w:hint="default" w:ascii="Times New Roman" w:hAnsi="Times New Roman" w:eastAsia="方正仿宋_GBK" w:cs="Times New Roman"/>
          <w:color w:val="auto"/>
          <w:sz w:val="32"/>
          <w:szCs w:val="32"/>
          <w:shd w:val="clear" w:color="auto" w:fill="FFFFFF"/>
        </w:rPr>
        <w:t>主要原因</w:t>
      </w:r>
      <w:r>
        <w:rPr>
          <w:rFonts w:hint="default" w:ascii="Times New Roman" w:hAnsi="Times New Roman" w:eastAsia="方正仿宋_GBK" w:cs="Times New Roman"/>
          <w:color w:val="auto"/>
          <w:sz w:val="32"/>
          <w:szCs w:val="32"/>
          <w:shd w:val="clear" w:color="auto" w:fill="FFFFFF"/>
          <w:lang w:val="en-US" w:eastAsia="zh-CN"/>
        </w:rPr>
        <w:t>一是</w:t>
      </w:r>
      <w:r>
        <w:rPr>
          <w:rFonts w:hint="eastAsia" w:ascii="方正仿宋_GBK" w:hAnsi="方正仿宋_GBK" w:eastAsia="方正仿宋_GBK" w:cs="方正仿宋_GBK"/>
          <w:color w:val="auto"/>
          <w:sz w:val="32"/>
          <w:szCs w:val="32"/>
          <w:shd w:val="clear" w:color="auto" w:fill="FFFFFF"/>
        </w:rPr>
        <w:t>本年度涉及下属事业单位及参公事业单位</w:t>
      </w:r>
      <w:r>
        <w:rPr>
          <w:rFonts w:hint="eastAsia" w:ascii="方正仿宋_GBK" w:hAnsi="方正仿宋_GBK" w:eastAsia="方正仿宋_GBK" w:cs="方正仿宋_GBK"/>
          <w:color w:val="auto"/>
          <w:sz w:val="32"/>
          <w:szCs w:val="32"/>
          <w:shd w:val="clear" w:color="auto" w:fill="FFFFFF"/>
          <w:lang w:val="en-US" w:eastAsia="zh-CN"/>
        </w:rPr>
        <w:t>公用经费</w:t>
      </w:r>
      <w:r>
        <w:rPr>
          <w:rFonts w:hint="eastAsia" w:ascii="方正仿宋_GBK" w:hAnsi="方正仿宋_GBK" w:eastAsia="方正仿宋_GBK" w:cs="方正仿宋_GBK"/>
          <w:color w:val="auto"/>
          <w:sz w:val="32"/>
          <w:szCs w:val="32"/>
          <w:shd w:val="clear" w:color="auto" w:fill="FFFFFF"/>
        </w:rPr>
        <w:t>独立核算</w:t>
      </w:r>
      <w:r>
        <w:rPr>
          <w:rFonts w:hint="default" w:ascii="Times New Roman" w:hAnsi="Times New Roman" w:eastAsia="方正仿宋_GBK" w:cs="Times New Roman"/>
          <w:color w:val="auto"/>
          <w:sz w:val="32"/>
          <w:szCs w:val="32"/>
          <w:shd w:val="clear" w:color="auto" w:fill="FFFFFF"/>
          <w:lang w:val="en-US" w:eastAsia="zh-CN"/>
        </w:rPr>
        <w:t>，二是</w:t>
      </w:r>
      <w:r>
        <w:rPr>
          <w:rFonts w:hint="default" w:ascii="Times New Roman" w:hAnsi="Times New Roman" w:eastAsia="方正仿宋_GBK" w:cs="Times New Roman"/>
          <w:sz w:val="32"/>
          <w:szCs w:val="32"/>
          <w:shd w:val="clear" w:color="auto" w:fill="FFFFFF"/>
          <w:lang w:val="en-US" w:eastAsia="zh-CN"/>
        </w:rPr>
        <w:t>严格落实过“紧日子”的要求，厉行节约，减少不必要的经费支出导致</w:t>
      </w:r>
      <w:r>
        <w:rPr>
          <w:rFonts w:hint="eastAsia" w:ascii="Times New Roman" w:hAnsi="Times New Roman" w:eastAsia="方正仿宋_GBK" w:cs="Times New Roman"/>
          <w:sz w:val="32"/>
          <w:szCs w:val="32"/>
          <w:shd w:val="clear" w:color="auto" w:fill="FFFFFF"/>
          <w:lang w:val="en-US" w:eastAsia="zh-CN"/>
        </w:rPr>
        <w:t>机关运行</w:t>
      </w:r>
      <w:r>
        <w:rPr>
          <w:rFonts w:hint="default" w:ascii="Times New Roman" w:hAnsi="Times New Roman" w:eastAsia="方正仿宋_GBK" w:cs="Times New Roman"/>
          <w:sz w:val="32"/>
          <w:szCs w:val="32"/>
          <w:shd w:val="clear" w:color="auto" w:fill="FFFFFF"/>
          <w:lang w:val="en-US" w:eastAsia="zh-CN"/>
        </w:rPr>
        <w:t>经费减少。</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9"/>
          <w:rFonts w:hint="default" w:ascii="方正楷体_GBK" w:hAnsi="方正楷体_GBK" w:eastAsia="方正楷体_GBK" w:cs="方正楷体_GBK"/>
          <w:b w:val="0"/>
          <w:bCs/>
          <w:sz w:val="32"/>
          <w:szCs w:val="32"/>
          <w:shd w:val="clear" w:color="auto" w:fill="FFFFFF"/>
        </w:rPr>
      </w:pPr>
      <w:r>
        <w:rPr>
          <w:rStyle w:val="9"/>
          <w:rFonts w:hint="default" w:ascii="方正楷体_GBK" w:hAnsi="方正楷体_GBK" w:eastAsia="方正楷体_GBK" w:cs="方正楷体_GBK"/>
          <w:b w:val="0"/>
          <w:bCs/>
          <w:sz w:val="32"/>
          <w:szCs w:val="32"/>
          <w:shd w:val="clear" w:color="auto" w:fill="FFFFFF"/>
        </w:rPr>
        <w:t>（三）国有资产占用情况说明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截至2024年12月31日，本部门共有车辆</w:t>
      </w:r>
      <w:r>
        <w:rPr>
          <w:rFonts w:hint="default" w:ascii="Times New Roman" w:hAnsi="Times New Roman" w:eastAsia="方正仿宋_GBK" w:cs="Times New Roman"/>
          <w:sz w:val="32"/>
          <w:szCs w:val="32"/>
        </w:rPr>
        <w:t>5</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5</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9"/>
          <w:rFonts w:hint="default" w:ascii="方正楷体_GBK" w:hAnsi="方正楷体_GBK" w:eastAsia="方正楷体_GBK" w:cs="方正楷体_GBK"/>
          <w:b w:val="0"/>
          <w:bCs/>
          <w:sz w:val="32"/>
          <w:szCs w:val="32"/>
          <w:shd w:val="clear" w:color="auto" w:fill="FFFFFF"/>
        </w:rPr>
      </w:pPr>
      <w:r>
        <w:rPr>
          <w:rStyle w:val="9"/>
          <w:rFonts w:hint="default" w:ascii="方正楷体_GBK" w:hAnsi="方正楷体_GBK" w:eastAsia="方正楷体_GBK" w:cs="方正楷体_GBK"/>
          <w:b w:val="0"/>
          <w:bCs/>
          <w:sz w:val="32"/>
          <w:szCs w:val="32"/>
          <w:shd w:val="clear" w:color="auto" w:fill="FFFFFF"/>
        </w:rPr>
        <w:t>（四）政府采购支出情况说明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2024年度本部门政府采购支出总额</w:t>
      </w:r>
      <w:r>
        <w:rPr>
          <w:rFonts w:hint="default" w:ascii="Times New Roman" w:hAnsi="Times New Roman" w:eastAsia="方正仿宋_GBK" w:cs="Times New Roman"/>
          <w:sz w:val="32"/>
          <w:szCs w:val="32"/>
        </w:rPr>
        <w:t>2266.45</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20.22</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2246.23</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2266.45万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100.0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833.81</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36.79</w:t>
      </w:r>
      <w:r>
        <w:rPr>
          <w:rFonts w:hint="default" w:ascii="Times New Roman" w:hAnsi="Times New Roman" w:eastAsia="方正仿宋_GBK" w:cs="Times New Roman"/>
          <w:sz w:val="32"/>
          <w:szCs w:val="32"/>
          <w:shd w:val="clear" w:color="auto" w:fill="FFFFFF"/>
        </w:rPr>
        <w:t xml:space="preserve"> %。主要用于采购</w:t>
      </w:r>
      <w:r>
        <w:rPr>
          <w:rFonts w:hint="default" w:ascii="Times New Roman" w:hAnsi="Times New Roman" w:eastAsia="方正仿宋_GBK" w:cs="Times New Roman"/>
          <w:sz w:val="32"/>
          <w:szCs w:val="32"/>
          <w:shd w:val="clear" w:color="auto" w:fill="FFFFFF"/>
          <w:lang w:val="en-US" w:eastAsia="zh-CN"/>
        </w:rPr>
        <w:t>建筑物、公共基础设施等大型修缮以及采购办公电脑、打印机、复印机等固定资产。</w:t>
      </w:r>
    </w:p>
    <w:p>
      <w:pPr>
        <w:pStyle w:val="13"/>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五、2024年度预算绩效管理情况说明</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9"/>
          <w:rFonts w:hint="default" w:ascii="方正楷体_GBK" w:hAnsi="方正楷体_GBK" w:eastAsia="方正楷体_GBK" w:cs="方正楷体_GBK"/>
          <w:b w:val="0"/>
          <w:bCs/>
          <w:sz w:val="32"/>
          <w:szCs w:val="32"/>
          <w:shd w:val="clear" w:color="auto" w:fill="FFFFFF"/>
        </w:rPr>
      </w:pPr>
      <w:r>
        <w:rPr>
          <w:rStyle w:val="9"/>
          <w:rFonts w:hint="default" w:ascii="方正楷体_GBK" w:hAnsi="方正楷体_GBK" w:eastAsia="方正楷体_GBK" w:cs="方正楷体_GBK"/>
          <w:b w:val="0"/>
          <w:bCs/>
          <w:sz w:val="32"/>
          <w:szCs w:val="32"/>
          <w:shd w:val="clear" w:color="auto" w:fill="FFFFFF"/>
        </w:rPr>
        <w:t>（一）单位自评情况</w:t>
      </w:r>
    </w:p>
    <w:p>
      <w:pPr>
        <w:pStyle w:val="17"/>
        <w:keepNext w:val="0"/>
        <w:keepLines w:val="0"/>
        <w:pageBreakBefore w:val="0"/>
        <w:widowControl/>
        <w:tabs>
          <w:tab w:val="center" w:pos="4153"/>
          <w:tab w:val="left" w:pos="7275"/>
        </w:tabs>
        <w:kinsoku/>
        <w:wordWrap/>
        <w:overflowPunct/>
        <w:topLinePunct w:val="0"/>
        <w:autoSpaceDN/>
        <w:bidi w:val="0"/>
        <w:adjustRightInd/>
        <w:spacing w:beforeAutospacing="0" w:afterAutospacing="0" w:line="594" w:lineRule="exact"/>
        <w:ind w:firstLine="640"/>
        <w:textAlignment w:val="auto"/>
        <w:rPr>
          <w:rStyle w:val="14"/>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rPr>
        <w:t>根据预算绩效管理要求，我</w:t>
      </w:r>
      <w:r>
        <w:rPr>
          <w:rFonts w:hint="default" w:ascii="Times New Roman" w:hAnsi="Times New Roman" w:eastAsia="方正仿宋_GBK" w:cs="Times New Roman"/>
          <w:sz w:val="32"/>
          <w:szCs w:val="32"/>
          <w:lang w:val="en-US" w:eastAsia="zh-CN"/>
        </w:rPr>
        <w:t>单位</w:t>
      </w:r>
      <w:r>
        <w:rPr>
          <w:rFonts w:hint="default" w:ascii="Times New Roman" w:hAnsi="Times New Roman" w:eastAsia="方正仿宋_GBK" w:cs="Times New Roman"/>
          <w:sz w:val="32"/>
          <w:szCs w:val="32"/>
        </w:rPr>
        <w:t>对部门整体和</w:t>
      </w:r>
      <w:r>
        <w:rPr>
          <w:rFonts w:hint="default" w:ascii="Times New Roman" w:hAnsi="Times New Roman" w:eastAsia="方正仿宋_GBK" w:cs="Times New Roman"/>
          <w:sz w:val="32"/>
          <w:szCs w:val="32"/>
          <w:lang w:val="en-US" w:eastAsia="zh-CN"/>
        </w:rPr>
        <w:t>75</w:t>
      </w:r>
      <w:r>
        <w:rPr>
          <w:rFonts w:hint="default" w:ascii="Times New Roman" w:hAnsi="Times New Roman" w:eastAsia="方正仿宋_GBK" w:cs="Times New Roman"/>
          <w:sz w:val="32"/>
          <w:szCs w:val="32"/>
        </w:rPr>
        <w:t>个项目开展了绩效自评，其中，以填报目标自评表形式开展自评</w:t>
      </w:r>
      <w:r>
        <w:rPr>
          <w:rFonts w:hint="default" w:ascii="Times New Roman" w:hAnsi="Times New Roman" w:eastAsia="方正仿宋_GBK" w:cs="Times New Roman"/>
          <w:sz w:val="32"/>
          <w:szCs w:val="32"/>
          <w:lang w:val="en-US" w:eastAsia="zh-CN"/>
        </w:rPr>
        <w:t>75</w:t>
      </w:r>
      <w:r>
        <w:rPr>
          <w:rFonts w:hint="default" w:ascii="Times New Roman" w:hAnsi="Times New Roman" w:eastAsia="方正仿宋_GBK" w:cs="Times New Roman"/>
          <w:sz w:val="32"/>
          <w:szCs w:val="32"/>
        </w:rPr>
        <w:t>项，涉及资金</w:t>
      </w:r>
      <w:r>
        <w:rPr>
          <w:rFonts w:hint="default" w:ascii="Times New Roman" w:hAnsi="Times New Roman" w:eastAsia="方正仿宋_GBK" w:cs="Times New Roman"/>
          <w:sz w:val="32"/>
          <w:szCs w:val="32"/>
          <w:lang w:val="en-US" w:eastAsia="zh-CN"/>
        </w:rPr>
        <w:t>5500.35</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shd w:val="clear" w:color="auto" w:fill="FFFFFF"/>
          <w:lang w:val="en-US" w:eastAsia="zh-CN" w:bidi="ar"/>
        </w:rPr>
        <w:t>以部门自行委托第三方形式开展绩效自评0项目，涉及资金0万元。</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lang w:val="en-US" w:eastAsia="zh-CN" w:bidi="ar"/>
        </w:rPr>
      </w:pPr>
      <w:r>
        <w:rPr>
          <w:rFonts w:hint="eastAsia" w:ascii="方正楷体_GBK" w:hAnsi="方正楷体_GBK" w:eastAsia="方正楷体_GBK" w:cs="方正楷体_GBK"/>
          <w:b w:val="0"/>
          <w:bCs w:val="0"/>
          <w:sz w:val="32"/>
          <w:szCs w:val="32"/>
          <w:shd w:val="clear" w:color="auto" w:fill="FFFFFF"/>
        </w:rPr>
        <w:t>（二）部门绩效评价情况</w:t>
      </w:r>
    </w:p>
    <w:p>
      <w:pPr>
        <w:pStyle w:val="17"/>
        <w:keepNext w:val="0"/>
        <w:keepLines w:val="0"/>
        <w:pageBreakBefore w:val="0"/>
        <w:widowControl/>
        <w:kinsoku/>
        <w:wordWrap/>
        <w:overflowPunct/>
        <w:topLinePunct w:val="0"/>
        <w:autoSpaceDE w:val="0"/>
        <w:autoSpaceDN/>
        <w:bidi w:val="0"/>
        <w:adjustRightInd/>
        <w:spacing w:beforeAutospacing="0" w:afterAutospacing="0" w:line="594" w:lineRule="exact"/>
        <w:ind w:firstLine="640"/>
        <w:textAlignment w:val="auto"/>
        <w:rPr>
          <w:rFonts w:hint="eastAsia" w:ascii="Times New Roman" w:hAnsi="Times New Roman" w:eastAsia="方正仿宋_GBK" w:cs="Times New Roman"/>
          <w:sz w:val="32"/>
          <w:szCs w:val="32"/>
          <w:shd w:val="clear" w:color="auto" w:fill="FFFFFF"/>
          <w:lang w:val="en-US" w:eastAsia="zh-CN" w:bidi="ar"/>
        </w:rPr>
      </w:pPr>
      <w:r>
        <w:rPr>
          <w:rFonts w:hint="eastAsia" w:ascii="Times New Roman" w:hAnsi="Times New Roman" w:eastAsia="方正仿宋_GBK" w:cs="Times New Roman"/>
          <w:sz w:val="32"/>
          <w:szCs w:val="32"/>
          <w:shd w:val="clear" w:color="auto" w:fill="FFFFFF"/>
          <w:lang w:val="en-US" w:eastAsia="zh-CN" w:bidi="ar"/>
        </w:rPr>
        <w:t>本部门未委托第三方进行绩效评价。</w:t>
      </w:r>
    </w:p>
    <w:p>
      <w:pPr>
        <w:pStyle w:val="17"/>
        <w:keepNext w:val="0"/>
        <w:keepLines w:val="0"/>
        <w:pageBreakBefore w:val="0"/>
        <w:widowControl/>
        <w:kinsoku/>
        <w:wordWrap/>
        <w:overflowPunct/>
        <w:topLinePunct w:val="0"/>
        <w:autoSpaceDE w:val="0"/>
        <w:autoSpaceDN/>
        <w:bidi w:val="0"/>
        <w:adjustRightInd/>
        <w:spacing w:line="594" w:lineRule="exact"/>
        <w:ind w:firstLine="643"/>
        <w:textAlignment w:val="auto"/>
        <w:rPr>
          <w:rFonts w:hint="default" w:ascii="方正仿宋_GBK" w:hAnsi="方正仿宋_GBK" w:eastAsia="方正仿宋_GBK" w:cs="方正仿宋_GBK"/>
          <w:b w:val="0"/>
          <w:bCs w:val="0"/>
          <w:sz w:val="32"/>
          <w:szCs w:val="32"/>
          <w:shd w:val="clear" w:color="auto" w:fill="FFFFFF"/>
        </w:rPr>
      </w:pPr>
      <w:r>
        <w:rPr>
          <w:rFonts w:ascii="楷体" w:hAnsi="楷体" w:eastAsia="楷体" w:cs="楷体"/>
          <w:b w:val="0"/>
          <w:bCs w:val="0"/>
          <w:sz w:val="32"/>
          <w:szCs w:val="32"/>
          <w:shd w:val="clear" w:color="auto" w:fill="FFFFFF"/>
          <w:lang w:bidi="ar"/>
        </w:rPr>
        <w:t>（三）财政绩效评价情况</w:t>
      </w:r>
    </w:p>
    <w:p>
      <w:pPr>
        <w:pStyle w:val="17"/>
        <w:keepNext w:val="0"/>
        <w:keepLines w:val="0"/>
        <w:pageBreakBefore w:val="0"/>
        <w:widowControl/>
        <w:kinsoku/>
        <w:wordWrap/>
        <w:overflowPunct/>
        <w:topLinePunct w:val="0"/>
        <w:autoSpaceDE w:val="0"/>
        <w:autoSpaceDN/>
        <w:bidi w:val="0"/>
        <w:adjustRightInd/>
        <w:spacing w:line="594" w:lineRule="exact"/>
        <w:ind w:firstLine="640"/>
        <w:textAlignment w:val="auto"/>
        <w:rPr>
          <w:rFonts w:hint="default" w:ascii="Times New Roman" w:hAnsi="Times New Roman" w:eastAsia="方正仿宋_GBK" w:cs="Times New Roman"/>
          <w:sz w:val="32"/>
          <w:szCs w:val="32"/>
          <w:shd w:val="clear" w:color="auto" w:fill="FFFFFF"/>
          <w:lang w:val="en-US" w:eastAsia="zh-CN" w:bidi="ar"/>
        </w:rPr>
      </w:pPr>
      <w:r>
        <w:rPr>
          <w:rFonts w:ascii="方正仿宋_GBK" w:hAnsi="方正仿宋_GBK" w:eastAsia="方正仿宋_GBK" w:cs="方正仿宋_GBK"/>
          <w:sz w:val="32"/>
          <w:szCs w:val="32"/>
          <w:shd w:val="clear" w:color="auto" w:fill="FFFFFF"/>
        </w:rPr>
        <w:t>区财政局委托第三方对我部门</w:t>
      </w:r>
      <w:r>
        <w:rPr>
          <w:rFonts w:hint="eastAsia" w:ascii="方正仿宋_GBK" w:hAnsi="方正仿宋_GBK" w:eastAsia="方正仿宋_GBK" w:cs="方正仿宋_GBK"/>
          <w:sz w:val="32"/>
          <w:szCs w:val="32"/>
          <w:shd w:val="clear" w:color="auto" w:fill="FFFFFF"/>
          <w:lang w:val="en-US" w:eastAsia="zh-CN"/>
        </w:rPr>
        <w:t>两路口国际村-桂新村老旧小区改</w:t>
      </w:r>
      <w:r>
        <w:rPr>
          <w:rFonts w:hint="default" w:ascii="Times New Roman" w:hAnsi="Times New Roman" w:eastAsia="方正仿宋_GBK" w:cs="Times New Roman"/>
          <w:sz w:val="32"/>
          <w:szCs w:val="32"/>
          <w:shd w:val="clear" w:color="auto" w:fill="FFFFFF"/>
          <w:lang w:val="en-US" w:eastAsia="zh-CN"/>
        </w:rPr>
        <w:t>造提升及配套基础设施建设项目</w:t>
      </w:r>
      <w:r>
        <w:rPr>
          <w:rFonts w:hint="default" w:ascii="Times New Roman" w:hAnsi="Times New Roman" w:eastAsia="方正仿宋_GBK" w:cs="Times New Roman"/>
          <w:sz w:val="32"/>
          <w:szCs w:val="32"/>
          <w:shd w:val="clear" w:color="auto" w:fill="FFFFFF"/>
        </w:rPr>
        <w:t>开展了重点绩效评价，涉及财政拨款项目资金6,818.23万元，评价得分</w:t>
      </w:r>
      <w:r>
        <w:rPr>
          <w:rFonts w:hint="default" w:ascii="Times New Roman" w:hAnsi="Times New Roman" w:eastAsia="方正仿宋_GBK" w:cs="Times New Roman"/>
          <w:sz w:val="32"/>
          <w:szCs w:val="32"/>
          <w:shd w:val="clear" w:color="auto" w:fill="FFFFFF"/>
          <w:lang w:val="en-US" w:eastAsia="zh-CN"/>
        </w:rPr>
        <w:t>81.43</w:t>
      </w:r>
      <w:r>
        <w:rPr>
          <w:rFonts w:hint="default" w:ascii="Times New Roman" w:hAnsi="Times New Roman" w:eastAsia="方正仿宋_GBK" w:cs="Times New Roman"/>
          <w:sz w:val="32"/>
          <w:szCs w:val="32"/>
          <w:shd w:val="clear" w:color="auto" w:fill="FFFFFF"/>
        </w:rPr>
        <w:t>分，评价等次为</w:t>
      </w:r>
      <w:r>
        <w:rPr>
          <w:rFonts w:hint="default" w:ascii="Times New Roman" w:hAnsi="Times New Roman" w:eastAsia="方正仿宋_GBK" w:cs="Times New Roman"/>
          <w:sz w:val="32"/>
          <w:szCs w:val="32"/>
          <w:shd w:val="clear" w:color="auto" w:fill="FFFFFF"/>
          <w:lang w:val="en-US" w:eastAsia="zh-CN"/>
        </w:rPr>
        <w:t>良</w:t>
      </w:r>
      <w:r>
        <w:rPr>
          <w:rFonts w:hint="default" w:ascii="Times New Roman" w:hAnsi="Times New Roman" w:eastAsia="方正仿宋_GBK" w:cs="Times New Roman"/>
          <w:sz w:val="32"/>
          <w:szCs w:val="32"/>
          <w:shd w:val="clear" w:color="auto" w:fill="FFFFFF"/>
        </w:rPr>
        <w:t>，绩效评价发现了</w:t>
      </w:r>
      <w:r>
        <w:rPr>
          <w:rFonts w:hint="default" w:ascii="Times New Roman" w:hAnsi="Times New Roman" w:eastAsia="方正仿宋_GBK" w:cs="Times New Roman"/>
          <w:sz w:val="32"/>
          <w:szCs w:val="32"/>
          <w:shd w:val="clear" w:color="auto" w:fill="FFFFFF"/>
          <w:lang w:val="en-US" w:eastAsia="zh-CN"/>
        </w:rPr>
        <w:t>绩效指标设置不合理、部分项目工程存在延期、部分改造类别结算单价与招标限制单价差异较大、项目管</w:t>
      </w:r>
      <w:r>
        <w:rPr>
          <w:rFonts w:hint="eastAsia" w:ascii="方正仿宋_GBK" w:hAnsi="方正仿宋_GBK" w:eastAsia="方正仿宋_GBK" w:cs="方正仿宋_GBK"/>
          <w:sz w:val="32"/>
          <w:szCs w:val="32"/>
          <w:shd w:val="clear" w:color="auto" w:fill="FFFFFF"/>
          <w:lang w:val="en-US" w:eastAsia="zh-CN"/>
        </w:rPr>
        <w:t>理不规范、项目资金使用不合规</w:t>
      </w:r>
      <w:r>
        <w:rPr>
          <w:rFonts w:ascii="方正仿宋_GBK" w:hAnsi="方正仿宋_GBK" w:eastAsia="方正仿宋_GBK" w:cs="方正仿宋_GBK"/>
          <w:sz w:val="32"/>
          <w:szCs w:val="32"/>
          <w:shd w:val="clear" w:color="auto" w:fill="FFFFFF"/>
        </w:rPr>
        <w:t>等主要问题，提出</w:t>
      </w:r>
      <w:r>
        <w:rPr>
          <w:rFonts w:hint="eastAsia" w:ascii="方正仿宋_GBK" w:hAnsi="方正仿宋_GBK" w:eastAsia="方正仿宋_GBK" w:cs="方正仿宋_GBK"/>
          <w:sz w:val="32"/>
          <w:szCs w:val="32"/>
          <w:shd w:val="clear" w:color="auto" w:fill="FFFFFF"/>
          <w:lang w:val="en-US" w:eastAsia="zh-CN"/>
        </w:rPr>
        <w:t>严格按照绩效目标申报表编制要求设置绩效指标及分值权重，此外指标设置上应遵循指向明确、细化量化、合理可行、相应匹配的原则，选取最具代表性的核心指标去考核，提高绩效目标的科学性、可执行新性和可考核性，及时发挥绩效管理作用；加强工程资料归集意识，做好基础整理工作；设计图纸需满足施工深度，不能一味求快，需给予设计单位足够的时间进行图纸的深化，以达到尽可能满足施工深度的要求；加强招标工程量清单编制的准确性，同时，也需增强对施工过程中设计变更的管控，在招标时对主要材料及品牌的选择进行界定，对于无明确品牌但涉及造价较大的项目招标时可明确技术参数以减少不必要的变更；合理安排工期，避免因政策性调整及材料价格涨跌等不确定因素造成的造价增加；严格遵守建设法规和许可证办理的规定，在开工前半个月内及时办理施工许可证；加强制度执行的有效性，开工报告应明确注明开工日期，验收报告各个单位应签字盖章完整，否则会影响文件的效力，影响后续的工程结算；对于可预见的无法及时完工项目，应及时按照程序办理申请延期手续，说明延期原因及日期；详细明确资金的拨付、开支范围，对于人员工资、办公费等支出制定相关补贴支付限额标准，严格控制资金的拨付，保证专款专用，方便项目的收支管理</w:t>
      </w:r>
      <w:r>
        <w:rPr>
          <w:rFonts w:ascii="方正仿宋_GBK" w:hAnsi="方正仿宋_GBK" w:eastAsia="方正仿宋_GBK" w:cs="方正仿宋_GBK"/>
          <w:sz w:val="32"/>
          <w:szCs w:val="32"/>
          <w:shd w:val="clear" w:color="auto" w:fill="FFFFFF"/>
        </w:rPr>
        <w:t>等下一步工作建议</w:t>
      </w:r>
      <w:r>
        <w:rPr>
          <w:rFonts w:hint="eastAsia" w:ascii="方正仿宋_GBK" w:hAnsi="方正仿宋_GBK" w:eastAsia="方正仿宋_GBK" w:cs="方正仿宋_GBK"/>
          <w:sz w:val="32"/>
          <w:szCs w:val="32"/>
          <w:shd w:val="clear" w:color="auto" w:fill="FFFFFF"/>
          <w:lang w:val="en-US" w:eastAsia="zh-CN"/>
        </w:rPr>
        <w:t>。</w:t>
      </w:r>
    </w:p>
    <w:p>
      <w:pPr>
        <w:pStyle w:val="13"/>
        <w:keepNext w:val="0"/>
        <w:keepLines w:val="0"/>
        <w:pageBreakBefore w:val="0"/>
        <w:widowControl/>
        <w:kinsoku/>
        <w:wordWrap/>
        <w:overflowPunct/>
        <w:topLinePunct w:val="0"/>
        <w:autoSpaceDE w:val="0"/>
        <w:autoSpaceDN/>
        <w:bidi w:val="0"/>
        <w:adjustRightInd/>
        <w:spacing w:before="0" w:beforeAutospacing="0" w:after="0" w:afterAutospacing="0" w:line="594" w:lineRule="exact"/>
        <w:textAlignment w:val="auto"/>
        <w:rPr>
          <w:rFonts w:hint="default" w:ascii="Times New Roman" w:hAnsi="Times New Roman" w:eastAsia="方正仿宋_GBK" w:cs="Times New Roman"/>
          <w:sz w:val="32"/>
          <w:szCs w:val="32"/>
        </w:rPr>
      </w:pPr>
      <w:r>
        <w:rPr>
          <w:rStyle w:val="14"/>
          <w:rFonts w:hint="default" w:ascii="Times New Roman" w:hAnsi="Times New Roman" w:eastAsia="方正仿宋_GBK" w:cs="Times New Roman"/>
          <w:sz w:val="32"/>
          <w:szCs w:val="32"/>
          <w:shd w:val="clear" w:color="auto" w:fill="FFFFFF"/>
        </w:rPr>
        <w:t xml:space="preserve">   </w:t>
      </w:r>
      <w:r>
        <w:rPr>
          <w:rStyle w:val="9"/>
          <w:rFonts w:hint="default" w:ascii="Times New Roman" w:hAnsi="Times New Roman" w:eastAsia="黑体" w:cs="Times New Roman"/>
          <w:sz w:val="32"/>
          <w:szCs w:val="32"/>
          <w:shd w:val="clear" w:color="auto" w:fill="FFFFFF"/>
        </w:rPr>
        <w:t xml:space="preserve"> </w:t>
      </w:r>
      <w:r>
        <w:rPr>
          <w:rStyle w:val="9"/>
          <w:rFonts w:hint="default" w:ascii="方正黑体_GBK" w:hAnsi="方正黑体_GBK" w:eastAsia="方正黑体_GBK" w:cs="方正黑体_GBK"/>
          <w:b w:val="0"/>
          <w:bCs/>
          <w:sz w:val="32"/>
          <w:szCs w:val="32"/>
          <w:shd w:val="clear" w:color="auto" w:fill="FFFFFF"/>
        </w:rPr>
        <w:t>六、专业名词解释</w:t>
      </w:r>
    </w:p>
    <w:p>
      <w:pPr>
        <w:pStyle w:val="13"/>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9"/>
          <w:rFonts w:hint="eastAsia" w:ascii="方正楷体_GBK" w:hAnsi="方正楷体_GBK" w:eastAsia="方正楷体_GBK" w:cs="方正楷体_GBK"/>
          <w:b w:val="0"/>
          <w:bCs/>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pPr>
        <w:pStyle w:val="13"/>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9"/>
          <w:rFonts w:hint="default" w:ascii="方正楷体_GBK" w:hAnsi="方正楷体_GBK" w:eastAsia="方正楷体_GBK" w:cs="方正楷体_GBK"/>
          <w:b w:val="0"/>
          <w:bCs/>
          <w:sz w:val="32"/>
          <w:szCs w:val="32"/>
          <w:shd w:val="clear" w:color="auto" w:fill="FFFFFF"/>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pPr>
        <w:pStyle w:val="13"/>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9"/>
          <w:rFonts w:hint="default" w:ascii="方正楷体_GBK" w:hAnsi="方正楷体_GBK" w:eastAsia="方正楷体_GBK" w:cs="方正楷体_GBK"/>
          <w:b w:val="0"/>
          <w:bCs/>
          <w:sz w:val="32"/>
          <w:szCs w:val="32"/>
          <w:shd w:val="clear" w:color="auto" w:fill="FFFFFF"/>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13"/>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9"/>
          <w:rFonts w:hint="default" w:ascii="方正楷体_GBK" w:hAnsi="方正楷体_GBK" w:eastAsia="方正楷体_GBK" w:cs="方正楷体_GBK"/>
          <w:b w:val="0"/>
          <w:bCs/>
          <w:sz w:val="32"/>
          <w:szCs w:val="32"/>
          <w:shd w:val="clear" w:color="auto" w:fill="FFFFFF"/>
        </w:rPr>
        <w:t>（四）其他收入：</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3"/>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9"/>
          <w:rFonts w:hint="default" w:ascii="方正楷体_GBK" w:hAnsi="方正楷体_GBK" w:eastAsia="方正楷体_GBK" w:cs="方正楷体_GBK"/>
          <w:b w:val="0"/>
          <w:bCs/>
          <w:sz w:val="32"/>
          <w:szCs w:val="32"/>
          <w:shd w:val="clear" w:color="auto" w:fill="FFFFFF"/>
        </w:rPr>
        <w:t>（五）使用非财政拨款结余：</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3"/>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9"/>
          <w:rFonts w:hint="default" w:ascii="方正楷体_GBK" w:hAnsi="方正楷体_GBK" w:eastAsia="方正楷体_GBK" w:cs="方正楷体_GBK"/>
          <w:b w:val="0"/>
          <w:bCs/>
          <w:sz w:val="32"/>
          <w:szCs w:val="32"/>
          <w:shd w:val="clear" w:color="auto" w:fill="FFFFFF"/>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13"/>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9"/>
          <w:rFonts w:hint="default" w:ascii="方正楷体_GBK" w:hAnsi="方正楷体_GBK" w:eastAsia="方正楷体_GBK" w:cs="方正楷体_GBK"/>
          <w:b w:val="0"/>
          <w:bCs/>
          <w:sz w:val="32"/>
          <w:szCs w:val="32"/>
          <w:shd w:val="clear" w:color="auto" w:fill="FFFFFF"/>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13"/>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9"/>
          <w:rFonts w:hint="default" w:ascii="方正楷体_GBK" w:hAnsi="方正楷体_GBK" w:eastAsia="方正楷体_GBK" w:cs="方正楷体_GBK"/>
          <w:b w:val="0"/>
          <w:bCs/>
          <w:sz w:val="32"/>
          <w:szCs w:val="32"/>
          <w:shd w:val="clear" w:color="auto" w:fill="FFFFFF"/>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13"/>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9"/>
          <w:rFonts w:hint="default" w:ascii="方正楷体_GBK" w:hAnsi="方正楷体_GBK" w:eastAsia="方正楷体_GBK" w:cs="方正楷体_GBK"/>
          <w:b w:val="0"/>
          <w:bCs/>
          <w:sz w:val="32"/>
          <w:szCs w:val="32"/>
          <w:shd w:val="clear" w:color="auto" w:fill="FFFFFF"/>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3"/>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9"/>
          <w:rFonts w:hint="default" w:ascii="方正楷体_GBK" w:hAnsi="方正楷体_GBK" w:eastAsia="方正楷体_GBK" w:cs="方正楷体_GBK"/>
          <w:b w:val="0"/>
          <w:bCs/>
          <w:sz w:val="32"/>
          <w:szCs w:val="32"/>
          <w:shd w:val="clear" w:color="auto" w:fill="FFFFFF"/>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13"/>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9"/>
          <w:rFonts w:hint="default" w:ascii="方正楷体_GBK" w:hAnsi="方正楷体_GBK" w:eastAsia="方正楷体_GBK" w:cs="方正楷体_GBK"/>
          <w:b w:val="0"/>
          <w:bCs/>
          <w:sz w:val="32"/>
          <w:szCs w:val="32"/>
          <w:shd w:val="clear" w:color="auto" w:fill="FFFFFF"/>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13"/>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9"/>
          <w:rFonts w:hint="default" w:ascii="方正楷体_GBK" w:hAnsi="方正楷体_GBK" w:eastAsia="方正楷体_GBK" w:cs="方正楷体_GBK"/>
          <w:b w:val="0"/>
          <w:bCs/>
          <w:sz w:val="32"/>
          <w:szCs w:val="32"/>
          <w:shd w:val="clear" w:color="auto" w:fill="FFFFFF"/>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3"/>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9"/>
          <w:rFonts w:hint="default" w:ascii="方正楷体_GBK" w:hAnsi="方正楷体_GBK" w:eastAsia="方正楷体_GBK" w:cs="方正楷体_GBK"/>
          <w:b w:val="0"/>
          <w:bCs/>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3"/>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9"/>
          <w:rFonts w:hint="default" w:ascii="方正楷体_GBK" w:hAnsi="方正楷体_GBK" w:eastAsia="方正楷体_GBK" w:cs="方正楷体_GBK"/>
          <w:b w:val="0"/>
          <w:bCs/>
          <w:sz w:val="32"/>
          <w:szCs w:val="32"/>
          <w:shd w:val="clear" w:color="auto" w:fill="FFFFFF"/>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w:t>
      </w:r>
      <w:bookmarkStart w:id="0" w:name="_GoBack"/>
      <w:bookmarkEnd w:id="0"/>
      <w:r>
        <w:rPr>
          <w:rFonts w:hint="default" w:ascii="Times New Roman" w:hAnsi="Times New Roman" w:eastAsia="方正仿宋_GBK" w:cs="Times New Roman"/>
          <w:sz w:val="32"/>
          <w:szCs w:val="32"/>
          <w:shd w:val="clear" w:color="auto" w:fill="FFFFFF"/>
        </w:rPr>
        <w:t>为上述人员缴纳的各项社会保险费等。</w:t>
      </w:r>
    </w:p>
    <w:p>
      <w:pPr>
        <w:pStyle w:val="13"/>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9"/>
          <w:rFonts w:hint="default" w:ascii="方正楷体_GBK" w:hAnsi="方正楷体_GBK" w:eastAsia="方正楷体_GBK" w:cs="方正楷体_GBK"/>
          <w:b w:val="0"/>
          <w:bCs/>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13"/>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9"/>
          <w:rFonts w:hint="default" w:ascii="方正楷体_GBK" w:hAnsi="方正楷体_GBK" w:eastAsia="方正楷体_GBK" w:cs="方正楷体_GBK"/>
          <w:b w:val="0"/>
          <w:bCs/>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pPr>
        <w:pStyle w:val="13"/>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9"/>
          <w:rFonts w:hint="default" w:ascii="方正楷体_GBK" w:hAnsi="方正楷体_GBK" w:eastAsia="方正楷体_GBK" w:cs="方正楷体_GBK"/>
          <w:b w:val="0"/>
          <w:bCs/>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3"/>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eastAsia" w:ascii="方正黑体_GBK" w:hAnsi="方正黑体_GBK" w:eastAsia="方正黑体_GBK" w:cs="方正黑体_GBK"/>
          <w:b w:val="0"/>
          <w:bCs/>
          <w:sz w:val="32"/>
          <w:szCs w:val="32"/>
        </w:rPr>
      </w:pPr>
      <w:r>
        <w:rPr>
          <w:rStyle w:val="9"/>
          <w:rFonts w:hint="eastAsia" w:ascii="方正黑体_GBK" w:hAnsi="方正黑体_GBK" w:eastAsia="方正黑体_GBK" w:cs="方正黑体_GBK"/>
          <w:b w:val="0"/>
          <w:bCs/>
          <w:sz w:val="32"/>
          <w:szCs w:val="32"/>
          <w:shd w:val="clear" w:color="auto" w:fill="FFFFFF"/>
        </w:rPr>
        <w:t>七、决算公开联系方式及信息反馈渠道</w:t>
      </w:r>
    </w:p>
    <w:p>
      <w:pPr>
        <w:pStyle w:val="13"/>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本单位决算公开信息反馈和联系方式：</w:t>
      </w:r>
    </w:p>
    <w:p>
      <w:pPr>
        <w:pStyle w:val="13"/>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cs="宋体"/>
          <w:sz w:val="18"/>
          <w:szCs w:val="18"/>
        </w:rPr>
      </w:pPr>
      <w:r>
        <w:rPr>
          <w:rFonts w:hint="default" w:ascii="Times New Roman" w:hAnsi="Times New Roman" w:eastAsia="方正仿宋_GBK" w:cs="Times New Roman"/>
          <w:color w:val="auto"/>
          <w:sz w:val="32"/>
          <w:szCs w:val="32"/>
          <w:shd w:val="clear" w:color="auto" w:fill="FFFFFF"/>
          <w:lang w:val="en-US" w:eastAsia="zh-CN"/>
        </w:rPr>
        <w:t>两路口街道办事处</w:t>
      </w:r>
      <w:r>
        <w:rPr>
          <w:rFonts w:hint="default" w:ascii="Times New Roman" w:hAnsi="Times New Roman" w:eastAsia="方正仿宋_GBK" w:cs="Times New Roman"/>
          <w:color w:val="auto"/>
          <w:sz w:val="32"/>
          <w:szCs w:val="32"/>
          <w:shd w:val="clear" w:color="auto" w:fill="FFFFFF"/>
        </w:rPr>
        <w:t xml:space="preserve">   023</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6362371</w:t>
      </w:r>
      <w:r>
        <w:rPr>
          <w:rFonts w:hint="eastAsia" w:ascii="Times New Roman" w:hAnsi="Times New Roman" w:eastAsia="方正仿宋_GBK" w:cs="Times New Roman"/>
          <w:color w:val="auto"/>
          <w:sz w:val="32"/>
          <w:szCs w:val="32"/>
          <w:shd w:val="clear" w:color="auto" w:fill="FFFFFF"/>
          <w:lang w:val="en-US" w:eastAsia="zh-CN"/>
        </w:rPr>
        <w:t>0</w:t>
      </w:r>
    </w:p>
    <w:sectPr>
      <w:headerReference r:id="rId3" w:type="default"/>
      <w:footerReference r:id="rId4" w:type="default"/>
      <w:pgSz w:w="11850" w:h="16783"/>
      <w:pgMar w:top="1984" w:right="1446" w:bottom="1644" w:left="1446"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2000000000000000000"/>
    <w:charset w:val="86"/>
    <w:family w:val="script"/>
    <w:pitch w:val="default"/>
    <w:sig w:usb0="A00002BF" w:usb1="38CF7CFA" w:usb2="00082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- 14 -</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GEPcVsQEA&#10;AE4DAAAOAAAAAAAAAAEAIAAAAB4BAABkcnMvZTJvRG9jLnhtbFBLBQYAAAAABgAGAFkBAABBBQAA&#10;AAA=&#10;">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- 14 -</w:t>
                    </w:r>
                    <w:r>
                      <w:rPr>
                        <w:rFonts w:hint="eastAsia"/>
                        <w:lang w:eastAsia="zh-CN"/>
                      </w:rPr>
                      <w:fldChar w:fldCharType="end"/>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76A06"/>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233C8"/>
    <w:rsid w:val="00634FA8"/>
    <w:rsid w:val="0063613A"/>
    <w:rsid w:val="0068170B"/>
    <w:rsid w:val="006E2034"/>
    <w:rsid w:val="006F516D"/>
    <w:rsid w:val="00732392"/>
    <w:rsid w:val="00792285"/>
    <w:rsid w:val="007A0D2E"/>
    <w:rsid w:val="007A3314"/>
    <w:rsid w:val="007B419D"/>
    <w:rsid w:val="007C5C5B"/>
    <w:rsid w:val="00810F13"/>
    <w:rsid w:val="00813C3E"/>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43824"/>
    <w:rsid w:val="00BF5A85"/>
    <w:rsid w:val="00C307F6"/>
    <w:rsid w:val="00C96B11"/>
    <w:rsid w:val="00C97747"/>
    <w:rsid w:val="00CC6B99"/>
    <w:rsid w:val="00D611DC"/>
    <w:rsid w:val="00DF7706"/>
    <w:rsid w:val="00E05175"/>
    <w:rsid w:val="00E654E2"/>
    <w:rsid w:val="00E76362"/>
    <w:rsid w:val="00E86B80"/>
    <w:rsid w:val="00F137D3"/>
    <w:rsid w:val="00F13C36"/>
    <w:rsid w:val="00F23C68"/>
    <w:rsid w:val="00F32C53"/>
    <w:rsid w:val="00F73F90"/>
    <w:rsid w:val="00F7623D"/>
    <w:rsid w:val="00F8598B"/>
    <w:rsid w:val="00FA0819"/>
    <w:rsid w:val="00FB7EF0"/>
    <w:rsid w:val="01303573"/>
    <w:rsid w:val="01474EBF"/>
    <w:rsid w:val="01F3521E"/>
    <w:rsid w:val="02B76B37"/>
    <w:rsid w:val="03077B2E"/>
    <w:rsid w:val="03B87EA0"/>
    <w:rsid w:val="03E3214F"/>
    <w:rsid w:val="044C50BA"/>
    <w:rsid w:val="04EF52C0"/>
    <w:rsid w:val="0545029B"/>
    <w:rsid w:val="05BC6D49"/>
    <w:rsid w:val="06194FF1"/>
    <w:rsid w:val="06A2550B"/>
    <w:rsid w:val="06AA3F99"/>
    <w:rsid w:val="06F80EE2"/>
    <w:rsid w:val="07001CCA"/>
    <w:rsid w:val="075678DB"/>
    <w:rsid w:val="079D7CC7"/>
    <w:rsid w:val="08051BCA"/>
    <w:rsid w:val="08253A0F"/>
    <w:rsid w:val="086C12F4"/>
    <w:rsid w:val="08BA052C"/>
    <w:rsid w:val="08DB07BA"/>
    <w:rsid w:val="0969353F"/>
    <w:rsid w:val="098305D0"/>
    <w:rsid w:val="098A0877"/>
    <w:rsid w:val="0A5C4B69"/>
    <w:rsid w:val="0A86124A"/>
    <w:rsid w:val="0AB54CC0"/>
    <w:rsid w:val="0B18166B"/>
    <w:rsid w:val="0B35411F"/>
    <w:rsid w:val="0B9335CE"/>
    <w:rsid w:val="0C7927C4"/>
    <w:rsid w:val="0C982650"/>
    <w:rsid w:val="0C9B098C"/>
    <w:rsid w:val="0D673E11"/>
    <w:rsid w:val="0DDA54E4"/>
    <w:rsid w:val="0E084ABF"/>
    <w:rsid w:val="0E3A5F83"/>
    <w:rsid w:val="0E74421A"/>
    <w:rsid w:val="0EA46639"/>
    <w:rsid w:val="0EC6180C"/>
    <w:rsid w:val="0F497FB6"/>
    <w:rsid w:val="0F836721"/>
    <w:rsid w:val="0FA25D96"/>
    <w:rsid w:val="0FD70DB1"/>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6FF5905"/>
    <w:rsid w:val="173708E3"/>
    <w:rsid w:val="174C19C7"/>
    <w:rsid w:val="17C374FC"/>
    <w:rsid w:val="17DA7D70"/>
    <w:rsid w:val="189079DC"/>
    <w:rsid w:val="189B0D0B"/>
    <w:rsid w:val="18AF03BF"/>
    <w:rsid w:val="18B43F7C"/>
    <w:rsid w:val="194A1770"/>
    <w:rsid w:val="19B906A4"/>
    <w:rsid w:val="19E55DCF"/>
    <w:rsid w:val="19FB026E"/>
    <w:rsid w:val="1B680134"/>
    <w:rsid w:val="1B6F15B6"/>
    <w:rsid w:val="1BAA2EDC"/>
    <w:rsid w:val="1C5C0973"/>
    <w:rsid w:val="1CA55E64"/>
    <w:rsid w:val="1D014A01"/>
    <w:rsid w:val="1D022362"/>
    <w:rsid w:val="1D1B04B0"/>
    <w:rsid w:val="1D6534C4"/>
    <w:rsid w:val="1DBD6767"/>
    <w:rsid w:val="1DC52125"/>
    <w:rsid w:val="1DD26311"/>
    <w:rsid w:val="1E1956D7"/>
    <w:rsid w:val="1E374ACB"/>
    <w:rsid w:val="1E5E27E3"/>
    <w:rsid w:val="1EA33588"/>
    <w:rsid w:val="1EB57761"/>
    <w:rsid w:val="1ECF0A66"/>
    <w:rsid w:val="1EEA39D0"/>
    <w:rsid w:val="1EF67CA4"/>
    <w:rsid w:val="1F020D3A"/>
    <w:rsid w:val="1F2C5189"/>
    <w:rsid w:val="1F4B0B02"/>
    <w:rsid w:val="1FBB35CD"/>
    <w:rsid w:val="1FCD26AF"/>
    <w:rsid w:val="20642787"/>
    <w:rsid w:val="20D611B3"/>
    <w:rsid w:val="21556F04"/>
    <w:rsid w:val="2170280A"/>
    <w:rsid w:val="22403BD3"/>
    <w:rsid w:val="22C21FBD"/>
    <w:rsid w:val="23DA37D9"/>
    <w:rsid w:val="24B92327"/>
    <w:rsid w:val="24C14514"/>
    <w:rsid w:val="2533755C"/>
    <w:rsid w:val="25791755"/>
    <w:rsid w:val="26396DF4"/>
    <w:rsid w:val="27167136"/>
    <w:rsid w:val="27B23302"/>
    <w:rsid w:val="27B53288"/>
    <w:rsid w:val="29310A5F"/>
    <w:rsid w:val="29C37A35"/>
    <w:rsid w:val="2A076083"/>
    <w:rsid w:val="2A73162E"/>
    <w:rsid w:val="2A751F0B"/>
    <w:rsid w:val="2B167953"/>
    <w:rsid w:val="2B200583"/>
    <w:rsid w:val="2B220436"/>
    <w:rsid w:val="2B8209DE"/>
    <w:rsid w:val="2BBC5BA4"/>
    <w:rsid w:val="2C6762A3"/>
    <w:rsid w:val="2D5375A3"/>
    <w:rsid w:val="2E28724B"/>
    <w:rsid w:val="2E2F7439"/>
    <w:rsid w:val="2EBF7B3E"/>
    <w:rsid w:val="2EDE1934"/>
    <w:rsid w:val="2FCA4B37"/>
    <w:rsid w:val="2FE029D7"/>
    <w:rsid w:val="2FF06E00"/>
    <w:rsid w:val="30562E26"/>
    <w:rsid w:val="30586FEC"/>
    <w:rsid w:val="30EC7046"/>
    <w:rsid w:val="315F0B22"/>
    <w:rsid w:val="319D022C"/>
    <w:rsid w:val="31C30A54"/>
    <w:rsid w:val="31C90022"/>
    <w:rsid w:val="31D84415"/>
    <w:rsid w:val="32285F6F"/>
    <w:rsid w:val="326A4B7F"/>
    <w:rsid w:val="32770556"/>
    <w:rsid w:val="329C0913"/>
    <w:rsid w:val="32AA0460"/>
    <w:rsid w:val="3337290D"/>
    <w:rsid w:val="33B97A19"/>
    <w:rsid w:val="33E31118"/>
    <w:rsid w:val="33EF7674"/>
    <w:rsid w:val="342D7BC6"/>
    <w:rsid w:val="34475F39"/>
    <w:rsid w:val="352930DB"/>
    <w:rsid w:val="35464D3C"/>
    <w:rsid w:val="35573069"/>
    <w:rsid w:val="355F6038"/>
    <w:rsid w:val="358C217E"/>
    <w:rsid w:val="35937598"/>
    <w:rsid w:val="36384DED"/>
    <w:rsid w:val="36C9128A"/>
    <w:rsid w:val="372E3953"/>
    <w:rsid w:val="376F40DE"/>
    <w:rsid w:val="37841E99"/>
    <w:rsid w:val="37BF1123"/>
    <w:rsid w:val="383C3F15"/>
    <w:rsid w:val="38BE4696"/>
    <w:rsid w:val="3939115E"/>
    <w:rsid w:val="394341F8"/>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1E2CFD"/>
    <w:rsid w:val="3E42660A"/>
    <w:rsid w:val="3E7555B1"/>
    <w:rsid w:val="3E787ED9"/>
    <w:rsid w:val="3EC86110"/>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1F56E03"/>
    <w:rsid w:val="426554D0"/>
    <w:rsid w:val="426C1EA8"/>
    <w:rsid w:val="42736402"/>
    <w:rsid w:val="42E86A87"/>
    <w:rsid w:val="43307B09"/>
    <w:rsid w:val="43470647"/>
    <w:rsid w:val="438D0E97"/>
    <w:rsid w:val="43BB152F"/>
    <w:rsid w:val="43D95D3C"/>
    <w:rsid w:val="44494994"/>
    <w:rsid w:val="44C37687"/>
    <w:rsid w:val="457778E4"/>
    <w:rsid w:val="45CB699A"/>
    <w:rsid w:val="465B470D"/>
    <w:rsid w:val="469D6AD4"/>
    <w:rsid w:val="471E6C84"/>
    <w:rsid w:val="4748792B"/>
    <w:rsid w:val="475D719D"/>
    <w:rsid w:val="47674801"/>
    <w:rsid w:val="48225EF7"/>
    <w:rsid w:val="487949F2"/>
    <w:rsid w:val="488F422B"/>
    <w:rsid w:val="48E36915"/>
    <w:rsid w:val="495C4A24"/>
    <w:rsid w:val="497135DF"/>
    <w:rsid w:val="4A1605D9"/>
    <w:rsid w:val="4A263DF2"/>
    <w:rsid w:val="4A6F6675"/>
    <w:rsid w:val="4AB907C9"/>
    <w:rsid w:val="4ABF0746"/>
    <w:rsid w:val="4B0502DF"/>
    <w:rsid w:val="4B135857"/>
    <w:rsid w:val="4B7951CB"/>
    <w:rsid w:val="4B7C315C"/>
    <w:rsid w:val="4C16778A"/>
    <w:rsid w:val="4CCF773C"/>
    <w:rsid w:val="4D663A79"/>
    <w:rsid w:val="4DAC4ACA"/>
    <w:rsid w:val="4DBE01D2"/>
    <w:rsid w:val="4DCD2530"/>
    <w:rsid w:val="4EC92552"/>
    <w:rsid w:val="4EFC6D10"/>
    <w:rsid w:val="4F0C6BA3"/>
    <w:rsid w:val="4F10477D"/>
    <w:rsid w:val="4F186D58"/>
    <w:rsid w:val="4F1E06CA"/>
    <w:rsid w:val="4FEA65B7"/>
    <w:rsid w:val="50371DAF"/>
    <w:rsid w:val="5042146E"/>
    <w:rsid w:val="50F06B6E"/>
    <w:rsid w:val="51F0197C"/>
    <w:rsid w:val="52234D33"/>
    <w:rsid w:val="52261ABA"/>
    <w:rsid w:val="522F6E0C"/>
    <w:rsid w:val="52463BA1"/>
    <w:rsid w:val="5298794F"/>
    <w:rsid w:val="52AE68D6"/>
    <w:rsid w:val="52C71D9D"/>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913384B"/>
    <w:rsid w:val="5A3B59D6"/>
    <w:rsid w:val="5A4D2DC6"/>
    <w:rsid w:val="5AD134D8"/>
    <w:rsid w:val="5B6503B1"/>
    <w:rsid w:val="5C0F7EC4"/>
    <w:rsid w:val="5C263CE4"/>
    <w:rsid w:val="5C5D2777"/>
    <w:rsid w:val="5CF66BF3"/>
    <w:rsid w:val="5D290C69"/>
    <w:rsid w:val="5D377418"/>
    <w:rsid w:val="5D3F7E30"/>
    <w:rsid w:val="5F2D4A41"/>
    <w:rsid w:val="5F3F49BE"/>
    <w:rsid w:val="5FB87FC0"/>
    <w:rsid w:val="5FD200E8"/>
    <w:rsid w:val="600E35DE"/>
    <w:rsid w:val="60C74F6C"/>
    <w:rsid w:val="61025A59"/>
    <w:rsid w:val="613D5BBC"/>
    <w:rsid w:val="61536C39"/>
    <w:rsid w:val="616C6631"/>
    <w:rsid w:val="61E64F4A"/>
    <w:rsid w:val="623E0993"/>
    <w:rsid w:val="62704D13"/>
    <w:rsid w:val="62944DD7"/>
    <w:rsid w:val="6319381F"/>
    <w:rsid w:val="63236436"/>
    <w:rsid w:val="63C25DC5"/>
    <w:rsid w:val="63C62057"/>
    <w:rsid w:val="64571EF5"/>
    <w:rsid w:val="649D2A23"/>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957325E"/>
    <w:rsid w:val="6AAD2300"/>
    <w:rsid w:val="6B474EF5"/>
    <w:rsid w:val="6B5D49EA"/>
    <w:rsid w:val="6BBF53FD"/>
    <w:rsid w:val="6C0F099F"/>
    <w:rsid w:val="6C342EC5"/>
    <w:rsid w:val="6C560CAE"/>
    <w:rsid w:val="6C576495"/>
    <w:rsid w:val="6D5808E1"/>
    <w:rsid w:val="6D903FF5"/>
    <w:rsid w:val="6DA955B8"/>
    <w:rsid w:val="6DE346AB"/>
    <w:rsid w:val="6DE5391A"/>
    <w:rsid w:val="6E6241F6"/>
    <w:rsid w:val="6EFD1324"/>
    <w:rsid w:val="6F5A53AC"/>
    <w:rsid w:val="6FAC003D"/>
    <w:rsid w:val="6FE55E12"/>
    <w:rsid w:val="6FFB2E76"/>
    <w:rsid w:val="708F6F7F"/>
    <w:rsid w:val="70D94BD3"/>
    <w:rsid w:val="71520131"/>
    <w:rsid w:val="71B5229C"/>
    <w:rsid w:val="71C34D91"/>
    <w:rsid w:val="72DB435C"/>
    <w:rsid w:val="72E2613A"/>
    <w:rsid w:val="72F771F4"/>
    <w:rsid w:val="734150D5"/>
    <w:rsid w:val="736650B0"/>
    <w:rsid w:val="73934AD2"/>
    <w:rsid w:val="741D1BCC"/>
    <w:rsid w:val="750837F0"/>
    <w:rsid w:val="754758CF"/>
    <w:rsid w:val="761275E6"/>
    <w:rsid w:val="764F62AB"/>
    <w:rsid w:val="765C45EC"/>
    <w:rsid w:val="768A7619"/>
    <w:rsid w:val="76AA36E6"/>
    <w:rsid w:val="76B85551"/>
    <w:rsid w:val="772E1EBA"/>
    <w:rsid w:val="77303AE2"/>
    <w:rsid w:val="77EB79F7"/>
    <w:rsid w:val="796D60A4"/>
    <w:rsid w:val="79A031D5"/>
    <w:rsid w:val="79FE40CE"/>
    <w:rsid w:val="7A1525F7"/>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6"/>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paragraph" w:styleId="7">
    <w:name w:val="Title"/>
    <w:basedOn w:val="1"/>
    <w:next w:val="1"/>
    <w:qFormat/>
    <w:uiPriority w:val="0"/>
    <w:pPr>
      <w:spacing w:before="240" w:after="60"/>
      <w:jc w:val="center"/>
      <w:outlineLvl w:val="0"/>
    </w:pPr>
    <w:rPr>
      <w:rFonts w:ascii="Cambria" w:hAnsi="Cambria" w:eastAsia="宋体" w:cs="Times New Roman"/>
      <w:b/>
      <w:bCs/>
    </w:rPr>
  </w:style>
  <w:style w:type="character" w:styleId="9">
    <w:name w:val="Strong"/>
    <w:qFormat/>
    <w:uiPriority w:val="0"/>
    <w:rPr>
      <w:b/>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8"/>
    <w:link w:val="2"/>
    <w:qFormat/>
    <w:uiPriority w:val="0"/>
    <w:rPr>
      <w:rFonts w:ascii="宋体" w:hAnsi="宋体"/>
      <w:sz w:val="18"/>
      <w:szCs w:val="18"/>
    </w:rPr>
  </w:style>
  <w:style w:type="paragraph" w:customStyle="1" w:styleId="17">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4032</Words>
  <Characters>22989</Characters>
  <Lines>191</Lines>
  <Paragraphs>53</Paragraphs>
  <TotalTime>0</TotalTime>
  <ScaleCrop>false</ScaleCrop>
  <LinksUpToDate>false</LinksUpToDate>
  <CharactersWithSpaces>26968</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cp:lastModifiedBy>
  <cp:lastPrinted>2025-08-28T06:35:00Z</cp:lastPrinted>
  <dcterms:modified xsi:type="dcterms:W3CDTF">2025-10-29T07:52:03Z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