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  <w:bookmarkStart w:id="0" w:name="_Hlk37239649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重庆市渝中区人民政府南纪门街道办事处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4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关于印发《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南纪门</w:t>
      </w:r>
      <w:r>
        <w:rPr>
          <w:rFonts w:hint="eastAsia" w:ascii="方正小标宋_GBK" w:eastAsia="方正小标宋_GBK" w:cs="方正小标宋_GBK"/>
          <w:sz w:val="44"/>
          <w:szCs w:val="44"/>
        </w:rPr>
        <w:t>街道</w:t>
      </w:r>
      <w:r>
        <w:rPr>
          <w:rFonts w:hint="eastAsia" w:asci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2023年高层建筑及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4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老旧小区用电用气安全“除险清患”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4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专项行动</w:t>
      </w:r>
      <w:r>
        <w:rPr>
          <w:rFonts w:hint="eastAsia" w:ascii="方正小标宋_GBK" w:eastAsia="方正小标宋_GBK" w:cs="方正小标宋_GBK"/>
          <w:sz w:val="44"/>
          <w:szCs w:val="44"/>
        </w:rPr>
        <w:t>工作方案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各科室、各社区：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经研究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决定将《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南纪门</w:t>
      </w:r>
      <w:r>
        <w:rPr>
          <w:rFonts w:ascii="Times New Roman" w:hAnsi="Times New Roman" w:eastAsia="方正仿宋_GBK" w:cs="Times New Roman"/>
          <w:sz w:val="32"/>
          <w:szCs w:val="32"/>
        </w:rPr>
        <w:t>街道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2023年高层建筑及老旧小区用电用气安全“除险清患”专项行动</w:t>
      </w:r>
      <w:r>
        <w:rPr>
          <w:rFonts w:ascii="Times New Roman" w:hAnsi="Times New Roman" w:eastAsia="方正仿宋_GBK" w:cs="Times New Roman"/>
          <w:sz w:val="32"/>
          <w:szCs w:val="32"/>
        </w:rPr>
        <w:t>工作方案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》印发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给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重庆市渝中区人民政府南纪门街道办事处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>023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eastAsia="zh-CN"/>
        </w:rPr>
        <w:sectPr>
          <w:pgSz w:w="11906" w:h="16838"/>
          <w:pgMar w:top="1984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南纪门</w:t>
      </w:r>
      <w:r>
        <w:rPr>
          <w:rFonts w:hint="eastAsia" w:ascii="方正小标宋_GBK" w:eastAsia="方正小标宋_GBK" w:cs="方正小标宋_GBK"/>
          <w:sz w:val="44"/>
          <w:szCs w:val="44"/>
        </w:rPr>
        <w:t>街道</w:t>
      </w:r>
      <w:r>
        <w:rPr>
          <w:rFonts w:hint="eastAsia" w:asci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2023年高层建筑及老旧小区用电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用气安全“除险清患”专项行动</w:t>
      </w:r>
      <w:r>
        <w:rPr>
          <w:rFonts w:hint="eastAsia" w:ascii="方正小标宋_GBK" w:eastAsia="方正小标宋_GBK" w:cs="方正小标宋_GBK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4" w:lineRule="exact"/>
        <w:ind w:firstLine="707" w:firstLineChars="221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4" w:lineRule="exact"/>
        <w:ind w:firstLine="707" w:firstLineChars="221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根据区委、区政府关于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lang w:eastAsia="zh-CN"/>
        </w:rPr>
        <w:t>全区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高层建筑及老旧小区用电用气安全“除险清患”专项行动工作部署安排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高层建筑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及老旧小区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用电用气安全“除险清患”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专项行动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领导小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组关于《渝中区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2023年高层建筑及老旧小区用电用气安全“除险清患”专项行动实施方案》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（渝中经信发〔20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号），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结合我街高层建筑及老旧小区用电用气安全实际，制定本方案。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4" w:lineRule="exact"/>
        <w:ind w:lef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以习近平新时代中国特色社会主义思想为指导，深入学习贯彻党的二十大精神，按照党中央、国务院决策部署和市委市政府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及区委区政府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工作安排，坚持“政府主导、部门指导、单位主责、综合治理、标本兼治”原则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聚焦高层建筑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及老旧小区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用电用气安全重点对象和主要风险点，全面开展排查整治和综合治理，坚决遏制较大及以上生产安全事故，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保护人民群众生命财产安全和公共安全，为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辖区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经济社会发展提供坚实的能源保障和安全环境。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4" w:lineRule="exact"/>
        <w:ind w:left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二、 整治内容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4" w:lineRule="exact"/>
        <w:ind w:left="0" w:firstLine="640" w:firstLineChars="200"/>
        <w:jc w:val="both"/>
        <w:textAlignment w:val="auto"/>
        <w:outlineLvl w:val="9"/>
        <w:rPr>
          <w:rFonts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主要整治内容为电气线路私拉乱接、电缆井内电气线路敷设不规范，防火封堵被破坏，电动自行车在楼道内停放充电；燃气管道、设施、用具敷设安装使用不规范，违规使用瓶装液化气等情形。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成立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南纪门街道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高层建筑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及老旧小区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用电用气安全“除险清患”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专项行动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领导小组，负责牵头组织和统筹推进高层建筑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及老旧小区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用电用气安全综合治理工作。由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办事处主任陈烁任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组长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，党工委组织委员林滟、办事处副主任冯红军、办事处副主任彭刚任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副组长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，经发办、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规建环办、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应急办、各社区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小组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领导小组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下设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办公室在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经发办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，办公室主任由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林滟兼任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副主任由舒畅兼任，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负责高层建筑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及老旧小区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用电用气安全“除险清患”专项行动日常工作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firstLine="640" w:firstLineChars="200"/>
        <w:textAlignment w:val="auto"/>
        <w:outlineLvl w:val="9"/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eastAsia="zh-CN"/>
        </w:rPr>
        <w:t>四、整治重点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  <w:lang w:eastAsia="zh-CN"/>
        </w:rPr>
        <w:t>（一）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楼栋转换层、架空层、设备层等空间。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用电方面重点排查整治电气线路敷设不规范。用气方面重点排查整治燃气管道设施老化锈蚀，转换层使用燃气用具，改变转换层用途造成燃气管道穿越卧室、卫生间，违规包裹、圈围燃气管道设施，违规使用、储存液化石油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  <w:lang w:eastAsia="zh-CN"/>
        </w:rPr>
        <w:t>（二）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地下室、半地下室、车库、庭院等空间。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用电方面重点排查整治私拉乱接电线，超负荷使用大功率电气设备。用气方面重点排查整治违规改造圈围燃气管道设施，未规范安装使用可燃气体泄漏报警装置，未规范安装使用机械送排风装置，违规包裹、圈围燃气管道设施，排水管道、化粪池、电力线路、发电设备与燃气管道间距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  <w:lang w:eastAsia="zh-CN"/>
        </w:rPr>
        <w:t>（三）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楼道、大厅等空间。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用电方面重点排查整治违规私拉 乱接，电缆井内电气线路敷设不规范，防火封堵不规范。用气方面重点排查整治燃气管道设施老化锈蚀，未规范安装使用可燃气体泄漏报警装置，未规范安装使用机械送排风装置。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  <w:lang w:eastAsia="zh-CN"/>
        </w:rPr>
        <w:t>（四）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单位用户。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用电方面重点排查整治高层建筑内教培、餐饮、民宿、商超等单位用户超负荷使用大功率电气设备，电气设备附近堆放易燃物品，外露电线绝缘层老化、破损。用气方面重点排查整治高层建筑内教培、餐饮、民宿、商超等用户燃气灶、热水器等燃气用具安装不规范或超期使用，私拉乱接燃气管道，未安装或停用可燃气体泄漏报警装置，可燃气体泄漏报警装置信号未接入消防控制系统，管道气和液化石油气混用，二楼及以上楼层违规使用液化石油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  <w:lang w:eastAsia="zh-CN"/>
        </w:rPr>
        <w:t>（五）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居民用户。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用电方面重点排查整治居民用户、群租房超负荷使用大功率电器，电取暖设备附近堆放易燃物品，外露电 线绝缘层老化、破损。用气方面重点排查整治居民用户、群租房  私拉乱接燃气管道，燃气灶、热水器等燃气用具无产品合格证书、安装不规范或超期使用，燃气灶具无熄火保护装置，表后管道非燃气专用管道或超期使用，户内立管和表具老化锈蚀，二楼及以上楼层违规使用液化石油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五、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整治方式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  <w:lang w:eastAsia="zh-CN"/>
        </w:rPr>
        <w:t>（一）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用户自查。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各社区牵头，摸清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高层建筑、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老旧小区底数，建立基础台账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高层建筑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老旧小区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物业管理单位对楼栋转换层、架空层、地下室、半地下室、车库、庭院等公共空间开展自查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无物业管理单位的由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民委员会人员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组织开展自查；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组织高层建筑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老旧小区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内餐饮、教培、医疗、民宿、商超、仓储等单位用户对用电用气设施开展自查。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高层建筑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自查情况录入“一楼一档”清单(见附件1)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老旧小区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自查情况录入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渝中区老旧小区用电用气“除险清患”情况表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(见附件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  <w:lang w:eastAsia="zh-CN"/>
        </w:rPr>
        <w:t>（二）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专业检查。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各社区牵头，相关科室配合，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组织供电企业、燃气企业对高层建筑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老旧小区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责任范围内设施，以及楼栋转换层、架空层、地下室、半地下室、车库、充电设施、庭院等公共空间开展检查；组织燃气企业对两年未实质入户居民用户、入户检查存在隐患的用户开展入户检查；组织物业管理单位、供电企业专业人员对居民用户户内用电安全开展指导；组织供电企业、燃气企业对餐饮、教培、医疗、民宿、商超、仓储等单位用户开展入户检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专业检查情况录入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一楼一档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清单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和老旧小区用电用气“除险清患”情况表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  <w:lang w:eastAsia="zh-CN"/>
        </w:rPr>
        <w:t>（三）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隐患整治。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社区牵头，相关科室配合，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综合用户自查、专业检查情况，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对高层建筑、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老旧小区排查的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隐患清单，根据权属和管理责任落实整治责任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并将整治情况录入高层建筑用电用气“一楼一策”清单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(见附件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)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和老旧小区用电用气“除险清患”情况表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其中，楼栋转换层、架空层、地下室、半地下室、车库、庭院等公共空间发现隐患，由供电企业、燃气经营企业、物业管理单位、用户等按权属和管理责任负责整改。单位用户负责权属和管理责任范围内隐患整改。居民用户产权隐患由用户负责整改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各社区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、相关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科室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负责隐患整改督促指导。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4" w:lineRule="exact"/>
        <w:ind w:left="0"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六、</w:t>
      </w:r>
      <w:r>
        <w:rPr>
          <w:rFonts w:ascii="Times New Roman" w:hAnsi="Times New Roman" w:eastAsia="方正黑体_GBK" w:cs="Times New Roman"/>
          <w:sz w:val="32"/>
          <w:szCs w:val="32"/>
        </w:rPr>
        <w:t>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707" w:firstLineChars="221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经发办：</w:t>
      </w:r>
      <w:r>
        <w:rPr>
          <w:rFonts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>统筹</w:t>
      </w:r>
      <w:r>
        <w:rPr>
          <w:rFonts w:ascii="Times New Roman" w:hAnsi="Times New Roman" w:eastAsia="方正仿宋_GBK" w:cs="Times New Roman"/>
          <w:sz w:val="32"/>
          <w:szCs w:val="32"/>
        </w:rPr>
        <w:t>全街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高层建筑及老旧小区用电用气安全“除险清患”专项行动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各项</w:t>
      </w:r>
      <w:r>
        <w:rPr>
          <w:rFonts w:ascii="Times New Roman" w:hAnsi="Times New Roman" w:eastAsia="方正仿宋_GBK" w:cs="Times New Roman"/>
          <w:sz w:val="32"/>
          <w:szCs w:val="32"/>
        </w:rPr>
        <w:t>工作，并加强与区经信委、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国网重庆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区供电分公司、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重庆燃气集团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渝中分公司</w:t>
      </w:r>
      <w:r>
        <w:rPr>
          <w:rFonts w:ascii="Times New Roman" w:hAnsi="Times New Roman" w:eastAsia="方正仿宋_GBK" w:cs="Times New Roman"/>
          <w:sz w:val="32"/>
          <w:szCs w:val="32"/>
        </w:rPr>
        <w:t>的工作对接，及时调度解决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专项行动</w:t>
      </w:r>
      <w:r>
        <w:rPr>
          <w:rFonts w:ascii="Times New Roman" w:hAnsi="Times New Roman" w:eastAsia="方正仿宋_GBK" w:cs="Times New Roman"/>
          <w:sz w:val="32"/>
          <w:szCs w:val="32"/>
        </w:rPr>
        <w:t>推进过程中遇到的困难和问题。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707" w:firstLineChars="221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规建办：</w:t>
      </w:r>
      <w:r>
        <w:rPr>
          <w:rFonts w:ascii="Times New Roman" w:hAnsi="Times New Roman" w:eastAsia="方正仿宋_GBK" w:cs="Times New Roman"/>
          <w:sz w:val="32"/>
          <w:szCs w:val="32"/>
        </w:rPr>
        <w:t>牵头组织各社区老旧物业中心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、辖区各物业单位</w:t>
      </w:r>
      <w:r>
        <w:rPr>
          <w:rFonts w:ascii="Times New Roman" w:hAnsi="Times New Roman" w:eastAsia="方正仿宋_GBK" w:cs="Times New Roman"/>
          <w:sz w:val="32"/>
          <w:szCs w:val="32"/>
        </w:rPr>
        <w:t>完成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高层建筑及老旧小区用电用气安全</w:t>
      </w:r>
      <w:r>
        <w:rPr>
          <w:rFonts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排查检查，建立高层建筑用电用气安全“ 一楼一档”</w:t>
      </w:r>
      <w:r>
        <w:rPr>
          <w:rFonts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和老旧小区</w:t>
      </w:r>
      <w:r>
        <w:rPr>
          <w:rFonts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“除险清患”</w:t>
      </w:r>
      <w:r>
        <w:rPr>
          <w:rFonts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隐患清单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组织物业管理单位对居民用户户内用电安全开展指导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707" w:firstLineChars="221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应急办：</w:t>
      </w:r>
      <w:r>
        <w:rPr>
          <w:rFonts w:ascii="Times New Roman" w:hAnsi="Times New Roman" w:eastAsia="方正仿宋_GBK" w:cs="Times New Roman"/>
          <w:sz w:val="32"/>
          <w:szCs w:val="32"/>
        </w:rPr>
        <w:t>负责加强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专项行动</w:t>
      </w:r>
      <w:r>
        <w:rPr>
          <w:rFonts w:ascii="Times New Roman" w:hAnsi="Times New Roman" w:eastAsia="方正仿宋_GBK" w:cs="Times New Roman"/>
          <w:sz w:val="32"/>
          <w:szCs w:val="32"/>
        </w:rPr>
        <w:t>推进过程中的安全督导检查，做好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工作推进中</w:t>
      </w:r>
      <w:r>
        <w:rPr>
          <w:rFonts w:ascii="Times New Roman" w:hAnsi="Times New Roman" w:eastAsia="方正仿宋_GBK" w:cs="Times New Roman"/>
          <w:sz w:val="32"/>
          <w:szCs w:val="32"/>
        </w:rPr>
        <w:t>可能发生突发情况的应急处置。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707" w:firstLineChars="221"/>
        <w:textAlignment w:val="auto"/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各社区：</w:t>
      </w:r>
      <w:r>
        <w:rPr>
          <w:rFonts w:ascii="Times New Roman" w:hAnsi="Times New Roman" w:eastAsia="方正仿宋_GBK" w:cs="Times New Roman"/>
          <w:sz w:val="32"/>
          <w:szCs w:val="32"/>
        </w:rPr>
        <w:t>成立本社区工作专班，按照任务分工和工作进度，</w:t>
      </w:r>
      <w:r>
        <w:rPr>
          <w:rFonts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建立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无物业管理单位的</w:t>
      </w:r>
      <w:r>
        <w:rPr>
          <w:rFonts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高层建筑用电用气安全“ 一楼一档”</w:t>
      </w:r>
      <w:r>
        <w:rPr>
          <w:rFonts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/>
        </w:rPr>
        <w:t>和隐患清单</w:t>
      </w:r>
      <w:r>
        <w:rPr>
          <w:rFonts w:ascii="Times New Roman" w:hAnsi="Times New Roman" w:eastAsia="方正仿宋_GBK" w:cs="Times New Roman"/>
          <w:color w:val="000000"/>
          <w:spacing w:val="0"/>
          <w:kern w:val="0"/>
          <w:sz w:val="32"/>
          <w:szCs w:val="32"/>
        </w:rPr>
        <w:t>，明确整改责任、整改措施、整改时限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4" w:lineRule="exact"/>
        <w:ind w:firstLine="707" w:firstLineChars="221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七、</w:t>
      </w:r>
      <w:r>
        <w:rPr>
          <w:rFonts w:ascii="Times New Roman" w:hAnsi="Times New Roman" w:eastAsia="方正黑体_GBK" w:cs="Times New Roman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4" w:lineRule="exact"/>
        <w:ind w:firstLine="707" w:firstLineChars="221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（一）加强组织领导。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  <w:t>各科室、社区</w:t>
      </w:r>
      <w:r>
        <w:rPr>
          <w:rFonts w:ascii="Times New Roman" w:hAnsi="Times New Roman" w:eastAsia="方正仿宋_GBK" w:cs="Times New Roman"/>
          <w:sz w:val="32"/>
          <w:szCs w:val="32"/>
        </w:rPr>
        <w:t>要高度重视，进一步提高政治站位，切实增强责任意识、大局意识，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高层建筑及老旧小区用电用气安全“除险清患”专项行动</w:t>
      </w:r>
      <w:r>
        <w:rPr>
          <w:rFonts w:ascii="Times New Roman" w:hAnsi="Times New Roman" w:eastAsia="方正仿宋_GBK" w:cs="Times New Roman"/>
          <w:sz w:val="32"/>
          <w:szCs w:val="32"/>
        </w:rPr>
        <w:t>工作纳入重要议事日程；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各社区</w:t>
      </w:r>
      <w:r>
        <w:rPr>
          <w:rFonts w:ascii="Times New Roman" w:hAnsi="Times New Roman" w:eastAsia="方正仿宋_GBK" w:cs="Times New Roman"/>
          <w:sz w:val="32"/>
          <w:szCs w:val="32"/>
        </w:rPr>
        <w:t>要加强组织领导，成立工作专班，配齐配强工作力量，周密部署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打表推进，确保按期保质完成。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4" w:lineRule="exact"/>
        <w:ind w:firstLine="707" w:firstLineChars="221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（二）形成工作合力。</w:t>
      </w:r>
      <w:r>
        <w:rPr>
          <w:rFonts w:ascii="Times New Roman" w:hAnsi="Times New Roman" w:eastAsia="方正仿宋_GBK" w:cs="Times New Roman"/>
          <w:sz w:val="32"/>
          <w:szCs w:val="32"/>
        </w:rPr>
        <w:t>要建立完善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高层建筑及老旧小区用电用气安全“除险清患”专项行动</w:t>
      </w:r>
      <w:r>
        <w:rPr>
          <w:rFonts w:ascii="Times New Roman" w:hAnsi="Times New Roman" w:eastAsia="方正仿宋_GBK" w:cs="Times New Roman"/>
          <w:sz w:val="32"/>
          <w:szCs w:val="32"/>
        </w:rPr>
        <w:t>工作推进联动机制，建立工作微信群，设立联络员，有效畅通街道、社区、物业、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电力、</w:t>
      </w:r>
      <w:r>
        <w:rPr>
          <w:rFonts w:ascii="Times New Roman" w:hAnsi="Times New Roman" w:eastAsia="方正仿宋_GBK" w:cs="Times New Roman"/>
          <w:sz w:val="32"/>
          <w:szCs w:val="32"/>
        </w:rPr>
        <w:t>燃气经营企业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联络渠道，及时收集汇总、分析研判并解决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工作推进</w:t>
      </w:r>
      <w:r>
        <w:rPr>
          <w:rFonts w:ascii="Times New Roman" w:hAnsi="Times New Roman" w:eastAsia="方正仿宋_GBK" w:cs="Times New Roman"/>
          <w:sz w:val="32"/>
          <w:szCs w:val="32"/>
        </w:rPr>
        <w:t>过程中存在的问题。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（三）加强</w:t>
      </w:r>
      <w:r>
        <w:rPr>
          <w:rFonts w:ascii="Times New Roman" w:hAnsi="Times New Roman" w:eastAsia="方正楷体_GBK" w:cs="Times New Roman"/>
          <w:sz w:val="32"/>
          <w:szCs w:val="32"/>
          <w:lang w:eastAsia="zh-CN"/>
        </w:rPr>
        <w:t>工作</w:t>
      </w:r>
      <w:r>
        <w:rPr>
          <w:rFonts w:ascii="Times New Roman" w:hAnsi="Times New Roman" w:eastAsia="方正楷体_GBK" w:cs="Times New Roman"/>
          <w:sz w:val="32"/>
          <w:szCs w:val="32"/>
        </w:rPr>
        <w:t>调度。</w:t>
      </w:r>
      <w:r>
        <w:rPr>
          <w:rFonts w:ascii="Times New Roman" w:hAnsi="Times New Roman" w:eastAsia="方正仿宋_GBK" w:cs="Times New Roman"/>
          <w:sz w:val="32"/>
          <w:szCs w:val="32"/>
        </w:rPr>
        <w:t>街道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高层建筑及老旧小区用电用气安全“除险清患”专项行动</w:t>
      </w:r>
      <w:r>
        <w:rPr>
          <w:rFonts w:ascii="Times New Roman" w:hAnsi="Times New Roman" w:eastAsia="方正仿宋_GBK" w:cs="Times New Roman"/>
          <w:sz w:val="32"/>
          <w:szCs w:val="32"/>
        </w:rPr>
        <w:t>工作专班每月组织召开一次专班工作会议，调度工作推进情况，统筹协调解决工作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推进</w:t>
      </w:r>
      <w:r>
        <w:rPr>
          <w:rFonts w:ascii="Times New Roman" w:hAnsi="Times New Roman" w:eastAsia="方正仿宋_GBK" w:cs="Times New Roman"/>
          <w:sz w:val="32"/>
          <w:szCs w:val="32"/>
        </w:rPr>
        <w:t>中存在的重大困难和问题。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3"/>
        <w:numPr>
          <w:ilvl w:val="0"/>
          <w:numId w:val="0"/>
        </w:numPr>
        <w:rPr>
          <w:rFonts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附件：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高层建筑用电用气“除险清患”“ 一楼一档”表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高层建筑用电用气“除险清患”“ 一楼一策”表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1600" w:firstLineChars="500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渝中区老旧小区</w:t>
      </w:r>
      <w:r>
        <w:rPr>
          <w:rFonts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用电用气“除险清患”情况表</w:t>
      </w:r>
    </w:p>
    <w:p>
      <w:pPr>
        <w:pStyle w:val="5"/>
        <w:rPr>
          <w:rFonts w:ascii="Times New Roman" w:hAnsi="Times New Roman" w:cs="Times New Roman"/>
          <w:lang w:val="en-US" w:eastAsia="zh-CN"/>
        </w:rPr>
      </w:pPr>
    </w:p>
    <w:p>
      <w:pPr>
        <w:rPr>
          <w:rFonts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center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</w:p>
    <w:p>
      <w:pPr>
        <w:spacing w:before="107" w:line="223" w:lineRule="auto"/>
        <w:rPr>
          <w:rFonts w:hint="eastAsia" w:asci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 w:cs="方正黑体_GBK"/>
          <w:b w:val="0"/>
          <w:bCs w:val="0"/>
          <w:spacing w:val="10"/>
          <w:sz w:val="32"/>
          <w:szCs w:val="32"/>
        </w:rPr>
        <w:t>附件1</w:t>
      </w:r>
    </w:p>
    <w:p>
      <w:pPr>
        <w:spacing w:before="295" w:line="218" w:lineRule="auto"/>
        <w:jc w:val="center"/>
        <w:rPr>
          <w:rFonts w:hint="eastAsia" w:ascii="方正小标宋_GBK" w:eastAsia="方正小标宋_GBK" w:cs="方正小标宋_GBK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_GBK" w:eastAsia="方正小标宋_GBK" w:cs="方正小标宋_GBK"/>
          <w:b w:val="0"/>
          <w:bCs w:val="0"/>
          <w:spacing w:val="-14"/>
          <w:sz w:val="40"/>
          <w:szCs w:val="40"/>
        </w:rPr>
        <w:t>高层建筑用电用气“除险清患”“一楼一档”</w:t>
      </w:r>
      <w:r>
        <w:rPr>
          <w:rFonts w:hint="eastAsia" w:ascii="方正小标宋_GBK" w:eastAsia="方正小标宋_GBK" w:cs="方正小标宋_GBK"/>
          <w:b w:val="0"/>
          <w:bCs w:val="0"/>
          <w:spacing w:val="-14"/>
          <w:sz w:val="40"/>
          <w:szCs w:val="40"/>
          <w:lang w:eastAsia="zh-CN"/>
        </w:rPr>
        <w:t>表</w:t>
      </w:r>
    </w:p>
    <w:p>
      <w:pPr>
        <w:spacing w:before="327" w:line="228" w:lineRule="auto"/>
        <w:ind w:left="1024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8"/>
          <w:position w:val="1"/>
          <w:sz w:val="33"/>
          <w:szCs w:val="33"/>
        </w:rPr>
        <w:t>建筑名称：</w:t>
      </w:r>
      <w:r>
        <w:rPr>
          <w:rFonts w:ascii="仿宋" w:eastAsia="仿宋" w:cs="仿宋"/>
          <w:position w:val="1"/>
          <w:sz w:val="33"/>
          <w:szCs w:val="33"/>
          <w:u w:val="single" w:color="auto"/>
        </w:rPr>
        <w:t>XX</w:t>
      </w:r>
      <w:r>
        <w:rPr>
          <w:rFonts w:ascii="仿宋" w:eastAsia="仿宋" w:cs="仿宋"/>
          <w:spacing w:val="75"/>
          <w:position w:val="1"/>
          <w:sz w:val="33"/>
          <w:szCs w:val="33"/>
          <w:u w:val="single" w:color="auto"/>
        </w:rPr>
        <w:t>小区</w:t>
      </w:r>
      <w:r>
        <w:rPr>
          <w:rFonts w:ascii="仿宋" w:eastAsia="仿宋" w:cs="仿宋"/>
          <w:position w:val="1"/>
          <w:sz w:val="33"/>
          <w:szCs w:val="33"/>
          <w:u w:val="single" w:color="auto"/>
        </w:rPr>
        <w:t>XX</w:t>
      </w:r>
      <w:r>
        <w:rPr>
          <w:rFonts w:ascii="仿宋" w:eastAsia="仿宋" w:cs="仿宋"/>
          <w:spacing w:val="75"/>
          <w:position w:val="1"/>
          <w:sz w:val="33"/>
          <w:szCs w:val="33"/>
          <w:u w:val="single" w:color="auto"/>
        </w:rPr>
        <w:t>栋</w:t>
      </w:r>
      <w:r>
        <w:rPr>
          <w:rFonts w:ascii="仿宋" w:eastAsia="仿宋" w:cs="仿宋"/>
          <w:spacing w:val="6"/>
          <w:position w:val="1"/>
          <w:sz w:val="33"/>
          <w:szCs w:val="33"/>
        </w:rPr>
        <w:t xml:space="preserve">                      </w:t>
      </w:r>
      <w:r>
        <w:rPr>
          <w:rFonts w:ascii="仿宋" w:eastAsia="仿宋" w:cs="仿宋"/>
          <w:spacing w:val="75"/>
          <w:position w:val="-1"/>
          <w:sz w:val="33"/>
          <w:szCs w:val="33"/>
        </w:rPr>
        <w:t>建筑地址：</w:t>
      </w:r>
      <w:r>
        <w:rPr>
          <w:rFonts w:ascii="仿宋" w:eastAsia="仿宋" w:cs="仿宋"/>
          <w:position w:val="-1"/>
          <w:sz w:val="33"/>
          <w:szCs w:val="33"/>
          <w:u w:val="single" w:color="auto"/>
        </w:rPr>
        <w:t>XX</w:t>
      </w:r>
      <w:r>
        <w:rPr>
          <w:rFonts w:ascii="仿宋" w:eastAsia="仿宋" w:cs="仿宋"/>
          <w:spacing w:val="75"/>
          <w:position w:val="-1"/>
          <w:sz w:val="33"/>
          <w:szCs w:val="33"/>
          <w:u w:val="single" w:color="auto"/>
        </w:rPr>
        <w:t>街道</w:t>
      </w:r>
      <w:r>
        <w:rPr>
          <w:rFonts w:ascii="仿宋" w:eastAsia="仿宋" w:cs="仿宋"/>
          <w:position w:val="-1"/>
          <w:sz w:val="33"/>
          <w:szCs w:val="33"/>
          <w:u w:val="single" w:color="auto"/>
        </w:rPr>
        <w:t>XX</w:t>
      </w:r>
      <w:r>
        <w:rPr>
          <w:rFonts w:ascii="仿宋" w:eastAsia="仿宋" w:cs="仿宋"/>
          <w:spacing w:val="75"/>
          <w:position w:val="-1"/>
          <w:sz w:val="33"/>
          <w:szCs w:val="33"/>
          <w:u w:val="single" w:color="auto"/>
        </w:rPr>
        <w:t>号</w:t>
      </w:r>
    </w:p>
    <w:p>
      <w:pPr>
        <w:spacing w:before="90" w:line="206" w:lineRule="auto"/>
        <w:ind w:left="735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/>
          <w:sz w:val="22"/>
          <w:szCs w:val="22"/>
        </w:rPr>
        <w:t>注：建筑名称、地址与高层建筑信息采集系统保持一致</w:t>
      </w:r>
    </w:p>
    <w:tbl>
      <w:tblPr>
        <w:tblStyle w:val="9"/>
        <w:tblW w:w="13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1509"/>
        <w:gridCol w:w="1569"/>
        <w:gridCol w:w="1579"/>
        <w:gridCol w:w="1809"/>
        <w:gridCol w:w="1569"/>
        <w:gridCol w:w="1689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43" w:type="dxa"/>
            <w:vMerge w:val="restart"/>
            <w:tcBorders>
              <w:bottom w:val="nil"/>
            </w:tcBorders>
          </w:tcPr>
          <w:p>
            <w:pPr>
              <w:spacing w:line="406" w:lineRule="auto"/>
              <w:rPr>
                <w:rFonts w:ascii="Arial" w:hAnsi="Arial"/>
                <w:sz w:val="21"/>
              </w:rPr>
            </w:pPr>
          </w:p>
          <w:p>
            <w:pPr>
              <w:spacing w:before="62" w:line="218" w:lineRule="auto"/>
              <w:ind w:left="927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b/>
                <w:bCs/>
                <w:spacing w:val="-4"/>
                <w:sz w:val="19"/>
                <w:szCs w:val="19"/>
              </w:rPr>
              <w:t>对象</w:t>
            </w:r>
          </w:p>
        </w:tc>
        <w:tc>
          <w:tcPr>
            <w:tcW w:w="3078" w:type="dxa"/>
            <w:gridSpan w:val="2"/>
          </w:tcPr>
          <w:p>
            <w:pPr>
              <w:spacing w:before="180" w:line="221" w:lineRule="auto"/>
              <w:ind w:left="1154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b/>
                <w:bCs/>
                <w:spacing w:val="-4"/>
                <w:sz w:val="19"/>
                <w:szCs w:val="19"/>
              </w:rPr>
              <w:t>用户自查</w:t>
            </w:r>
          </w:p>
        </w:tc>
        <w:tc>
          <w:tcPr>
            <w:tcW w:w="3388" w:type="dxa"/>
            <w:gridSpan w:val="2"/>
          </w:tcPr>
          <w:p>
            <w:pPr>
              <w:spacing w:before="180" w:line="218" w:lineRule="auto"/>
              <w:ind w:left="736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b/>
                <w:bCs/>
                <w:spacing w:val="-3"/>
                <w:sz w:val="19"/>
                <w:szCs w:val="19"/>
              </w:rPr>
              <w:t>燃气经营企业专业检查</w:t>
            </w:r>
          </w:p>
        </w:tc>
        <w:tc>
          <w:tcPr>
            <w:tcW w:w="3258" w:type="dxa"/>
            <w:gridSpan w:val="2"/>
          </w:tcPr>
          <w:p>
            <w:pPr>
              <w:spacing w:before="182" w:line="218" w:lineRule="auto"/>
              <w:ind w:left="866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b/>
                <w:bCs/>
                <w:spacing w:val="-3"/>
                <w:sz w:val="19"/>
                <w:szCs w:val="19"/>
              </w:rPr>
              <w:t>电力企业专业检查</w:t>
            </w:r>
          </w:p>
        </w:tc>
        <w:tc>
          <w:tcPr>
            <w:tcW w:w="1883" w:type="dxa"/>
            <w:vMerge w:val="restart"/>
            <w:tcBorders>
              <w:bottom w:val="nil"/>
            </w:tcBorders>
          </w:tcPr>
          <w:p>
            <w:pPr>
              <w:spacing w:line="408" w:lineRule="auto"/>
              <w:rPr>
                <w:rFonts w:ascii="Arial" w:hAnsi="Arial"/>
                <w:sz w:val="21"/>
              </w:rPr>
            </w:pPr>
          </w:p>
          <w:p>
            <w:pPr>
              <w:spacing w:before="62" w:line="218" w:lineRule="auto"/>
              <w:ind w:left="458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-2"/>
                <w:sz w:val="19"/>
                <w:szCs w:val="19"/>
              </w:rPr>
              <w:t>确认隐患数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43" w:type="dxa"/>
            <w:vMerge w:val="continue"/>
            <w:tcBorders>
              <w:top w:val="nil"/>
            </w:tcBorders>
          </w:tcPr>
          <w:p/>
        </w:tc>
        <w:tc>
          <w:tcPr>
            <w:tcW w:w="1509" w:type="dxa"/>
          </w:tcPr>
          <w:p>
            <w:pPr>
              <w:spacing w:before="186" w:line="218" w:lineRule="auto"/>
              <w:ind w:left="364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19"/>
                <w:szCs w:val="19"/>
              </w:rPr>
              <w:t>检查时间</w:t>
            </w:r>
          </w:p>
        </w:tc>
        <w:tc>
          <w:tcPr>
            <w:tcW w:w="1569" w:type="dxa"/>
          </w:tcPr>
          <w:p>
            <w:pPr>
              <w:spacing w:before="187" w:line="221" w:lineRule="auto"/>
              <w:ind w:left="395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b/>
                <w:bCs/>
                <w:spacing w:val="3"/>
                <w:sz w:val="19"/>
                <w:szCs w:val="19"/>
              </w:rPr>
              <w:t>参加人员</w:t>
            </w:r>
          </w:p>
        </w:tc>
        <w:tc>
          <w:tcPr>
            <w:tcW w:w="1579" w:type="dxa"/>
          </w:tcPr>
          <w:p>
            <w:pPr>
              <w:spacing w:before="186" w:line="218" w:lineRule="auto"/>
              <w:ind w:left="406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19"/>
                <w:szCs w:val="19"/>
              </w:rPr>
              <w:t>检查时间</w:t>
            </w:r>
          </w:p>
        </w:tc>
        <w:tc>
          <w:tcPr>
            <w:tcW w:w="1809" w:type="dxa"/>
          </w:tcPr>
          <w:p>
            <w:pPr>
              <w:spacing w:before="187" w:line="221" w:lineRule="auto"/>
              <w:ind w:left="517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b/>
                <w:bCs/>
                <w:spacing w:val="3"/>
                <w:sz w:val="19"/>
                <w:szCs w:val="19"/>
              </w:rPr>
              <w:t>参加人员</w:t>
            </w:r>
          </w:p>
        </w:tc>
        <w:tc>
          <w:tcPr>
            <w:tcW w:w="1569" w:type="dxa"/>
          </w:tcPr>
          <w:p>
            <w:pPr>
              <w:spacing w:before="186" w:line="218" w:lineRule="auto"/>
              <w:ind w:left="398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19"/>
                <w:szCs w:val="19"/>
              </w:rPr>
              <w:t>检查时间</w:t>
            </w:r>
          </w:p>
        </w:tc>
        <w:tc>
          <w:tcPr>
            <w:tcW w:w="1689" w:type="dxa"/>
          </w:tcPr>
          <w:p>
            <w:pPr>
              <w:spacing w:before="188" w:line="218" w:lineRule="auto"/>
              <w:ind w:left="457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6"/>
                <w:sz w:val="19"/>
                <w:szCs w:val="19"/>
              </w:rPr>
              <w:t>检查人员</w:t>
            </w:r>
          </w:p>
        </w:tc>
        <w:tc>
          <w:tcPr>
            <w:tcW w:w="1883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243" w:type="dxa"/>
          </w:tcPr>
          <w:p>
            <w:pPr>
              <w:spacing w:before="60" w:line="254" w:lineRule="auto"/>
              <w:ind w:left="544" w:right="72" w:hanging="379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9"/>
                <w:sz w:val="19"/>
                <w:szCs w:val="19"/>
              </w:rPr>
              <w:t>楼栋转换层、架空层、</w:t>
            </w:r>
            <w:r>
              <w:rPr>
                <w:rFonts w:asci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eastAsia="宋体" w:cs="宋体"/>
                <w:spacing w:val="3"/>
                <w:sz w:val="19"/>
                <w:szCs w:val="19"/>
              </w:rPr>
              <w:t>设备层等空间</w:t>
            </w:r>
          </w:p>
        </w:tc>
        <w:tc>
          <w:tcPr>
            <w:tcW w:w="15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7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8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83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243" w:type="dxa"/>
          </w:tcPr>
          <w:p>
            <w:pPr>
              <w:spacing w:before="70" w:line="252" w:lineRule="auto"/>
              <w:ind w:left="445" w:right="175" w:hanging="280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-1"/>
                <w:sz w:val="19"/>
                <w:szCs w:val="19"/>
              </w:rPr>
              <w:t>地下室、半地下室、车</w:t>
            </w:r>
            <w:r>
              <w:rPr>
                <w:rFonts w:asci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eastAsia="宋体" w:cs="宋体"/>
                <w:spacing w:val="2"/>
                <w:sz w:val="19"/>
                <w:szCs w:val="19"/>
              </w:rPr>
              <w:t>库、庭院等空间</w:t>
            </w:r>
          </w:p>
        </w:tc>
        <w:tc>
          <w:tcPr>
            <w:tcW w:w="15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7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8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83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43" w:type="dxa"/>
          </w:tcPr>
          <w:p>
            <w:pPr>
              <w:spacing w:before="192" w:line="218" w:lineRule="auto"/>
              <w:ind w:left="355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2"/>
                <w:sz w:val="19"/>
                <w:szCs w:val="19"/>
              </w:rPr>
              <w:t>楼道、大厅等空间</w:t>
            </w:r>
          </w:p>
        </w:tc>
        <w:tc>
          <w:tcPr>
            <w:tcW w:w="15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7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8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83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43" w:type="dxa"/>
          </w:tcPr>
          <w:p>
            <w:pPr>
              <w:spacing w:before="194" w:line="221" w:lineRule="auto"/>
              <w:ind w:left="635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4"/>
                <w:sz w:val="19"/>
                <w:szCs w:val="19"/>
              </w:rPr>
              <w:t>单位用户甲</w:t>
            </w:r>
          </w:p>
        </w:tc>
        <w:tc>
          <w:tcPr>
            <w:tcW w:w="15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7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8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83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43" w:type="dxa"/>
          </w:tcPr>
          <w:p>
            <w:pPr>
              <w:spacing w:before="185" w:line="221" w:lineRule="auto"/>
              <w:ind w:left="635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2"/>
                <w:sz w:val="19"/>
                <w:szCs w:val="19"/>
              </w:rPr>
              <w:t>单位用户乙</w:t>
            </w:r>
          </w:p>
        </w:tc>
        <w:tc>
          <w:tcPr>
            <w:tcW w:w="15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7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8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83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43" w:type="dxa"/>
          </w:tcPr>
          <w:p>
            <w:pPr>
              <w:spacing w:before="196" w:line="221" w:lineRule="auto"/>
              <w:ind w:left="635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4"/>
                <w:sz w:val="19"/>
                <w:szCs w:val="19"/>
              </w:rPr>
              <w:t>居民用户甲</w:t>
            </w:r>
          </w:p>
        </w:tc>
        <w:tc>
          <w:tcPr>
            <w:tcW w:w="15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7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8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83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43" w:type="dxa"/>
          </w:tcPr>
          <w:p>
            <w:pPr>
              <w:spacing w:before="187" w:line="221" w:lineRule="auto"/>
              <w:ind w:left="635"/>
              <w:rPr>
                <w:rFonts w:ascii="宋体" w:eastAsia="宋体" w:cs="宋体"/>
                <w:sz w:val="19"/>
                <w:szCs w:val="19"/>
              </w:rPr>
            </w:pPr>
            <w:r>
              <w:rPr>
                <w:rFonts w:ascii="宋体" w:eastAsia="宋体" w:cs="宋体"/>
                <w:spacing w:val="2"/>
                <w:sz w:val="19"/>
                <w:szCs w:val="19"/>
              </w:rPr>
              <w:t>居民用户乙</w:t>
            </w:r>
          </w:p>
        </w:tc>
        <w:tc>
          <w:tcPr>
            <w:tcW w:w="15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7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0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56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689" w:type="dxa"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883" w:type="dxa"/>
          </w:tcPr>
          <w:p>
            <w:pPr>
              <w:rPr>
                <w:rFonts w:ascii="Arial" w:hAnsi="Arial"/>
                <w:sz w:val="21"/>
              </w:rPr>
            </w:pPr>
          </w:p>
        </w:tc>
      </w:tr>
    </w:tbl>
    <w:p>
      <w:pPr>
        <w:rPr>
          <w:rFonts w:ascii="Arial" w:hAnsi="Arial"/>
          <w:sz w:val="21"/>
        </w:rPr>
      </w:pPr>
    </w:p>
    <w:p>
      <w:pPr>
        <w:sectPr>
          <w:footerReference r:id="rId4" w:type="default"/>
          <w:pgSz w:w="16840" w:h="11900"/>
          <w:pgMar w:top="1984" w:right="1446" w:bottom="1644" w:left="1446" w:header="0" w:footer="1534" w:gutter="0"/>
          <w:pgNumType w:fmt="numberInDash"/>
          <w:cols w:space="720" w:num="1"/>
          <w:docGrid w:linePitch="312" w:charSpace="0"/>
        </w:sectPr>
      </w:pPr>
    </w:p>
    <w:p>
      <w:pPr>
        <w:spacing w:before="108" w:line="223" w:lineRule="auto"/>
        <w:rPr>
          <w:rFonts w:hint="eastAsia" w:asci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 w:cs="方正黑体_GBK"/>
          <w:b w:val="0"/>
          <w:bCs w:val="0"/>
          <w:spacing w:val="2"/>
          <w:sz w:val="32"/>
          <w:szCs w:val="32"/>
        </w:rPr>
        <w:t>附件2</w:t>
      </w:r>
    </w:p>
    <w:p>
      <w:pPr>
        <w:spacing w:before="355" w:line="218" w:lineRule="auto"/>
        <w:jc w:val="center"/>
        <w:rPr>
          <w:rFonts w:hint="eastAsia" w:ascii="方正小标宋_GBK" w:eastAsia="方正小标宋_GBK" w:cs="方正小标宋_GBK"/>
          <w:b w:val="0"/>
          <w:bCs w:val="0"/>
          <w:spacing w:val="-16"/>
          <w:sz w:val="40"/>
          <w:szCs w:val="40"/>
          <w:lang w:eastAsia="zh-CN"/>
        </w:rPr>
      </w:pPr>
      <w:r>
        <w:rPr>
          <w:rFonts w:hint="eastAsia" w:ascii="方正小标宋_GBK" w:eastAsia="方正小标宋_GBK" w:cs="方正小标宋_GBK"/>
          <w:b w:val="0"/>
          <w:bCs w:val="0"/>
          <w:spacing w:val="-16"/>
          <w:sz w:val="40"/>
          <w:szCs w:val="40"/>
        </w:rPr>
        <w:t>高层建筑用电用气“除险清患”“一楼一策”</w:t>
      </w:r>
      <w:r>
        <w:rPr>
          <w:rFonts w:hint="eastAsia" w:ascii="方正小标宋_GBK" w:eastAsia="方正小标宋_GBK" w:cs="方正小标宋_GBK"/>
          <w:b w:val="0"/>
          <w:bCs w:val="0"/>
          <w:spacing w:val="-16"/>
          <w:sz w:val="40"/>
          <w:szCs w:val="40"/>
          <w:lang w:eastAsia="zh-CN"/>
        </w:rPr>
        <w:t>表</w:t>
      </w:r>
    </w:p>
    <w:p>
      <w:pPr>
        <w:spacing w:before="355" w:line="218" w:lineRule="auto"/>
        <w:ind w:firstLine="548" w:firstLineChars="200"/>
        <w:jc w:val="left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8"/>
          <w:sz w:val="33"/>
          <w:szCs w:val="33"/>
        </w:rPr>
        <w:t>建筑名称：</w:t>
      </w:r>
      <w:r>
        <w:rPr>
          <w:rFonts w:ascii="仿宋" w:eastAsia="仿宋" w:cs="仿宋"/>
          <w:spacing w:val="-28"/>
          <w:sz w:val="33"/>
          <w:szCs w:val="33"/>
          <w:u w:val="single" w:color="auto"/>
        </w:rPr>
        <w:t>X</w:t>
      </w:r>
      <w:r>
        <w:rPr>
          <w:rFonts w:ascii="仿宋" w:eastAsia="仿宋" w:cs="仿宋"/>
          <w:spacing w:val="-35"/>
          <w:sz w:val="33"/>
          <w:szCs w:val="33"/>
          <w:u w:val="single" w:color="auto"/>
        </w:rPr>
        <w:t xml:space="preserve"> </w:t>
      </w:r>
      <w:r>
        <w:rPr>
          <w:rFonts w:ascii="仿宋" w:eastAsia="仿宋" w:cs="仿宋"/>
          <w:spacing w:val="-28"/>
          <w:sz w:val="33"/>
          <w:szCs w:val="33"/>
          <w:u w:val="single" w:color="auto"/>
        </w:rPr>
        <w:t>X 小</w:t>
      </w:r>
      <w:r>
        <w:rPr>
          <w:rFonts w:ascii="仿宋" w:eastAsia="仿宋" w:cs="仿宋"/>
          <w:sz w:val="33"/>
          <w:szCs w:val="33"/>
          <w:u w:val="single" w:color="auto"/>
        </w:rPr>
        <w:t xml:space="preserve"> </w:t>
      </w:r>
      <w:r>
        <w:rPr>
          <w:rFonts w:ascii="仿宋" w:eastAsia="仿宋" w:cs="仿宋"/>
          <w:spacing w:val="-28"/>
          <w:sz w:val="33"/>
          <w:szCs w:val="33"/>
          <w:u w:val="single" w:color="auto"/>
        </w:rPr>
        <w:t>区</w:t>
      </w:r>
      <w:r>
        <w:rPr>
          <w:rFonts w:ascii="仿宋" w:eastAsia="仿宋" w:cs="仿宋"/>
          <w:spacing w:val="-43"/>
          <w:sz w:val="33"/>
          <w:szCs w:val="33"/>
          <w:u w:val="single" w:color="auto"/>
        </w:rPr>
        <w:t xml:space="preserve"> </w:t>
      </w:r>
      <w:r>
        <w:rPr>
          <w:rFonts w:ascii="仿宋" w:eastAsia="仿宋" w:cs="仿宋"/>
          <w:spacing w:val="-28"/>
          <w:sz w:val="33"/>
          <w:szCs w:val="33"/>
          <w:u w:val="single" w:color="auto"/>
        </w:rPr>
        <w:t>X</w:t>
      </w:r>
      <w:r>
        <w:rPr>
          <w:rFonts w:ascii="仿宋" w:eastAsia="仿宋" w:cs="仿宋"/>
          <w:spacing w:val="-43"/>
          <w:sz w:val="33"/>
          <w:szCs w:val="33"/>
          <w:u w:val="single" w:color="auto"/>
        </w:rPr>
        <w:t xml:space="preserve"> </w:t>
      </w:r>
      <w:r>
        <w:rPr>
          <w:rFonts w:ascii="仿宋" w:eastAsia="仿宋" w:cs="仿宋"/>
          <w:spacing w:val="-28"/>
          <w:sz w:val="33"/>
          <w:szCs w:val="33"/>
          <w:u w:val="single" w:color="auto"/>
        </w:rPr>
        <w:t>X</w:t>
      </w:r>
      <w:r>
        <w:rPr>
          <w:rFonts w:ascii="仿宋" w:eastAsia="仿宋" w:cs="仿宋"/>
          <w:spacing w:val="-26"/>
          <w:sz w:val="33"/>
          <w:szCs w:val="33"/>
          <w:u w:val="single" w:color="auto"/>
        </w:rPr>
        <w:t xml:space="preserve"> </w:t>
      </w:r>
      <w:r>
        <w:rPr>
          <w:rFonts w:ascii="仿宋" w:eastAsia="仿宋" w:cs="仿宋"/>
          <w:spacing w:val="-28"/>
          <w:sz w:val="33"/>
          <w:szCs w:val="33"/>
          <w:u w:val="single" w:color="auto"/>
        </w:rPr>
        <w:t>栋</w:t>
      </w:r>
      <w:r>
        <w:rPr>
          <w:rFonts w:ascii="仿宋" w:eastAsia="仿宋" w:cs="仿宋"/>
          <w:sz w:val="33"/>
          <w:szCs w:val="33"/>
          <w:u w:val="single" w:color="auto"/>
        </w:rPr>
        <w:t xml:space="preserve">      </w:t>
      </w:r>
      <w:r>
        <w:rPr>
          <w:rFonts w:hint="eastAsia" w:ascii="仿宋" w:eastAsia="仿宋" w:cs="仿宋"/>
          <w:sz w:val="33"/>
          <w:szCs w:val="33"/>
          <w:u w:val="none" w:color="auto"/>
          <w:lang w:val="en-US" w:eastAsia="zh-CN"/>
        </w:rPr>
        <w:t xml:space="preserve">                          </w:t>
      </w:r>
      <w:r>
        <w:rPr>
          <w:rFonts w:ascii="仿宋" w:eastAsia="仿宋" w:cs="仿宋"/>
          <w:spacing w:val="-18"/>
          <w:sz w:val="29"/>
          <w:szCs w:val="29"/>
        </w:rPr>
        <w:t>建筑位置：</w:t>
      </w:r>
      <w:r>
        <w:rPr>
          <w:rFonts w:ascii="仿宋" w:eastAsia="仿宋" w:cs="仿宋"/>
          <w:spacing w:val="-22"/>
          <w:sz w:val="29"/>
          <w:szCs w:val="29"/>
        </w:rPr>
        <w:t xml:space="preserve"> </w:t>
      </w:r>
      <w:r>
        <w:rPr>
          <w:rFonts w:ascii="仿宋" w:eastAsia="仿宋" w:cs="仿宋"/>
          <w:spacing w:val="-18"/>
          <w:sz w:val="29"/>
          <w:szCs w:val="29"/>
        </w:rPr>
        <w:t>XX</w:t>
      </w:r>
      <w:r>
        <w:rPr>
          <w:rFonts w:ascii="仿宋" w:eastAsia="仿宋" w:cs="仿宋"/>
          <w:spacing w:val="122"/>
          <w:sz w:val="29"/>
          <w:szCs w:val="29"/>
        </w:rPr>
        <w:t xml:space="preserve"> </w:t>
      </w:r>
      <w:r>
        <w:rPr>
          <w:rFonts w:ascii="仿宋" w:eastAsia="仿宋" w:cs="仿宋"/>
          <w:spacing w:val="-18"/>
          <w:sz w:val="29"/>
          <w:szCs w:val="29"/>
        </w:rPr>
        <w:t>街</w:t>
      </w:r>
      <w:r>
        <w:rPr>
          <w:rFonts w:ascii="仿宋" w:eastAsia="仿宋" w:cs="仿宋"/>
          <w:spacing w:val="4"/>
          <w:sz w:val="29"/>
          <w:szCs w:val="29"/>
        </w:rPr>
        <w:t xml:space="preserve"> </w:t>
      </w:r>
      <w:r>
        <w:rPr>
          <w:rFonts w:ascii="仿宋" w:eastAsia="仿宋" w:cs="仿宋"/>
          <w:spacing w:val="-18"/>
          <w:sz w:val="29"/>
          <w:szCs w:val="29"/>
        </w:rPr>
        <w:t>道XX</w:t>
      </w:r>
      <w:r>
        <w:rPr>
          <w:rFonts w:ascii="仿宋" w:eastAsia="仿宋" w:cs="仿宋"/>
          <w:spacing w:val="122"/>
          <w:sz w:val="29"/>
          <w:szCs w:val="29"/>
        </w:rPr>
        <w:t xml:space="preserve"> </w:t>
      </w:r>
      <w:r>
        <w:rPr>
          <w:rFonts w:ascii="仿宋" w:eastAsia="仿宋" w:cs="仿宋"/>
          <w:spacing w:val="-18"/>
          <w:sz w:val="29"/>
          <w:szCs w:val="29"/>
        </w:rPr>
        <w:t>号</w:t>
      </w:r>
      <w:r>
        <w:rPr>
          <w:rFonts w:hint="eastAsia" w:ascii="仿宋" w:eastAsia="仿宋" w:cs="仿宋"/>
          <w:spacing w:val="-18"/>
          <w:sz w:val="29"/>
          <w:szCs w:val="29"/>
          <w:lang w:val="en-US" w:eastAsia="zh-CN"/>
        </w:rPr>
        <w:t xml:space="preserve">                                          </w:t>
      </w:r>
    </w:p>
    <w:p>
      <w:pPr>
        <w:spacing w:before="116" w:line="185" w:lineRule="auto"/>
        <w:ind w:left="125" w:firstLine="240" w:firstLineChars="100"/>
        <w:rPr>
          <w:rFonts w:ascii="Arial" w:hAnsi="Arial"/>
          <w:sz w:val="2"/>
        </w:rPr>
      </w:pPr>
      <w:r>
        <w:rPr>
          <w:rFonts w:ascii="宋体" w:eastAsia="宋体" w:cs="宋体"/>
          <w:sz w:val="24"/>
          <w:szCs w:val="24"/>
        </w:rPr>
        <w:t>注：建筑名称、地址与高层建筑信息采集系统保持一致</w:t>
      </w:r>
    </w:p>
    <w:p>
      <w:pPr>
        <w:tabs>
          <w:tab w:val="left" w:pos="3762"/>
        </w:tabs>
        <w:bidi w:val="0"/>
        <w:jc w:val="left"/>
      </w:pPr>
    </w:p>
    <w:tbl>
      <w:tblPr>
        <w:tblStyle w:val="9"/>
        <w:tblW w:w="13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099"/>
        <w:gridCol w:w="1559"/>
        <w:gridCol w:w="1559"/>
        <w:gridCol w:w="1809"/>
        <w:gridCol w:w="1349"/>
        <w:gridCol w:w="1339"/>
        <w:gridCol w:w="1359"/>
        <w:gridCol w:w="1499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4"/>
                <w:sz w:val="20"/>
                <w:szCs w:val="20"/>
              </w:rPr>
              <w:t>排查时间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4"/>
                <w:sz w:val="20"/>
                <w:szCs w:val="20"/>
              </w:rPr>
              <w:t>隐患类别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3"/>
                <w:sz w:val="20"/>
                <w:szCs w:val="20"/>
              </w:rPr>
              <w:t>隐患类型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spacing w:val="-2"/>
                <w:sz w:val="20"/>
                <w:szCs w:val="20"/>
              </w:rPr>
              <w:t>隐患描述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spacing w:val="-4"/>
                <w:sz w:val="20"/>
                <w:szCs w:val="20"/>
              </w:rPr>
              <w:t>整改主体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spacing w:val="-4"/>
                <w:sz w:val="20"/>
                <w:szCs w:val="20"/>
              </w:rPr>
              <w:t>整改措施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spacing w:val="-4"/>
                <w:sz w:val="20"/>
                <w:szCs w:val="20"/>
              </w:rPr>
              <w:t>整改资金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spacing w:val="-4"/>
                <w:sz w:val="20"/>
                <w:szCs w:val="20"/>
              </w:rPr>
              <w:t>整改时限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spacing w:val="-4"/>
                <w:sz w:val="20"/>
                <w:szCs w:val="20"/>
              </w:rPr>
              <w:t>整改预案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5" w:lineRule="auto"/>
              <w:ind w:left="0"/>
              <w:jc w:val="center"/>
              <w:textAlignment w:val="auto"/>
              <w:rPr>
                <w:rFonts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/>
              <w:jc w:val="center"/>
              <w:textAlignment w:val="auto"/>
              <w:rPr>
                <w:rFonts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/>
              <w:jc w:val="center"/>
              <w:textAlignment w:val="auto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</w:tr>
    </w:tbl>
    <w:p>
      <w:pPr>
        <w:spacing w:before="41" w:line="209" w:lineRule="auto"/>
        <w:ind w:left="55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/>
          <w:spacing w:val="-5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3" w:lineRule="auto"/>
        <w:ind w:left="0" w:right="0" w:firstLine="496" w:firstLineChars="200"/>
        <w:textAlignment w:val="auto"/>
        <w:rPr>
          <w:rFonts w:ascii="仿宋" w:eastAsia="仿宋" w:cs="仿宋"/>
          <w:color w:val="auto"/>
          <w:sz w:val="21"/>
          <w:szCs w:val="21"/>
        </w:rPr>
      </w:pPr>
      <w:r>
        <w:rPr>
          <w:rFonts w:ascii="仿宋" w:eastAsia="仿宋" w:cs="仿宋"/>
          <w:color w:val="auto"/>
          <w:spacing w:val="19"/>
          <w:sz w:val="21"/>
          <w:szCs w:val="21"/>
        </w:rPr>
        <w:t>1.隐患类别：选填用电隐患或用气隐患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4" w:lineRule="auto"/>
        <w:ind w:right="0" w:firstLine="508" w:firstLineChars="200"/>
        <w:textAlignment w:val="auto"/>
        <w:rPr>
          <w:rFonts w:ascii="仿宋" w:eastAsia="仿宋" w:cs="仿宋"/>
          <w:color w:val="auto"/>
          <w:spacing w:val="22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pacing w:val="22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color w:val="auto"/>
          <w:spacing w:val="-21"/>
          <w:sz w:val="21"/>
          <w:szCs w:val="21"/>
        </w:rPr>
        <w:t xml:space="preserve"> </w:t>
      </w:r>
      <w:r>
        <w:rPr>
          <w:rFonts w:ascii="仿宋" w:eastAsia="仿宋" w:cs="仿宋"/>
          <w:color w:val="auto"/>
          <w:spacing w:val="22"/>
          <w:sz w:val="21"/>
          <w:szCs w:val="21"/>
        </w:rPr>
        <w:t>.隐患类型：用电隐患应选填线路敷设不规范、私拉乱接、电气设备使用不规范、防火封堵不规范、电气设施老化、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4" w:lineRule="auto"/>
        <w:ind w:right="0" w:firstLine="2032" w:firstLineChars="800"/>
        <w:textAlignment w:val="auto"/>
        <w:rPr>
          <w:rFonts w:ascii="仿宋" w:eastAsia="仿宋" w:cs="仿宋"/>
          <w:color w:val="auto"/>
          <w:sz w:val="21"/>
          <w:szCs w:val="21"/>
        </w:rPr>
      </w:pPr>
      <w:r>
        <w:rPr>
          <w:rFonts w:ascii="仿宋" w:eastAsia="仿宋" w:cs="仿宋"/>
          <w:color w:val="auto"/>
          <w:spacing w:val="22"/>
          <w:sz w:val="21"/>
          <w:szCs w:val="21"/>
        </w:rPr>
        <w:t>电动</w:t>
      </w:r>
      <w:r>
        <w:rPr>
          <w:rFonts w:ascii="仿宋" w:eastAsia="仿宋" w:cs="仿宋"/>
          <w:color w:val="auto"/>
          <w:sz w:val="21"/>
          <w:szCs w:val="21"/>
        </w:rPr>
        <w:t xml:space="preserve"> </w:t>
      </w:r>
      <w:r>
        <w:rPr>
          <w:rFonts w:ascii="仿宋" w:eastAsia="仿宋" w:cs="仿宋"/>
          <w:color w:val="auto"/>
          <w:spacing w:val="17"/>
          <w:sz w:val="21"/>
          <w:szCs w:val="21"/>
        </w:rPr>
        <w:t>自行车违规充电停放其</w:t>
      </w:r>
      <w:r>
        <w:rPr>
          <w:rFonts w:ascii="仿宋" w:eastAsia="仿宋" w:cs="仿宋"/>
          <w:color w:val="auto"/>
          <w:spacing w:val="-58"/>
          <w:sz w:val="21"/>
          <w:szCs w:val="21"/>
        </w:rPr>
        <w:t xml:space="preserve"> </w:t>
      </w:r>
      <w:r>
        <w:rPr>
          <w:rFonts w:ascii="仿宋" w:eastAsia="仿宋" w:cs="仿宋"/>
          <w:color w:val="auto"/>
          <w:spacing w:val="17"/>
          <w:sz w:val="21"/>
          <w:szCs w:val="21"/>
        </w:rPr>
        <w:t>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right="0" w:firstLine="2048" w:firstLineChars="800"/>
        <w:textAlignment w:val="auto"/>
        <w:rPr>
          <w:rFonts w:ascii="仿宋" w:eastAsia="仿宋" w:cs="仿宋"/>
          <w:color w:val="auto"/>
          <w:spacing w:val="23"/>
          <w:sz w:val="21"/>
          <w:szCs w:val="21"/>
        </w:rPr>
      </w:pPr>
      <w:r>
        <w:rPr>
          <w:rFonts w:ascii="仿宋" w:eastAsia="仿宋" w:cs="仿宋"/>
          <w:color w:val="auto"/>
          <w:spacing w:val="23"/>
          <w:sz w:val="21"/>
          <w:szCs w:val="21"/>
        </w:rPr>
        <w:t>用气隐患应选填管道敷设不规范、私拉乱接、违规圈围占压燃气管道设施、燃气燃烧器具安装使用不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right="0" w:firstLine="2048" w:firstLineChars="800"/>
        <w:textAlignment w:val="auto"/>
        <w:rPr>
          <w:rFonts w:ascii="仿宋" w:eastAsia="仿宋" w:cs="仿宋"/>
          <w:color w:val="auto"/>
          <w:spacing w:val="23"/>
          <w:sz w:val="21"/>
          <w:szCs w:val="21"/>
        </w:rPr>
      </w:pPr>
      <w:r>
        <w:rPr>
          <w:rFonts w:ascii="仿宋" w:eastAsia="仿宋" w:cs="仿宋"/>
          <w:color w:val="auto"/>
          <w:spacing w:val="23"/>
          <w:sz w:val="21"/>
          <w:szCs w:val="21"/>
        </w:rPr>
        <w:t>规范、</w:t>
      </w:r>
      <w:r>
        <w:rPr>
          <w:rFonts w:ascii="仿宋" w:eastAsia="仿宋" w:cs="仿宋"/>
          <w:color w:val="auto"/>
          <w:spacing w:val="13"/>
          <w:sz w:val="21"/>
          <w:szCs w:val="21"/>
        </w:rPr>
        <w:t xml:space="preserve"> </w:t>
      </w:r>
      <w:r>
        <w:rPr>
          <w:rFonts w:ascii="仿宋" w:eastAsia="仿宋" w:cs="仿宋"/>
          <w:color w:val="auto"/>
          <w:spacing w:val="23"/>
          <w:sz w:val="21"/>
          <w:szCs w:val="21"/>
        </w:rPr>
        <w:t>燃气安全装置安装使用不规范、用气安全措施安装使用不规范、管道设施老化、燃气</w:t>
      </w:r>
      <w:r>
        <w:rPr>
          <w:rFonts w:ascii="仿宋" w:eastAsia="仿宋" w:cs="仿宋"/>
          <w:color w:val="auto"/>
          <w:spacing w:val="-30"/>
          <w:sz w:val="21"/>
          <w:szCs w:val="21"/>
        </w:rPr>
        <w:t xml:space="preserve"> </w:t>
      </w:r>
      <w:r>
        <w:rPr>
          <w:rFonts w:ascii="仿宋" w:eastAsia="仿宋" w:cs="仿宋"/>
          <w:color w:val="auto"/>
          <w:spacing w:val="23"/>
          <w:sz w:val="21"/>
          <w:szCs w:val="21"/>
        </w:rPr>
        <w:t>混用，液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right="0" w:firstLine="2048" w:firstLineChars="800"/>
        <w:textAlignment w:val="auto"/>
        <w:rPr>
          <w:rFonts w:ascii="仿宋" w:eastAsia="仿宋" w:cs="仿宋"/>
          <w:color w:val="auto"/>
          <w:sz w:val="21"/>
          <w:szCs w:val="21"/>
        </w:rPr>
      </w:pPr>
      <w:r>
        <w:rPr>
          <w:rFonts w:ascii="仿宋" w:eastAsia="仿宋" w:cs="仿宋"/>
          <w:color w:val="auto"/>
          <w:spacing w:val="23"/>
          <w:sz w:val="21"/>
          <w:szCs w:val="21"/>
        </w:rPr>
        <w:t>化石油气使用</w:t>
      </w:r>
      <w:r>
        <w:rPr>
          <w:rFonts w:ascii="仿宋" w:eastAsia="仿宋" w:cs="仿宋"/>
          <w:color w:val="auto"/>
          <w:spacing w:val="13"/>
          <w:sz w:val="21"/>
          <w:szCs w:val="21"/>
        </w:rPr>
        <w:t>不规范其一。</w:t>
      </w:r>
    </w:p>
    <w:p/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附件3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cs="Times New Roman"/>
        </w:rPr>
      </w:pPr>
    </w:p>
    <w:tbl>
      <w:tblPr>
        <w:tblStyle w:val="9"/>
        <w:tblpPr w:leftFromText="180" w:rightFromText="180" w:vertAnchor="text" w:horzAnchor="page" w:tblpX="2163" w:tblpY="321"/>
        <w:tblOverlap w:val="never"/>
        <w:tblW w:w="12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81"/>
        <w:gridCol w:w="1043"/>
        <w:gridCol w:w="1053"/>
        <w:gridCol w:w="1291"/>
        <w:gridCol w:w="1055"/>
        <w:gridCol w:w="902"/>
        <w:gridCol w:w="1143"/>
        <w:gridCol w:w="902"/>
        <w:gridCol w:w="902"/>
        <w:gridCol w:w="1428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82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渝中区老旧小区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用电用气“除险清患”</w:t>
            </w:r>
            <w:r>
              <w:rPr>
                <w:rFonts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所属街道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小区</w:t>
            </w: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存在隐患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剩余隐患整改期限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整改责任人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排查隐患数量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具体问题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已整改数量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已整改具体问题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XXX街道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XXX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XXXXXXX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1.xxx.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2.xx.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3.xxx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1.xxx；2.xxx；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6月30日前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张三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1234567890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rPr>
          <w:lang w:val="en-US" w:eastAsia="zh-CN"/>
        </w:rPr>
      </w:pPr>
    </w:p>
    <w:sectPr>
      <w:footerReference r:id="rId5" w:type="default"/>
      <w:pgSz w:w="16838" w:h="11906" w:orient="landscape"/>
      <w:pgMar w:top="1446" w:right="1814" w:bottom="1446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354330" cy="37592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33" cy="37592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9.55pt;height:29.6pt;width:27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NY4a7WAAAABgEAAA8AAAAAAAAAAQAgAAAAIgAAAGRycy9k&#10;b3ducmV2LnhtbFBLAQIUABQAAAAIAIdO4kA5UlU/BAIAAPQDAAAOAAAAAAAAAAEAIAAAACU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65"/>
      <w:rPr>
        <w:rFonts w:ascii="Times New Roman" w:hAnsi="Times New Roman" w:eastAsia="Times New Roman" w:cs="Times New Roman"/>
        <w:sz w:val="27"/>
        <w:szCs w:val="27"/>
      </w:rPr>
    </w:pPr>
    <w:r>
      <w:rPr>
        <w:sz w:val="19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-120650</wp:posOffset>
              </wp:positionV>
              <wp:extent cx="354330" cy="41402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33" cy="4142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9.5pt;height:32.6pt;width:27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o3H4dkAAAAGAQAADwAAAAAAAAABACAAAAAiAAAAZHJz&#10;L2Rvd25yZXYueG1sUEsBAhQAFAAAAAgAh07iQA99vosDAgAA9AMAAA4AAAAAAAAAAQAgAAAAKA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</w:p>
                  <w:p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-120650</wp:posOffset>
              </wp:positionV>
              <wp:extent cx="443230" cy="20701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433" cy="207137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-9.5pt;height:16.3pt;width:34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agdgDZAAAABgEAAA8AAAAAAAAAAQAgAAAAIgAAAGRy&#10;cy9kb3ducmV2LnhtbFBLAQIUABQAAAAIAIdO4kD4yaWDBAIAAPQDAAAOAAAAAAAAAAEAIAAAACg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EA86A"/>
    <w:multiLevelType w:val="singleLevel"/>
    <w:tmpl w:val="5E1EA86A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ThmODQzMTFiNTE5ODA0YjVlZTNjODE0Mzk0MzQ3MDAifQ=="/>
  </w:docVars>
  <w:rsids>
    <w:rsidRoot w:val="00000000"/>
    <w:rsid w:val="78557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numPr>
        <w:ilvl w:val="0"/>
        <w:numId w:val="1"/>
      </w:numPr>
      <w:spacing w:before="0" w:beforeAutospacing="0" w:after="0" w:afterAutospacing="0" w:line="594" w:lineRule="exact"/>
      <w:ind w:left="0" w:firstLine="0"/>
      <w:jc w:val="left"/>
      <w:outlineLvl w:val="0"/>
    </w:pPr>
    <w:rPr>
      <w:rFonts w:ascii="黑体" w:eastAsia="黑体"/>
      <w:kern w:val="44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5"/>
    <w:basedOn w:val="1"/>
    <w:next w:val="1"/>
    <w:uiPriority w:val="0"/>
    <w:pPr>
      <w:ind w:left="1680"/>
    </w:pPr>
    <w:rPr>
      <w:rFonts w:ascii="Calibri" w:hAnsi="Calibri" w:eastAsia="宋体" w:cs="Calibri"/>
      <w:sz w:val="21"/>
      <w:szCs w:val="21"/>
    </w:rPr>
  </w:style>
  <w:style w:type="paragraph" w:styleId="5">
    <w:name w:val="Body Text"/>
    <w:basedOn w:val="1"/>
    <w:next w:val="6"/>
    <w:uiPriority w:val="0"/>
    <w:pPr>
      <w:jc w:val="center"/>
    </w:pPr>
    <w:rPr>
      <w:rFonts w:ascii="Times New Roman" w:hAnsi="Times New Roman" w:eastAsia="仿宋_GB2312"/>
      <w:sz w:val="44"/>
    </w:rPr>
  </w:style>
  <w:style w:type="paragraph" w:styleId="6">
    <w:name w:val="index 7"/>
    <w:basedOn w:val="1"/>
    <w:next w:val="1"/>
    <w:uiPriority w:val="0"/>
    <w:pPr>
      <w:ind w:left="2520"/>
    </w:pPr>
    <w:rPr>
      <w:rFonts w:ascii="Times New Roman" w:hAnsi="Times New Roman" w:eastAsia="宋体" w:cs="Times New Roman"/>
      <w:szCs w:val="22"/>
    </w:rPr>
  </w:style>
  <w:style w:type="paragraph" w:styleId="7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默认"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3642</Words>
  <Characters>3718</Characters>
  <Lines>349</Lines>
  <Paragraphs>117</Paragraphs>
  <TotalTime>2</TotalTime>
  <ScaleCrop>false</ScaleCrop>
  <LinksUpToDate>false</LinksUpToDate>
  <CharactersWithSpaces>3885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2023-06-13T07:32:00Z</dcterms:created>
  <dc:creator>         ╰Laugh。</dc:creator>
  <cp:lastModifiedBy>Administrator</cp:lastModifiedBy>
  <cp:lastPrinted>2023-06-26T02:23:00Z</cp:lastPrinted>
  <dcterms:modified xsi:type="dcterms:W3CDTF">2024-04-02T06:27:45Z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DB9E7586A49141EC83A0E5A67CF317BF_13</vt:lpwstr>
  </property>
</Properties>
</file>