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E1ED5">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重庆市渝中区人民政府南</w:t>
      </w:r>
      <w:r>
        <w:rPr>
          <w:rStyle w:val="10"/>
          <w:rFonts w:hint="eastAsia" w:ascii="方正小标宋_GBK" w:hAnsi="方正小标宋_GBK" w:eastAsia="方正小标宋_GBK" w:cs="方正小标宋_GBK"/>
          <w:b w:val="0"/>
          <w:bCs w:val="0"/>
          <w:snapToGrid/>
          <w:spacing w:val="0"/>
          <w:sz w:val="44"/>
          <w:szCs w:val="44"/>
          <w:shd w:val="clear" w:fill="FFFFFF"/>
        </w:rPr>
        <w:t>纪门街道办事处</w:t>
      </w:r>
    </w:p>
    <w:p w14:paraId="15CDC27E">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rPr>
      </w:pPr>
      <w:r>
        <w:rPr>
          <w:rStyle w:val="10"/>
          <w:rFonts w:hint="eastAsia" w:ascii="方正小标宋_GBK" w:hAnsi="方正小标宋_GBK" w:eastAsia="方正小标宋_GBK" w:cs="方正小标宋_GBK"/>
          <w:b w:val="0"/>
          <w:bCs w:val="0"/>
          <w:snapToGrid/>
          <w:spacing w:val="0"/>
          <w:sz w:val="44"/>
          <w:szCs w:val="44"/>
          <w:shd w:val="clear" w:fill="FFFFFF"/>
        </w:rPr>
        <w:t>202</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4</w:t>
      </w:r>
      <w:r>
        <w:rPr>
          <w:rStyle w:val="10"/>
          <w:rFonts w:hint="eastAsia" w:ascii="方正小标宋_GBK" w:hAnsi="方正小标宋_GBK" w:eastAsia="方正小标宋_GBK" w:cs="方正小标宋_GBK"/>
          <w:b w:val="0"/>
          <w:bCs w:val="0"/>
          <w:snapToGrid/>
          <w:spacing w:val="0"/>
          <w:sz w:val="44"/>
          <w:szCs w:val="44"/>
          <w:shd w:val="clear" w:fill="FFFFFF"/>
        </w:rPr>
        <w:t>年度</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部门</w:t>
      </w:r>
      <w:r>
        <w:rPr>
          <w:rStyle w:val="10"/>
          <w:rFonts w:hint="eastAsia" w:ascii="方正小标宋_GBK" w:hAnsi="方正小标宋_GBK" w:eastAsia="方正小标宋_GBK" w:cs="方正小标宋_GBK"/>
          <w:b w:val="0"/>
          <w:bCs w:val="0"/>
          <w:snapToGrid/>
          <w:spacing w:val="0"/>
          <w:sz w:val="44"/>
          <w:szCs w:val="44"/>
          <w:shd w:val="clear" w:fill="FFFFFF"/>
        </w:rPr>
        <w:t>决算</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情况</w:t>
      </w:r>
      <w:r>
        <w:rPr>
          <w:rStyle w:val="10"/>
          <w:rFonts w:hint="eastAsia" w:ascii="方正小标宋_GBK" w:hAnsi="方正小标宋_GBK" w:eastAsia="方正小标宋_GBK" w:cs="方正小标宋_GBK"/>
          <w:b w:val="0"/>
          <w:bCs w:val="0"/>
          <w:snapToGrid/>
          <w:spacing w:val="0"/>
          <w:sz w:val="44"/>
          <w:szCs w:val="44"/>
          <w:shd w:val="clear" w:fill="FFFFFF"/>
        </w:rPr>
        <w:t>说明</w:t>
      </w:r>
    </w:p>
    <w:p w14:paraId="0F1D2B13">
      <w:pPr>
        <w:keepNext w:val="0"/>
        <w:keepLines w:val="0"/>
        <w:pageBreakBefore w:val="0"/>
        <w:widowControl w:val="0"/>
        <w:wordWrap/>
        <w:overflowPunct/>
        <w:topLinePunct w:val="0"/>
        <w:autoSpaceDE w:val="0"/>
        <w:bidi w:val="0"/>
        <w:snapToGrid w:val="0"/>
        <w:spacing w:line="600" w:lineRule="exact"/>
        <w:ind w:left="0" w:right="0" w:firstLine="420" w:firstLineChars="200"/>
        <w:jc w:val="both"/>
        <w:rPr>
          <w:rFonts w:hint="default" w:ascii="Times New Roman" w:hAnsi="Times New Roman" w:cs="Times New Roman"/>
          <w:spacing w:val="0"/>
          <w:sz w:val="21"/>
        </w:rPr>
      </w:pPr>
    </w:p>
    <w:p w14:paraId="2F7ACF61">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一、部门基本情况</w:t>
      </w:r>
    </w:p>
    <w:p w14:paraId="48A586A1">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（一）职能职责</w:t>
      </w:r>
    </w:p>
    <w:p w14:paraId="461C7EF9">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街道的主要职能是：</w:t>
      </w:r>
      <w:r>
        <w:rPr>
          <w:rFonts w:hint="default" w:ascii="Times New Roman" w:hAnsi="Times New Roman" w:eastAsia="Times New Roman" w:cs="Times New Roman"/>
          <w:spacing w:val="0"/>
        </w:rPr>
        <w:t>1</w:t>
      </w:r>
      <w:r>
        <w:rPr>
          <w:rFonts w:hint="default" w:ascii="Times New Roman" w:hAnsi="Times New Roman" w:cs="Times New Roman"/>
          <w:spacing w:val="0"/>
        </w:rPr>
        <w:t>、履行辖区党的建设职责。</w:t>
      </w:r>
      <w:r>
        <w:rPr>
          <w:rFonts w:hint="default" w:ascii="Times New Roman" w:hAnsi="Times New Roman" w:eastAsia="Times New Roman" w:cs="Times New Roman"/>
          <w:spacing w:val="0"/>
        </w:rPr>
        <w:t>2</w:t>
      </w:r>
      <w:r>
        <w:rPr>
          <w:rFonts w:hint="default" w:ascii="Times New Roman" w:hAnsi="Times New Roman" w:cs="Times New Roman"/>
          <w:spacing w:val="0"/>
        </w:rPr>
        <w:t>、履行辖区经济发展职责。</w:t>
      </w:r>
      <w:r>
        <w:rPr>
          <w:rFonts w:hint="default" w:ascii="Times New Roman" w:hAnsi="Times New Roman" w:eastAsia="Times New Roman" w:cs="Times New Roman"/>
          <w:spacing w:val="0"/>
        </w:rPr>
        <w:t>3</w:t>
      </w:r>
      <w:r>
        <w:rPr>
          <w:rFonts w:hint="default" w:ascii="Times New Roman" w:hAnsi="Times New Roman" w:cs="Times New Roman"/>
          <w:spacing w:val="0"/>
        </w:rPr>
        <w:t>、履行辖区公共服务职责。</w:t>
      </w:r>
      <w:r>
        <w:rPr>
          <w:rFonts w:hint="default" w:ascii="Times New Roman" w:hAnsi="Times New Roman" w:eastAsia="Times New Roman" w:cs="Times New Roman"/>
          <w:spacing w:val="0"/>
        </w:rPr>
        <w:t>4</w:t>
      </w:r>
      <w:r>
        <w:rPr>
          <w:rFonts w:hint="default" w:ascii="Times New Roman" w:hAnsi="Times New Roman" w:cs="Times New Roman"/>
          <w:spacing w:val="0"/>
        </w:rPr>
        <w:t>、履行辖区公共管理职责。</w:t>
      </w:r>
      <w:r>
        <w:rPr>
          <w:rFonts w:hint="default" w:ascii="Times New Roman" w:hAnsi="Times New Roman" w:eastAsia="Times New Roman" w:cs="Times New Roman"/>
          <w:spacing w:val="0"/>
        </w:rPr>
        <w:t>5</w:t>
      </w:r>
      <w:r>
        <w:rPr>
          <w:rFonts w:hint="default" w:ascii="Times New Roman" w:hAnsi="Times New Roman" w:cs="Times New Roman"/>
          <w:spacing w:val="0"/>
        </w:rPr>
        <w:t>、履行辖区公共安全职责。</w:t>
      </w:r>
      <w:r>
        <w:rPr>
          <w:rFonts w:hint="default" w:ascii="Times New Roman" w:hAnsi="Times New Roman" w:eastAsia="Times New Roman" w:cs="Times New Roman"/>
          <w:spacing w:val="0"/>
        </w:rPr>
        <w:t>6</w:t>
      </w:r>
      <w:r>
        <w:rPr>
          <w:rFonts w:hint="default" w:ascii="Times New Roman" w:hAnsi="Times New Roman" w:cs="Times New Roman"/>
          <w:spacing w:val="0"/>
        </w:rPr>
        <w:t>、完成区委、区政府交办的其他任务。</w:t>
      </w:r>
      <w:r>
        <w:rPr>
          <w:rFonts w:hint="default" w:ascii="Times New Roman" w:hAnsi="Times New Roman" w:eastAsia="Times New Roman" w:cs="Times New Roman"/>
          <w:spacing w:val="0"/>
        </w:rPr>
        <w:t>7</w:t>
      </w:r>
      <w:r>
        <w:rPr>
          <w:rFonts w:hint="default" w:ascii="Times New Roman" w:hAnsi="Times New Roman" w:cs="Times New Roman"/>
          <w:spacing w:val="0"/>
        </w:rPr>
        <w:t>、有关职责分工。</w:t>
      </w:r>
    </w:p>
    <w:p w14:paraId="1414506D">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（二）机构设置</w:t>
      </w:r>
    </w:p>
    <w:p w14:paraId="447280CD">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南纪门街道办事处为渝中区政府派驻机构，内设党的建设、经济发展、民生服务、平安法治、基层治理综合指挥室共5个办公室。所属事业单位包括南纪门街道办事处、南纪门街道综合行政执法大队、南纪门街道城市建设服务中心、城市管理综合行政执法支队南纪门大队、南纪门街道新时代文明实践服务中心、南纪门街道产业发展服务中心、南纪门街道便民服务中心(退役军人服务站)。</w:t>
      </w:r>
    </w:p>
    <w:p w14:paraId="6ED2EB33">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（三）单位构成</w:t>
      </w:r>
    </w:p>
    <w:p w14:paraId="573919E8">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从预算单位构成看，本部门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年度预算编制时无二级预算单位。</w:t>
      </w:r>
    </w:p>
    <w:p w14:paraId="35FE9D70">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二、部门决算情况说明</w:t>
      </w:r>
    </w:p>
    <w:p w14:paraId="430CB256">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sectPr>
          <w:footerReference r:id="rId5" w:type="default"/>
          <w:pgSz w:w="11915" w:h="16840"/>
          <w:pgMar w:top="1984" w:right="1417" w:bottom="1644" w:left="1417" w:header="0" w:footer="857" w:gutter="0"/>
          <w:pgNumType w:fmt="decimal"/>
          <w:cols w:space="720" w:num="1"/>
        </w:sectPr>
      </w:pPr>
    </w:p>
    <w:p w14:paraId="439D4ED7">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（一）收入支出决算总体情况说明</w:t>
      </w:r>
    </w:p>
    <w:p w14:paraId="25DA89D4">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eastAsia="zh-CN"/>
        </w:rPr>
      </w:pPr>
      <w:r>
        <w:rPr>
          <w:rFonts w:hint="default" w:ascii="Times New Roman" w:hAnsi="Times New Roman" w:eastAsia="Times New Roman" w:cs="Times New Roman"/>
          <w:b/>
          <w:bCs/>
          <w:spacing w:val="0"/>
        </w:rPr>
        <w:t>1.</w:t>
      </w:r>
      <w:r>
        <w:rPr>
          <w:rFonts w:hint="default" w:ascii="Times New Roman" w:hAnsi="Times New Roman" w:cs="Times New Roman"/>
          <w:b/>
          <w:bCs/>
          <w:spacing w:val="0"/>
        </w:rPr>
        <w:t>总体情况。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年度收入总计</w:t>
      </w:r>
      <w:r>
        <w:rPr>
          <w:rFonts w:hint="default" w:ascii="Times New Roman" w:hAnsi="Times New Roman" w:eastAsia="Times New Roman" w:cs="Times New Roman"/>
          <w:spacing w:val="0"/>
        </w:rPr>
        <w:t>6</w:t>
      </w:r>
      <w:r>
        <w:rPr>
          <w:rFonts w:hint="eastAsia" w:ascii="Times New Roman" w:hAnsi="Times New Roman" w:eastAsia="宋体" w:cs="Times New Roman"/>
          <w:spacing w:val="0"/>
          <w:lang w:val="en-US" w:eastAsia="zh-CN"/>
        </w:rPr>
        <w:t>936.51</w:t>
      </w:r>
      <w:r>
        <w:rPr>
          <w:rFonts w:hint="default" w:ascii="Times New Roman" w:hAnsi="Times New Roman" w:cs="Times New Roman"/>
          <w:spacing w:val="0"/>
        </w:rPr>
        <w:t>万元，支出总计</w:t>
      </w:r>
      <w:r>
        <w:rPr>
          <w:rFonts w:hint="eastAsia" w:ascii="Times New Roman" w:hAnsi="Times New Roman" w:eastAsia="宋体" w:cs="Times New Roman"/>
          <w:spacing w:val="0"/>
          <w:lang w:val="en-US" w:eastAsia="zh-CN"/>
        </w:rPr>
        <w:t>6936.51</w:t>
      </w:r>
      <w:r>
        <w:rPr>
          <w:rFonts w:hint="default" w:ascii="Times New Roman" w:hAnsi="Times New Roman" w:cs="Times New Roman"/>
          <w:spacing w:val="0"/>
        </w:rPr>
        <w:t>万元。收支较上年决算数</w:t>
      </w:r>
      <w:r>
        <w:rPr>
          <w:rFonts w:hint="eastAsia" w:ascii="Times New Roman" w:hAnsi="Times New Roman" w:cs="Times New Roman"/>
          <w:spacing w:val="0"/>
          <w:lang w:val="en-US" w:eastAsia="zh-CN"/>
        </w:rPr>
        <w:t>增加</w:t>
      </w:r>
      <w:r>
        <w:rPr>
          <w:rFonts w:hint="eastAsia" w:ascii="Times New Roman" w:hAnsi="Times New Roman" w:eastAsia="宋体" w:cs="Times New Roman"/>
          <w:spacing w:val="0"/>
          <w:lang w:val="en-US" w:eastAsia="zh-CN"/>
        </w:rPr>
        <w:t>369.45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增长5.6</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p>
    <w:p w14:paraId="27A32AAE">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2.</w:t>
      </w: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年度收入合计</w:t>
      </w:r>
      <w:r>
        <w:rPr>
          <w:rFonts w:hint="default" w:ascii="Times New Roman" w:hAnsi="Times New Roman" w:eastAsia="Times New Roman" w:cs="Times New Roman"/>
          <w:spacing w:val="0"/>
        </w:rPr>
        <w:t>6</w:t>
      </w:r>
      <w:r>
        <w:rPr>
          <w:rFonts w:hint="eastAsia" w:ascii="Times New Roman" w:hAnsi="Times New Roman" w:eastAsia="宋体" w:cs="Times New Roman"/>
          <w:spacing w:val="0"/>
          <w:lang w:val="en-US" w:eastAsia="zh-CN"/>
        </w:rPr>
        <w:t>936.51</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w:t>
      </w:r>
      <w:r>
        <w:rPr>
          <w:rFonts w:hint="eastAsia" w:ascii="Times New Roman" w:hAnsi="Times New Roman" w:eastAsia="宋体" w:cs="Times New Roman"/>
          <w:spacing w:val="0"/>
          <w:lang w:val="en-US" w:eastAsia="zh-CN"/>
        </w:rPr>
        <w:t>369.45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增长5.6%</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r>
        <w:rPr>
          <w:rFonts w:hint="default" w:ascii="Times New Roman" w:hAnsi="Times New Roman" w:cs="Times New Roman"/>
          <w:spacing w:val="0"/>
        </w:rPr>
        <w:t>其中：财政拨款收入</w:t>
      </w:r>
      <w:r>
        <w:rPr>
          <w:rFonts w:hint="default" w:ascii="Times New Roman" w:hAnsi="Times New Roman" w:eastAsia="Times New Roman" w:cs="Times New Roman"/>
          <w:spacing w:val="0"/>
        </w:rPr>
        <w:t>6</w:t>
      </w:r>
      <w:r>
        <w:rPr>
          <w:rFonts w:hint="eastAsia" w:ascii="Times New Roman" w:hAnsi="Times New Roman" w:eastAsia="宋体" w:cs="Times New Roman"/>
          <w:spacing w:val="0"/>
          <w:lang w:val="en-US" w:eastAsia="zh-CN"/>
        </w:rPr>
        <w:t>936.51</w:t>
      </w:r>
      <w:r>
        <w:rPr>
          <w:rFonts w:hint="default" w:ascii="Times New Roman" w:hAnsi="Times New Roman" w:cs="Times New Roman"/>
          <w:spacing w:val="0"/>
        </w:rPr>
        <w:t>万元，占</w:t>
      </w:r>
      <w:r>
        <w:rPr>
          <w:rFonts w:hint="default" w:ascii="Times New Roman" w:hAnsi="Times New Roman" w:eastAsia="Times New Roman" w:cs="Times New Roman"/>
          <w:spacing w:val="0"/>
        </w:rPr>
        <w:t>100.00%</w:t>
      </w:r>
      <w:r>
        <w:rPr>
          <w:rFonts w:hint="default" w:ascii="Times New Roman" w:hAnsi="Times New Roman" w:cs="Times New Roman"/>
          <w:spacing w:val="0"/>
        </w:rPr>
        <w:t>；事业收入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；经营收入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；其他收入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。此外，使用非财政拨款结余和专用结余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万元，年初结转和结余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14:paraId="13900A77">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3.</w:t>
      </w: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年度支出合计</w:t>
      </w:r>
      <w:r>
        <w:rPr>
          <w:rFonts w:hint="default" w:ascii="Times New Roman" w:hAnsi="Times New Roman" w:eastAsia="Times New Roman" w:cs="Times New Roman"/>
          <w:spacing w:val="0"/>
        </w:rPr>
        <w:t>6</w:t>
      </w:r>
      <w:r>
        <w:rPr>
          <w:rFonts w:hint="eastAsia" w:ascii="Times New Roman" w:hAnsi="Times New Roman" w:eastAsia="宋体" w:cs="Times New Roman"/>
          <w:spacing w:val="0"/>
          <w:lang w:val="en-US" w:eastAsia="zh-CN"/>
        </w:rPr>
        <w:t>936.51</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w:t>
      </w:r>
      <w:r>
        <w:rPr>
          <w:rFonts w:hint="eastAsia" w:ascii="Times New Roman" w:hAnsi="Times New Roman" w:eastAsia="宋体" w:cs="Times New Roman"/>
          <w:spacing w:val="0"/>
          <w:lang w:val="en-US" w:eastAsia="zh-CN"/>
        </w:rPr>
        <w:t>369.45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增长5.6%</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r>
        <w:rPr>
          <w:rFonts w:hint="default" w:ascii="Times New Roman" w:hAnsi="Times New Roman" w:cs="Times New Roman"/>
          <w:spacing w:val="0"/>
        </w:rPr>
        <w:t>其中：基本支出</w:t>
      </w:r>
      <w:r>
        <w:rPr>
          <w:rFonts w:hint="default" w:ascii="Times New Roman" w:hAnsi="Times New Roman" w:eastAsia="Times New Roman" w:cs="Times New Roman"/>
          <w:spacing w:val="0"/>
        </w:rPr>
        <w:t>20</w:t>
      </w:r>
      <w:r>
        <w:rPr>
          <w:rFonts w:hint="eastAsia" w:ascii="Times New Roman" w:hAnsi="Times New Roman" w:eastAsia="宋体" w:cs="Times New Roman"/>
          <w:spacing w:val="0"/>
          <w:lang w:val="en-US" w:eastAsia="zh-CN"/>
        </w:rPr>
        <w:t>30.33</w:t>
      </w:r>
      <w:r>
        <w:rPr>
          <w:rFonts w:hint="default" w:ascii="Times New Roman" w:hAnsi="Times New Roman" w:cs="Times New Roman"/>
          <w:spacing w:val="0"/>
        </w:rPr>
        <w:t>万元，占</w:t>
      </w:r>
      <w:r>
        <w:rPr>
          <w:rFonts w:hint="eastAsia" w:ascii="Times New Roman" w:hAnsi="Times New Roman" w:eastAsia="宋体" w:cs="Times New Roman"/>
          <w:spacing w:val="0"/>
          <w:lang w:val="en-US" w:eastAsia="zh-CN"/>
        </w:rPr>
        <w:t>29.27</w:t>
      </w:r>
      <w:r>
        <w:rPr>
          <w:rFonts w:hint="default" w:ascii="Times New Roman" w:hAnsi="Times New Roman" w:eastAsia="Times New Roman" w:cs="Times New Roman"/>
          <w:spacing w:val="0"/>
        </w:rPr>
        <w:t>%</w:t>
      </w:r>
      <w:r>
        <w:rPr>
          <w:rFonts w:hint="default" w:ascii="Times New Roman" w:hAnsi="Times New Roman" w:cs="Times New Roman"/>
          <w:spacing w:val="0"/>
        </w:rPr>
        <w:t>；项目支出</w:t>
      </w:r>
      <w:r>
        <w:rPr>
          <w:rFonts w:hint="eastAsia" w:ascii="Times New Roman" w:hAnsi="Times New Roman" w:cs="Times New Roman"/>
          <w:spacing w:val="0"/>
          <w:lang w:val="en-US" w:eastAsia="zh-CN"/>
        </w:rPr>
        <w:t>4906.17</w:t>
      </w:r>
      <w:r>
        <w:rPr>
          <w:rFonts w:hint="default" w:ascii="Times New Roman" w:hAnsi="Times New Roman" w:cs="Times New Roman"/>
          <w:spacing w:val="0"/>
        </w:rPr>
        <w:t>万元，占</w:t>
      </w:r>
      <w:r>
        <w:rPr>
          <w:rFonts w:hint="eastAsia" w:ascii="Times New Roman" w:hAnsi="Times New Roman" w:eastAsia="宋体" w:cs="Times New Roman"/>
          <w:spacing w:val="0"/>
          <w:lang w:val="en-US" w:eastAsia="zh-CN"/>
        </w:rPr>
        <w:t>70.73</w:t>
      </w:r>
      <w:r>
        <w:rPr>
          <w:rFonts w:hint="default" w:ascii="Times New Roman" w:hAnsi="Times New Roman" w:eastAsia="Times New Roman" w:cs="Times New Roman"/>
          <w:spacing w:val="0"/>
        </w:rPr>
        <w:t>%</w:t>
      </w:r>
      <w:r>
        <w:rPr>
          <w:rFonts w:hint="default" w:ascii="Times New Roman" w:hAnsi="Times New Roman" w:cs="Times New Roman"/>
          <w:spacing w:val="0"/>
        </w:rPr>
        <w:t>；经营支出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。此外，结余分配</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14:paraId="6A06CAC5">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4.</w:t>
      </w: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14:paraId="537F0AFA">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（二）财政拨款收入支出决算总体情况说明</w:t>
      </w:r>
    </w:p>
    <w:p w14:paraId="13E37292">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年度财政拨款收、支总计</w:t>
      </w:r>
      <w:r>
        <w:rPr>
          <w:rFonts w:hint="default" w:ascii="Times New Roman" w:hAnsi="Times New Roman" w:eastAsia="Times New Roman" w:cs="Times New Roman"/>
          <w:spacing w:val="0"/>
        </w:rPr>
        <w:t>6</w:t>
      </w:r>
      <w:r>
        <w:rPr>
          <w:rFonts w:hint="eastAsia" w:ascii="Times New Roman" w:hAnsi="Times New Roman" w:eastAsia="宋体" w:cs="Times New Roman"/>
          <w:spacing w:val="0"/>
          <w:lang w:val="en-US" w:eastAsia="zh-CN"/>
        </w:rPr>
        <w:t>936.51</w:t>
      </w:r>
      <w:r>
        <w:rPr>
          <w:rFonts w:hint="default" w:ascii="Times New Roman" w:hAnsi="Times New Roman" w:cs="Times New Roman"/>
          <w:spacing w:val="0"/>
        </w:rPr>
        <w:t>万元。与</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3</w:t>
      </w:r>
      <w:r>
        <w:rPr>
          <w:rFonts w:hint="default" w:ascii="Times New Roman" w:hAnsi="Times New Roman" w:cs="Times New Roman"/>
          <w:spacing w:val="0"/>
        </w:rPr>
        <w:t>年相比，财政拨款收、支总计各</w:t>
      </w:r>
      <w:r>
        <w:rPr>
          <w:rFonts w:hint="eastAsia" w:ascii="Times New Roman" w:hAnsi="Times New Roman" w:cs="Times New Roman"/>
          <w:spacing w:val="0"/>
          <w:lang w:val="en-US" w:eastAsia="zh-CN"/>
        </w:rPr>
        <w:t>增加</w:t>
      </w:r>
      <w:r>
        <w:rPr>
          <w:rFonts w:hint="eastAsia" w:ascii="Times New Roman" w:hAnsi="Times New Roman" w:eastAsia="宋体" w:cs="Times New Roman"/>
          <w:spacing w:val="0"/>
          <w:lang w:val="en-US" w:eastAsia="zh-CN"/>
        </w:rPr>
        <w:t>369.45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增长5.6%</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p>
    <w:p w14:paraId="6BBC879D">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（三）一般公共预算财政拨款收入支出决算情况说明</w:t>
      </w:r>
    </w:p>
    <w:p w14:paraId="7A36EBDD">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b/>
          <w:bCs/>
          <w:spacing w:val="0"/>
        </w:rPr>
        <w:t>1.</w:t>
      </w: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年度一般公共预算财政拨款收入</w:t>
      </w:r>
      <w:r>
        <w:rPr>
          <w:rFonts w:hint="eastAsia" w:ascii="Times New Roman" w:hAnsi="Times New Roman" w:cs="Times New Roman"/>
          <w:spacing w:val="0"/>
          <w:lang w:val="en-US" w:eastAsia="zh-CN"/>
        </w:rPr>
        <w:t>6921.13</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增加369.26</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增长5.6</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p>
    <w:p w14:paraId="07AA7854">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1430.63</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29.31</w:t>
      </w:r>
      <w:r>
        <w:rPr>
          <w:rFonts w:hint="default" w:ascii="Times New Roman" w:hAnsi="Times New Roman" w:eastAsia="Times New Roman" w:cs="Times New Roman"/>
          <w:spacing w:val="0"/>
        </w:rPr>
        <w:t>%</w:t>
      </w:r>
      <w:r>
        <w:rPr>
          <w:rFonts w:hint="eastAsia" w:ascii="Times New Roman" w:hAnsi="Times New Roman" w:eastAsia="宋体"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p>
    <w:p w14:paraId="4EBAD144">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lang w:val="en-US"/>
        </w:rPr>
      </w:pPr>
      <w:r>
        <w:rPr>
          <w:rFonts w:hint="default" w:ascii="Times New Roman" w:hAnsi="Times New Roman" w:eastAsia="Times New Roman" w:cs="Times New Roman"/>
          <w:b/>
          <w:bCs/>
          <w:spacing w:val="0"/>
        </w:rPr>
        <w:t>2.</w:t>
      </w: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w:t>
      </w:r>
      <w:r>
        <w:rPr>
          <w:rFonts w:hint="eastAsia" w:ascii="Times New Roman" w:hAnsi="Times New Roman" w:cs="Times New Roman"/>
          <w:spacing w:val="0"/>
          <w:lang w:val="en-US" w:eastAsia="zh-CN"/>
        </w:rPr>
        <w:t>6921.13</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增加369.26</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增长5.6</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减少追加疫情防控工作经费。</w:t>
      </w:r>
    </w:p>
    <w:p w14:paraId="77883490">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b/>
          <w:bCs/>
          <w:spacing w:val="0"/>
        </w:rPr>
        <w:t>3.</w:t>
      </w: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年度年末一般公共预算财政拨款结转和结余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14:paraId="64B5A3C2">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b/>
          <w:bCs/>
          <w:spacing w:val="0"/>
        </w:rPr>
        <w:t>4.</w:t>
      </w:r>
      <w:r>
        <w:rPr>
          <w:rFonts w:hint="default" w:ascii="Times New Roman" w:hAnsi="Times New Roman" w:cs="Times New Roman"/>
          <w:b/>
          <w:bCs/>
          <w:spacing w:val="0"/>
        </w:rPr>
        <w:t>比较情况。</w:t>
      </w: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年度一般公共预算财政拨款支出主要用于以下几个方面：</w:t>
      </w:r>
    </w:p>
    <w:p w14:paraId="6925E612">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w:t>
      </w:r>
      <w:r>
        <w:rPr>
          <w:rFonts w:hint="default" w:ascii="Times New Roman" w:hAnsi="Times New Roman" w:eastAsia="Times New Roman" w:cs="Times New Roman"/>
          <w:spacing w:val="0"/>
        </w:rPr>
        <w:t>1</w:t>
      </w:r>
      <w:r>
        <w:rPr>
          <w:rFonts w:hint="default" w:ascii="Times New Roman" w:hAnsi="Times New Roman" w:cs="Times New Roman"/>
          <w:spacing w:val="0"/>
        </w:rPr>
        <w:t>）</w:t>
      </w:r>
      <w:r>
        <w:rPr>
          <w:rFonts w:hint="default" w:ascii="Times New Roman" w:hAnsi="Times New Roman" w:cs="Times New Roman"/>
          <w:spacing w:val="0"/>
          <w:highlight w:val="none"/>
        </w:rPr>
        <w:t>一般公共服务支出</w:t>
      </w:r>
      <w:r>
        <w:rPr>
          <w:rFonts w:hint="eastAsia" w:ascii="Times New Roman" w:hAnsi="Times New Roman" w:eastAsia="宋体" w:cs="Times New Roman"/>
          <w:spacing w:val="0"/>
          <w:lang w:val="en-US" w:eastAsia="zh-CN"/>
        </w:rPr>
        <w:t>3051.4</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占</w:t>
      </w:r>
      <w:r>
        <w:rPr>
          <w:rFonts w:hint="eastAsia" w:ascii="Times New Roman" w:hAnsi="Times New Roman" w:cs="Times New Roman"/>
          <w:spacing w:val="0"/>
          <w:lang w:val="en-US" w:eastAsia="zh-CN"/>
        </w:rPr>
        <w:t>44.09</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减少762.3</w:t>
      </w:r>
      <w:r>
        <w:rPr>
          <w:rFonts w:hint="default" w:ascii="Times New Roman" w:hAnsi="Times New Roman" w:cs="Times New Roman"/>
          <w:spacing w:val="0"/>
        </w:rPr>
        <w:t>万元，</w:t>
      </w:r>
      <w:r>
        <w:rPr>
          <w:rFonts w:hint="eastAsia" w:ascii="Times New Roman" w:hAnsi="Times New Roman" w:cs="Times New Roman"/>
          <w:spacing w:val="0"/>
          <w:lang w:val="en-US" w:eastAsia="zh-CN"/>
        </w:rPr>
        <w:t>下降</w:t>
      </w:r>
      <w:r>
        <w:rPr>
          <w:rFonts w:hint="eastAsia" w:ascii="Times New Roman" w:hAnsi="Times New Roman" w:eastAsia="宋体" w:cs="Times New Roman"/>
          <w:spacing w:val="0"/>
          <w:lang w:val="en-US" w:eastAsia="zh-CN"/>
        </w:rPr>
        <w:t>20</w:t>
      </w:r>
      <w:r>
        <w:rPr>
          <w:rFonts w:hint="default" w:ascii="Times New Roman" w:hAnsi="Times New Roman" w:eastAsia="Times New Roman" w:cs="Times New Roman"/>
          <w:spacing w:val="0"/>
        </w:rPr>
        <w:t>%</w:t>
      </w:r>
      <w:r>
        <w:rPr>
          <w:rFonts w:hint="default" w:ascii="Times New Roman" w:hAnsi="Times New Roman" w:cs="Times New Roman"/>
          <w:spacing w:val="0"/>
        </w:rPr>
        <w:t>，主要原因</w:t>
      </w:r>
      <w:r>
        <w:rPr>
          <w:rFonts w:hint="eastAsia" w:ascii="Times New Roman" w:hAnsi="Times New Roman" w:cs="Times New Roman"/>
          <w:spacing w:val="0"/>
          <w:lang w:val="en-US" w:eastAsia="zh-CN"/>
        </w:rPr>
        <w:t>是将城市综合治理项目经费、个性化项目经费的功能分类从“2010302一般行政管理事务”调整为“2120102一般行政管理事务”。</w:t>
      </w:r>
    </w:p>
    <w:p w14:paraId="7FE0D963">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w:t>
      </w:r>
      <w:r>
        <w:rPr>
          <w:rFonts w:hint="default" w:ascii="Times New Roman" w:hAnsi="Times New Roman" w:eastAsia="Times New Roman" w:cs="Times New Roman"/>
          <w:spacing w:val="0"/>
        </w:rPr>
        <w:t>2</w:t>
      </w:r>
      <w:r>
        <w:rPr>
          <w:rFonts w:hint="default" w:ascii="Times New Roman" w:hAnsi="Times New Roman" w:cs="Times New Roman"/>
          <w:spacing w:val="0"/>
        </w:rPr>
        <w:t>）公共安全支出</w:t>
      </w:r>
      <w:r>
        <w:rPr>
          <w:rFonts w:hint="default" w:ascii="Times New Roman" w:hAnsi="Times New Roman" w:eastAsia="Times New Roman" w:cs="Times New Roman"/>
          <w:spacing w:val="0"/>
        </w:rPr>
        <w:t>4</w:t>
      </w:r>
      <w:r>
        <w:rPr>
          <w:rFonts w:hint="eastAsia" w:ascii="Times New Roman" w:hAnsi="Times New Roman" w:eastAsia="宋体" w:cs="Times New Roman"/>
          <w:spacing w:val="0"/>
          <w:lang w:val="en-US" w:eastAsia="zh-CN"/>
        </w:rPr>
        <w:t>08.82</w:t>
      </w:r>
      <w:r>
        <w:rPr>
          <w:rFonts w:hint="default" w:ascii="Times New Roman" w:hAnsi="Times New Roman" w:cs="Times New Roman"/>
          <w:spacing w:val="0"/>
        </w:rPr>
        <w:t>万元，占</w:t>
      </w:r>
      <w:r>
        <w:rPr>
          <w:rFonts w:hint="eastAsia" w:ascii="Times New Roman" w:hAnsi="Times New Roman" w:cs="Times New Roman"/>
          <w:spacing w:val="0"/>
          <w:lang w:val="en-US" w:eastAsia="zh-CN"/>
        </w:rPr>
        <w:t>5.9</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w:t>
      </w:r>
      <w:r>
        <w:rPr>
          <w:rFonts w:hint="default" w:ascii="Times New Roman" w:hAnsi="Times New Roman" w:eastAsia="Times New Roman" w:cs="Times New Roman"/>
          <w:spacing w:val="0"/>
        </w:rPr>
        <w:t>4</w:t>
      </w:r>
      <w:r>
        <w:rPr>
          <w:rFonts w:hint="eastAsia" w:ascii="Times New Roman" w:hAnsi="Times New Roman" w:eastAsia="宋体" w:cs="Times New Roman"/>
          <w:spacing w:val="0"/>
          <w:lang w:val="en-US" w:eastAsia="zh-CN"/>
        </w:rPr>
        <w:t>08.82</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功能分类调整</w:t>
      </w:r>
      <w:r>
        <w:rPr>
          <w:rFonts w:hint="default" w:ascii="Times New Roman" w:hAnsi="Times New Roman" w:cs="Times New Roman"/>
          <w:spacing w:val="0"/>
        </w:rPr>
        <w:t>。</w:t>
      </w:r>
    </w:p>
    <w:p w14:paraId="0C7A08C0">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w:t>
      </w:r>
      <w:r>
        <w:rPr>
          <w:rFonts w:hint="default" w:ascii="Times New Roman" w:hAnsi="Times New Roman" w:eastAsia="Times New Roman" w:cs="Times New Roman"/>
          <w:spacing w:val="0"/>
        </w:rPr>
        <w:t>3</w:t>
      </w:r>
      <w:r>
        <w:rPr>
          <w:rFonts w:hint="default" w:ascii="Times New Roman" w:hAnsi="Times New Roman" w:cs="Times New Roman"/>
          <w:spacing w:val="0"/>
        </w:rPr>
        <w:t>）社会保障与就业支出</w:t>
      </w:r>
      <w:r>
        <w:rPr>
          <w:rFonts w:hint="eastAsia" w:ascii="Times New Roman" w:hAnsi="Times New Roman" w:cs="Times New Roman"/>
          <w:spacing w:val="0"/>
          <w:lang w:val="en-US" w:eastAsia="zh-CN"/>
        </w:rPr>
        <w:t>636.36</w:t>
      </w:r>
      <w:r>
        <w:rPr>
          <w:rFonts w:hint="default" w:ascii="Times New Roman" w:hAnsi="Times New Roman" w:cs="Times New Roman"/>
          <w:spacing w:val="0"/>
        </w:rPr>
        <w:t>万元，占</w:t>
      </w:r>
      <w:r>
        <w:rPr>
          <w:rFonts w:hint="eastAsia" w:ascii="Times New Roman" w:hAnsi="Times New Roman" w:cs="Times New Roman"/>
          <w:spacing w:val="0"/>
          <w:lang w:val="en-US" w:eastAsia="zh-CN"/>
        </w:rPr>
        <w:t>9</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181.2</w:t>
      </w:r>
      <w:r>
        <w:rPr>
          <w:rFonts w:hint="default" w:ascii="Times New Roman" w:hAnsi="Times New Roman" w:cs="Times New Roman"/>
          <w:spacing w:val="0"/>
        </w:rPr>
        <w:t>万元，增长</w:t>
      </w:r>
      <w:r>
        <w:rPr>
          <w:rFonts w:hint="eastAsia" w:ascii="Times New Roman" w:hAnsi="Times New Roman" w:eastAsia="宋体" w:cs="Times New Roman"/>
          <w:spacing w:val="0"/>
          <w:lang w:val="en-US" w:eastAsia="zh-CN"/>
        </w:rPr>
        <w:t>23.1</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，主要原因是追加</w:t>
      </w:r>
      <w:r>
        <w:rPr>
          <w:rFonts w:hint="eastAsia" w:ascii="Times New Roman" w:hAnsi="Times New Roman" w:cs="Times New Roman"/>
          <w:spacing w:val="0"/>
          <w:lang w:val="en-US" w:eastAsia="zh-CN"/>
        </w:rPr>
        <w:t>城镇定救临救、人生关怀、无军籍职工工资及生活待遇等项目资金。</w:t>
      </w:r>
    </w:p>
    <w:p w14:paraId="172FEBC1">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w:t>
      </w:r>
      <w:r>
        <w:rPr>
          <w:rFonts w:hint="default" w:ascii="Times New Roman" w:hAnsi="Times New Roman" w:eastAsia="Times New Roman" w:cs="Times New Roman"/>
          <w:spacing w:val="0"/>
        </w:rPr>
        <w:t>4</w:t>
      </w:r>
      <w:r>
        <w:rPr>
          <w:rFonts w:hint="default" w:ascii="Times New Roman" w:hAnsi="Times New Roman" w:cs="Times New Roman"/>
          <w:spacing w:val="0"/>
        </w:rPr>
        <w:t>）卫生健康支出</w:t>
      </w:r>
      <w:r>
        <w:rPr>
          <w:rFonts w:hint="eastAsia" w:ascii="Times New Roman" w:hAnsi="Times New Roman" w:cs="Times New Roman"/>
          <w:spacing w:val="0"/>
          <w:lang w:val="en-US" w:eastAsia="zh-CN"/>
        </w:rPr>
        <w:t>121.61</w:t>
      </w:r>
      <w:r>
        <w:rPr>
          <w:rFonts w:hint="default" w:ascii="Times New Roman" w:hAnsi="Times New Roman" w:cs="Times New Roman"/>
          <w:spacing w:val="0"/>
        </w:rPr>
        <w:t>万元，占</w:t>
      </w:r>
      <w:r>
        <w:rPr>
          <w:rFonts w:hint="eastAsia" w:ascii="Times New Roman" w:hAnsi="Times New Roman" w:cs="Times New Roman"/>
          <w:spacing w:val="0"/>
          <w:lang w:val="en-US" w:eastAsia="zh-CN"/>
        </w:rPr>
        <w:t>1.7</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减少3.89</w:t>
      </w:r>
      <w:r>
        <w:rPr>
          <w:rFonts w:hint="default" w:ascii="Times New Roman" w:hAnsi="Times New Roman" w:cs="Times New Roman"/>
          <w:spacing w:val="0"/>
        </w:rPr>
        <w:t>万元，</w:t>
      </w:r>
      <w:r>
        <w:rPr>
          <w:rFonts w:hint="eastAsia" w:ascii="Times New Roman" w:hAnsi="Times New Roman" w:cs="Times New Roman"/>
          <w:spacing w:val="0"/>
          <w:lang w:val="en-US" w:eastAsia="zh-CN"/>
        </w:rPr>
        <w:t>减少3</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医保垫底金调减</w:t>
      </w:r>
      <w:r>
        <w:rPr>
          <w:rFonts w:hint="default" w:ascii="Times New Roman" w:hAnsi="Times New Roman" w:cs="Times New Roman"/>
          <w:spacing w:val="0"/>
        </w:rPr>
        <w:t>。</w:t>
      </w:r>
    </w:p>
    <w:p w14:paraId="32EEF705">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w:t>
      </w:r>
      <w:r>
        <w:rPr>
          <w:rFonts w:hint="default" w:ascii="Times New Roman" w:hAnsi="Times New Roman" w:eastAsia="Times New Roman" w:cs="Times New Roman"/>
          <w:spacing w:val="0"/>
        </w:rPr>
        <w:t>5</w:t>
      </w:r>
      <w:r>
        <w:rPr>
          <w:rFonts w:hint="default" w:ascii="Times New Roman" w:hAnsi="Times New Roman" w:cs="Times New Roman"/>
          <w:spacing w:val="0"/>
        </w:rPr>
        <w:t>）城乡社区支出</w:t>
      </w:r>
      <w:r>
        <w:rPr>
          <w:rFonts w:hint="eastAsia" w:ascii="Times New Roman" w:hAnsi="Times New Roman" w:eastAsia="宋体" w:cs="Times New Roman"/>
          <w:spacing w:val="0"/>
          <w:lang w:val="en-US" w:eastAsia="zh-CN"/>
        </w:rPr>
        <w:t>971.92</w:t>
      </w:r>
      <w:r>
        <w:rPr>
          <w:rFonts w:hint="default" w:ascii="Times New Roman" w:hAnsi="Times New Roman" w:cs="Times New Roman"/>
          <w:spacing w:val="0"/>
        </w:rPr>
        <w:t>万元，占</w:t>
      </w:r>
      <w:r>
        <w:rPr>
          <w:rFonts w:hint="default" w:ascii="Times New Roman" w:hAnsi="Times New Roman" w:eastAsia="Times New Roman" w:cs="Times New Roman"/>
          <w:spacing w:val="0"/>
        </w:rPr>
        <w:t>1</w:t>
      </w:r>
      <w:r>
        <w:rPr>
          <w:rFonts w:hint="eastAsia" w:ascii="Times New Roman" w:hAnsi="Times New Roman" w:eastAsia="宋体" w:cs="Times New Roman"/>
          <w:spacing w:val="0"/>
          <w:lang w:val="en-US" w:eastAsia="zh-CN"/>
        </w:rPr>
        <w:t>4</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，较年初预算数增加</w:t>
      </w:r>
      <w:r>
        <w:rPr>
          <w:rFonts w:hint="eastAsia" w:ascii="Times New Roman" w:hAnsi="Times New Roman" w:eastAsia="宋体" w:cs="Times New Roman"/>
          <w:spacing w:val="0"/>
          <w:lang w:val="en-US" w:eastAsia="zh-CN"/>
        </w:rPr>
        <w:t>971.92</w:t>
      </w:r>
      <w:r>
        <w:rPr>
          <w:rFonts w:hint="default" w:ascii="Times New Roman" w:hAnsi="Times New Roman" w:cs="Times New Roman"/>
          <w:spacing w:val="0"/>
        </w:rPr>
        <w:t>万元，增长</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城市综合治理、垃圾分类等项目功能分类调整及</w:t>
      </w:r>
      <w:r>
        <w:rPr>
          <w:rFonts w:hint="default" w:ascii="Times New Roman" w:hAnsi="Times New Roman" w:cs="Times New Roman"/>
          <w:spacing w:val="0"/>
        </w:rPr>
        <w:t>追加</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3</w:t>
      </w:r>
      <w:r>
        <w:rPr>
          <w:rFonts w:hint="default" w:ascii="Times New Roman" w:hAnsi="Times New Roman" w:cs="Times New Roman"/>
          <w:spacing w:val="0"/>
        </w:rPr>
        <w:t>年下半年</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2024上半年</w:t>
      </w:r>
      <w:r>
        <w:rPr>
          <w:rFonts w:hint="default" w:ascii="Times New Roman" w:hAnsi="Times New Roman" w:cs="Times New Roman"/>
          <w:spacing w:val="0"/>
        </w:rPr>
        <w:t>老旧住宅物业管理等级评价</w:t>
      </w:r>
      <w:r>
        <w:rPr>
          <w:rFonts w:hint="default" w:ascii="Times New Roman" w:hAnsi="Times New Roman" w:eastAsia="Times New Roman" w:cs="Times New Roman"/>
          <w:spacing w:val="0"/>
        </w:rPr>
        <w:t>“</w:t>
      </w:r>
      <w:r>
        <w:rPr>
          <w:rFonts w:hint="default" w:ascii="Times New Roman" w:hAnsi="Times New Roman" w:cs="Times New Roman"/>
          <w:spacing w:val="0"/>
        </w:rPr>
        <w:t>保底扶持</w:t>
      </w:r>
      <w:r>
        <w:rPr>
          <w:rFonts w:hint="default" w:ascii="Times New Roman" w:hAnsi="Times New Roman" w:eastAsia="Times New Roman" w:cs="Times New Roman"/>
          <w:spacing w:val="0"/>
        </w:rPr>
        <w:t>+</w:t>
      </w:r>
      <w:r>
        <w:rPr>
          <w:rFonts w:hint="default" w:ascii="Times New Roman" w:hAnsi="Times New Roman" w:cs="Times New Roman"/>
          <w:spacing w:val="0"/>
        </w:rPr>
        <w:t>评价奖励</w:t>
      </w:r>
      <w:r>
        <w:rPr>
          <w:rFonts w:hint="default" w:ascii="Times New Roman" w:hAnsi="Times New Roman" w:eastAsia="Times New Roman" w:cs="Times New Roman"/>
          <w:spacing w:val="0"/>
        </w:rPr>
        <w:t>”</w:t>
      </w:r>
      <w:r>
        <w:rPr>
          <w:rFonts w:hint="default" w:ascii="Times New Roman" w:hAnsi="Times New Roman" w:cs="Times New Roman"/>
          <w:spacing w:val="0"/>
        </w:rPr>
        <w:t>资金。</w:t>
      </w:r>
    </w:p>
    <w:p w14:paraId="3B84B706">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w:t>
      </w:r>
      <w:r>
        <w:rPr>
          <w:rFonts w:hint="eastAsia" w:ascii="Times New Roman" w:hAnsi="Times New Roman" w:cs="Times New Roman"/>
          <w:spacing w:val="0"/>
          <w:lang w:val="en-US" w:eastAsia="zh-CN"/>
        </w:rPr>
        <w:t>6</w:t>
      </w:r>
      <w:r>
        <w:rPr>
          <w:rFonts w:hint="default" w:ascii="Times New Roman" w:hAnsi="Times New Roman" w:cs="Times New Roman"/>
          <w:spacing w:val="0"/>
        </w:rPr>
        <w:t>）自然资源海洋气象等支出</w:t>
      </w:r>
      <w:r>
        <w:rPr>
          <w:rFonts w:hint="default" w:ascii="Times New Roman" w:hAnsi="Times New Roman" w:eastAsia="Times New Roman" w:cs="Times New Roman"/>
          <w:spacing w:val="0"/>
        </w:rPr>
        <w:t>2.00</w:t>
      </w:r>
      <w:r>
        <w:rPr>
          <w:rFonts w:hint="default" w:ascii="Times New Roman" w:hAnsi="Times New Roman" w:cs="Times New Roman"/>
          <w:spacing w:val="0"/>
        </w:rPr>
        <w:t>万元，占</w:t>
      </w:r>
      <w:r>
        <w:rPr>
          <w:rFonts w:hint="default" w:ascii="Times New Roman" w:hAnsi="Times New Roman" w:eastAsia="Times New Roman" w:cs="Times New Roman"/>
          <w:spacing w:val="0"/>
        </w:rPr>
        <w:t>0.0</w:t>
      </w:r>
      <w:r>
        <w:rPr>
          <w:rFonts w:hint="eastAsia" w:ascii="Times New Roman" w:hAnsi="Times New Roman" w:eastAsia="宋体" w:cs="Times New Roman"/>
          <w:spacing w:val="0"/>
          <w:lang w:val="en-US" w:eastAsia="zh-CN"/>
        </w:rPr>
        <w:t>3</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，较年初预算数增加</w:t>
      </w:r>
      <w:r>
        <w:rPr>
          <w:rFonts w:hint="default" w:ascii="Times New Roman" w:hAnsi="Times New Roman" w:eastAsia="Times New Roman" w:cs="Times New Roman"/>
          <w:spacing w:val="0"/>
        </w:rPr>
        <w:t>2.00</w:t>
      </w:r>
      <w:r>
        <w:rPr>
          <w:rFonts w:hint="default" w:ascii="Times New Roman" w:hAnsi="Times New Roman" w:cs="Times New Roman"/>
          <w:spacing w:val="0"/>
        </w:rPr>
        <w:t>万元，增长</w:t>
      </w:r>
      <w:r>
        <w:rPr>
          <w:rFonts w:hint="default" w:ascii="Times New Roman" w:hAnsi="Times New Roman" w:eastAsia="Times New Roman" w:cs="Times New Roman"/>
          <w:spacing w:val="0"/>
        </w:rPr>
        <w:t>100.00%</w:t>
      </w:r>
      <w:r>
        <w:rPr>
          <w:rFonts w:hint="default" w:ascii="Times New Roman" w:hAnsi="Times New Roman" w:cs="Times New Roman"/>
          <w:spacing w:val="0"/>
        </w:rPr>
        <w:t>，主要原因是追加地质防治工作经费：群防群测工作经费。</w:t>
      </w:r>
    </w:p>
    <w:p w14:paraId="6355F28B">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w:t>
      </w:r>
      <w:r>
        <w:rPr>
          <w:rFonts w:hint="eastAsia" w:ascii="Times New Roman" w:hAnsi="Times New Roman" w:cs="Times New Roman"/>
          <w:spacing w:val="0"/>
          <w:lang w:val="en-US" w:eastAsia="zh-CN"/>
        </w:rPr>
        <w:t>7</w:t>
      </w:r>
      <w:r>
        <w:rPr>
          <w:rFonts w:hint="default" w:ascii="Times New Roman" w:hAnsi="Times New Roman" w:cs="Times New Roman"/>
          <w:spacing w:val="0"/>
        </w:rPr>
        <w:t>）住房保障支出</w:t>
      </w:r>
      <w:r>
        <w:rPr>
          <w:rFonts w:hint="eastAsia" w:ascii="Times New Roman" w:hAnsi="Times New Roman" w:eastAsia="宋体" w:cs="Times New Roman"/>
          <w:spacing w:val="0"/>
          <w:lang w:val="en-US" w:eastAsia="zh-CN"/>
        </w:rPr>
        <w:t>1374.2</w:t>
      </w:r>
      <w:r>
        <w:rPr>
          <w:rFonts w:hint="default" w:ascii="Times New Roman" w:hAnsi="Times New Roman" w:cs="Times New Roman"/>
          <w:spacing w:val="0"/>
        </w:rPr>
        <w:t>万元，占</w:t>
      </w:r>
      <w:r>
        <w:rPr>
          <w:rFonts w:hint="eastAsia" w:ascii="Times New Roman" w:hAnsi="Times New Roman" w:eastAsia="宋体" w:cs="Times New Roman"/>
          <w:spacing w:val="0"/>
          <w:lang w:val="en-US" w:eastAsia="zh-CN"/>
        </w:rPr>
        <w:t>19.8</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，较年初预算增加</w:t>
      </w:r>
      <w:r>
        <w:rPr>
          <w:rFonts w:hint="default" w:ascii="Times New Roman" w:hAnsi="Times New Roman" w:eastAsia="Times New Roman" w:cs="Times New Roman"/>
          <w:spacing w:val="0"/>
        </w:rPr>
        <w:t>1</w:t>
      </w:r>
      <w:r>
        <w:rPr>
          <w:rFonts w:hint="eastAsia" w:ascii="Times New Roman" w:hAnsi="Times New Roman" w:eastAsia="宋体" w:cs="Times New Roman"/>
          <w:spacing w:val="0"/>
          <w:lang w:val="en-US" w:eastAsia="zh-CN"/>
        </w:rPr>
        <w:t>43.2</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11.6</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新增</w:t>
      </w:r>
      <w:r>
        <w:rPr>
          <w:rFonts w:hint="default" w:ascii="Times New Roman" w:hAnsi="Times New Roman" w:cs="Times New Roman"/>
          <w:spacing w:val="0"/>
        </w:rPr>
        <w:t>解放西路66号老旧小区改造项目</w:t>
      </w:r>
      <w:r>
        <w:rPr>
          <w:rFonts w:hint="eastAsia" w:ascii="Times New Roman" w:hAnsi="Times New Roman" w:cs="Times New Roman"/>
          <w:spacing w:val="0"/>
          <w:lang w:eastAsia="zh-CN"/>
        </w:rPr>
        <w:t>、</w:t>
      </w:r>
      <w:r>
        <w:rPr>
          <w:rFonts w:hint="default" w:ascii="Times New Roman" w:hAnsi="Times New Roman" w:cs="Times New Roman"/>
          <w:spacing w:val="0"/>
        </w:rPr>
        <w:t>南纪门片区老旧小区配套基础设施建设工程</w:t>
      </w:r>
      <w:r>
        <w:rPr>
          <w:rFonts w:hint="eastAsia" w:ascii="Times New Roman" w:hAnsi="Times New Roman" w:cs="Times New Roman"/>
          <w:spacing w:val="0"/>
          <w:lang w:eastAsia="zh-CN"/>
        </w:rPr>
        <w:t>。</w:t>
      </w:r>
    </w:p>
    <w:p w14:paraId="407CD3E5">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eastAsia="zh-CN"/>
        </w:rPr>
      </w:pPr>
      <w:r>
        <w:rPr>
          <w:rFonts w:hint="default" w:ascii="Times New Roman" w:hAnsi="Times New Roman" w:cs="Times New Roman"/>
          <w:spacing w:val="0"/>
        </w:rPr>
        <w:t>（</w:t>
      </w:r>
      <w:r>
        <w:rPr>
          <w:rFonts w:hint="eastAsia" w:ascii="Times New Roman" w:hAnsi="Times New Roman" w:cs="Times New Roman"/>
          <w:spacing w:val="0"/>
          <w:lang w:val="en-US" w:eastAsia="zh-CN"/>
        </w:rPr>
        <w:t>8</w:t>
      </w:r>
      <w:r>
        <w:rPr>
          <w:rFonts w:hint="default" w:ascii="Times New Roman" w:hAnsi="Times New Roman" w:cs="Times New Roman"/>
          <w:spacing w:val="0"/>
        </w:rPr>
        <w:t>）灾害防治及应急管理支出</w:t>
      </w:r>
      <w:r>
        <w:rPr>
          <w:rFonts w:hint="eastAsia" w:ascii="Times New Roman" w:hAnsi="Times New Roman" w:cs="Times New Roman"/>
          <w:spacing w:val="0"/>
          <w:lang w:val="en-US" w:eastAsia="zh-CN"/>
        </w:rPr>
        <w:t>25.97</w:t>
      </w:r>
      <w:r>
        <w:rPr>
          <w:rFonts w:hint="default" w:ascii="Times New Roman" w:hAnsi="Times New Roman" w:cs="Times New Roman"/>
          <w:spacing w:val="0"/>
        </w:rPr>
        <w:t>万元，占</w:t>
      </w:r>
      <w:r>
        <w:rPr>
          <w:rFonts w:hint="default" w:ascii="Times New Roman" w:hAnsi="Times New Roman" w:eastAsia="Times New Roman" w:cs="Times New Roman"/>
          <w:spacing w:val="0"/>
        </w:rPr>
        <w:t>0.</w:t>
      </w:r>
      <w:r>
        <w:rPr>
          <w:rFonts w:hint="eastAsia" w:ascii="Times New Roman" w:hAnsi="Times New Roman" w:eastAsia="宋体" w:cs="Times New Roman"/>
          <w:spacing w:val="0"/>
          <w:lang w:val="en-US" w:eastAsia="zh-CN"/>
        </w:rPr>
        <w:t>3</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25.97</w:t>
      </w:r>
      <w:r>
        <w:rPr>
          <w:rFonts w:hint="default" w:ascii="Times New Roman" w:hAnsi="Times New Roman" w:cs="Times New Roman"/>
          <w:spacing w:val="0"/>
        </w:rPr>
        <w:t>万元，增长</w:t>
      </w:r>
      <w:r>
        <w:rPr>
          <w:rFonts w:hint="default" w:ascii="Times New Roman" w:hAnsi="Times New Roman" w:eastAsia="Times New Roman" w:cs="Times New Roman"/>
          <w:spacing w:val="0"/>
        </w:rPr>
        <w:t>100.00%</w:t>
      </w:r>
      <w:r>
        <w:rPr>
          <w:rFonts w:hint="default" w:ascii="Times New Roman" w:hAnsi="Times New Roman" w:cs="Times New Roman"/>
          <w:spacing w:val="0"/>
        </w:rPr>
        <w:t>，主要原因是追加长滨路225号星辰花园裙楼外立面应急排危整治经费</w:t>
      </w:r>
      <w:r>
        <w:rPr>
          <w:rFonts w:hint="eastAsia" w:ascii="Times New Roman" w:hAnsi="Times New Roman" w:cs="Times New Roman"/>
          <w:spacing w:val="0"/>
          <w:lang w:eastAsia="zh-CN"/>
        </w:rPr>
        <w:t>。</w:t>
      </w:r>
    </w:p>
    <w:p w14:paraId="5F6606E3">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（四）一般公共预算财政拨款基本支出决算情况说明</w:t>
      </w:r>
    </w:p>
    <w:p w14:paraId="4EF27F8B">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highlight w:val="none"/>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年度一般公共财政拨款基本支出</w:t>
      </w:r>
      <w:r>
        <w:rPr>
          <w:rFonts w:hint="default" w:ascii="Times New Roman" w:hAnsi="Times New Roman" w:eastAsia="Times New Roman" w:cs="Times New Roman"/>
          <w:spacing w:val="0"/>
        </w:rPr>
        <w:t>20</w:t>
      </w:r>
      <w:r>
        <w:rPr>
          <w:rFonts w:hint="eastAsia" w:ascii="Times New Roman" w:hAnsi="Times New Roman" w:eastAsia="宋体" w:cs="Times New Roman"/>
          <w:spacing w:val="0"/>
          <w:lang w:val="en-US" w:eastAsia="zh-CN"/>
        </w:rPr>
        <w:t>30.33</w:t>
      </w:r>
      <w:r>
        <w:rPr>
          <w:rFonts w:hint="default" w:ascii="Times New Roman" w:hAnsi="Times New Roman" w:cs="Times New Roman"/>
          <w:spacing w:val="0"/>
        </w:rPr>
        <w:t>万元。其中：人员经费</w:t>
      </w:r>
      <w:r>
        <w:rPr>
          <w:rFonts w:hint="default" w:ascii="Times New Roman" w:hAnsi="Times New Roman" w:eastAsia="Times New Roman" w:cs="Times New Roman"/>
          <w:spacing w:val="0"/>
        </w:rPr>
        <w:t>15</w:t>
      </w:r>
      <w:r>
        <w:rPr>
          <w:rFonts w:hint="eastAsia" w:ascii="Times New Roman" w:hAnsi="Times New Roman" w:eastAsia="宋体" w:cs="Times New Roman"/>
          <w:spacing w:val="0"/>
          <w:lang w:val="en-US" w:eastAsia="zh-CN"/>
        </w:rPr>
        <w:t>97.42</w:t>
      </w:r>
      <w:r>
        <w:rPr>
          <w:rFonts w:hint="default" w:ascii="Times New Roman" w:hAnsi="Times New Roman" w:cs="Times New Roman"/>
          <w:spacing w:val="0"/>
        </w:rPr>
        <w:t>万元，较上年决算数增加</w:t>
      </w:r>
      <w:r>
        <w:rPr>
          <w:rFonts w:hint="eastAsia" w:ascii="Times New Roman" w:hAnsi="Times New Roman" w:cs="Times New Roman"/>
          <w:spacing w:val="0"/>
          <w:lang w:val="en-US" w:eastAsia="zh-CN"/>
        </w:rPr>
        <w:t>3.62</w:t>
      </w:r>
      <w:r>
        <w:rPr>
          <w:rFonts w:hint="default" w:ascii="Times New Roman" w:hAnsi="Times New Roman" w:cs="Times New Roman"/>
          <w:spacing w:val="0"/>
        </w:rPr>
        <w:t>万元</w:t>
      </w:r>
      <w:r>
        <w:rPr>
          <w:rFonts w:hint="default" w:ascii="Times New Roman" w:hAnsi="Times New Roman" w:cs="Times New Roman"/>
          <w:spacing w:val="0"/>
          <w:highlight w:val="none"/>
        </w:rPr>
        <w:t>，</w:t>
      </w:r>
      <w:r>
        <w:rPr>
          <w:rFonts w:hint="default" w:ascii="Times New Roman" w:hAnsi="Times New Roman" w:cs="Times New Roman"/>
          <w:spacing w:val="0"/>
        </w:rPr>
        <w:t>增长</w:t>
      </w:r>
      <w:r>
        <w:rPr>
          <w:rFonts w:hint="eastAsia" w:ascii="Times New Roman" w:hAnsi="Times New Roman" w:cs="Times New Roman"/>
          <w:spacing w:val="0"/>
          <w:lang w:val="en-US" w:eastAsia="zh-CN"/>
        </w:rPr>
        <w:t>0.2</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，主要原因是增人调资、在职职工社保调标等。人员经费用途主要包括基本工资、津贴补贴、奖金、社会保障缴费、住房公积金、职业年金缴费等。</w:t>
      </w:r>
      <w:r>
        <w:rPr>
          <w:rFonts w:hint="default" w:ascii="Times New Roman" w:hAnsi="Times New Roman" w:cs="Times New Roman"/>
          <w:spacing w:val="0"/>
          <w:highlight w:val="none"/>
        </w:rPr>
        <w:t>公用经费</w:t>
      </w:r>
      <w:r>
        <w:rPr>
          <w:rFonts w:hint="eastAsia" w:ascii="Times New Roman" w:hAnsi="Times New Roman" w:cs="Times New Roman"/>
          <w:spacing w:val="0"/>
          <w:highlight w:val="none"/>
          <w:lang w:val="en-US" w:eastAsia="zh-CN"/>
        </w:rPr>
        <w:t>334.36</w:t>
      </w:r>
      <w:r>
        <w:rPr>
          <w:rFonts w:hint="default" w:ascii="Times New Roman" w:hAnsi="Times New Roman" w:cs="Times New Roman"/>
          <w:spacing w:val="0"/>
          <w:highlight w:val="none"/>
        </w:rPr>
        <w:t>万元，较上年决算数</w:t>
      </w:r>
      <w:r>
        <w:rPr>
          <w:rFonts w:hint="eastAsia" w:ascii="Times New Roman" w:hAnsi="Times New Roman" w:cs="Times New Roman"/>
          <w:spacing w:val="0"/>
          <w:highlight w:val="none"/>
          <w:lang w:val="en-US" w:eastAsia="zh-CN"/>
        </w:rPr>
        <w:t>减少11.89</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下降3.4</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，主要原因是</w:t>
      </w:r>
      <w:r>
        <w:rPr>
          <w:rFonts w:hint="eastAsia" w:ascii="Times New Roman" w:hAnsi="Times New Roman" w:cs="Times New Roman"/>
          <w:spacing w:val="0"/>
          <w:highlight w:val="none"/>
          <w:lang w:val="en-US" w:eastAsia="zh-CN"/>
        </w:rPr>
        <w:t>公务用车运行维护费用、一般公用支出分别调减5.16万元、9万元</w:t>
      </w:r>
      <w:r>
        <w:rPr>
          <w:rFonts w:hint="default" w:ascii="Times New Roman" w:hAnsi="Times New Roman" w:cs="Times New Roman"/>
          <w:spacing w:val="0"/>
          <w:highlight w:val="none"/>
        </w:rPr>
        <w:t>。公用经费用途主要包括办公费、水费、电费、邮电费、物业管理费、维修维护费、差旅费、培训费、工会经费等。</w:t>
      </w:r>
    </w:p>
    <w:p w14:paraId="35369879">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（五）政府性基金预算收支决算情况说明</w:t>
      </w:r>
    </w:p>
    <w:p w14:paraId="340F76FA">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年度政府性基金预算财政拨款年初结转结余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万元，年末结转结余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万元。本年收入</w:t>
      </w:r>
      <w:r>
        <w:rPr>
          <w:rFonts w:hint="default" w:ascii="Times New Roman" w:hAnsi="Times New Roman" w:eastAsia="Times New Roman" w:cs="Times New Roman"/>
          <w:spacing w:val="0"/>
        </w:rPr>
        <w:t>15.</w:t>
      </w:r>
      <w:r>
        <w:rPr>
          <w:rFonts w:hint="eastAsia" w:ascii="Times New Roman" w:hAnsi="Times New Roman" w:eastAsia="宋体" w:cs="Times New Roman"/>
          <w:spacing w:val="0"/>
          <w:lang w:val="en-US" w:eastAsia="zh-CN"/>
        </w:rPr>
        <w:t>37</w:t>
      </w:r>
      <w:r>
        <w:rPr>
          <w:rFonts w:hint="default" w:ascii="Times New Roman" w:hAnsi="Times New Roman" w:cs="Times New Roman"/>
          <w:spacing w:val="0"/>
        </w:rPr>
        <w:t>万元，较上年决算数增加</w:t>
      </w:r>
      <w:r>
        <w:rPr>
          <w:rFonts w:hint="eastAsia" w:ascii="Times New Roman" w:hAnsi="Times New Roman" w:cs="Times New Roman"/>
          <w:spacing w:val="0"/>
          <w:lang w:val="en-US" w:eastAsia="zh-CN"/>
        </w:rPr>
        <w:t>0.19</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1.2</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居家养老服务补贴经费增加</w:t>
      </w:r>
      <w:r>
        <w:rPr>
          <w:rFonts w:hint="default" w:ascii="Times New Roman" w:hAnsi="Times New Roman" w:cs="Times New Roman"/>
          <w:spacing w:val="0"/>
        </w:rPr>
        <w:t>。本年支出</w:t>
      </w:r>
      <w:r>
        <w:rPr>
          <w:rFonts w:hint="default" w:ascii="Times New Roman" w:hAnsi="Times New Roman" w:eastAsia="Times New Roman" w:cs="Times New Roman"/>
          <w:spacing w:val="0"/>
        </w:rPr>
        <w:t>15.</w:t>
      </w:r>
      <w:r>
        <w:rPr>
          <w:rFonts w:hint="eastAsia" w:ascii="Times New Roman" w:hAnsi="Times New Roman" w:eastAsia="宋体" w:cs="Times New Roman"/>
          <w:spacing w:val="0"/>
          <w:lang w:val="en-US" w:eastAsia="zh-CN"/>
        </w:rPr>
        <w:t>37</w:t>
      </w:r>
      <w:r>
        <w:rPr>
          <w:rFonts w:hint="default" w:ascii="Times New Roman" w:hAnsi="Times New Roman" w:cs="Times New Roman"/>
          <w:spacing w:val="0"/>
        </w:rPr>
        <w:t>万元，较上年决算数增加</w:t>
      </w:r>
      <w:r>
        <w:rPr>
          <w:rFonts w:hint="eastAsia" w:ascii="Times New Roman" w:hAnsi="Times New Roman" w:cs="Times New Roman"/>
          <w:spacing w:val="0"/>
          <w:lang w:val="en-US" w:eastAsia="zh-CN"/>
        </w:rPr>
        <w:t>0.19</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1.2</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居家养老服务补贴经费增加</w:t>
      </w:r>
      <w:r>
        <w:rPr>
          <w:rFonts w:hint="default" w:ascii="Times New Roman" w:hAnsi="Times New Roman" w:cs="Times New Roman"/>
          <w:spacing w:val="0"/>
        </w:rPr>
        <w:t>。</w:t>
      </w:r>
    </w:p>
    <w:p w14:paraId="3BD7969A">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rPr>
      </w:pPr>
      <w:r>
        <w:rPr>
          <w:rFonts w:hint="default" w:ascii="Times New Roman" w:hAnsi="Times New Roman" w:eastAsia="方正楷体_GBK" w:cs="Times New Roman"/>
          <w:spacing w:val="0"/>
        </w:rPr>
        <w:t>（六）国有资本经营预算财政拨款支出决算情况说明</w:t>
      </w:r>
    </w:p>
    <w:p w14:paraId="63A2ACD7">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年度无国有资本经营预算财政拨款支出。</w:t>
      </w:r>
    </w:p>
    <w:p w14:paraId="09A771AC">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经费情况说明</w:t>
      </w:r>
    </w:p>
    <w:p w14:paraId="0CD7F0FE">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经费支出总体情况说明</w:t>
      </w:r>
    </w:p>
    <w:p w14:paraId="764998CA">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eastAsia="Times New Roman" w:cs="Times New Roman"/>
          <w:spacing w:val="0"/>
        </w:rPr>
        <w:t>“</w:t>
      </w:r>
      <w:r>
        <w:rPr>
          <w:rFonts w:hint="default" w:ascii="Times New Roman" w:hAnsi="Times New Roman" w:cs="Times New Roman"/>
          <w:spacing w:val="0"/>
        </w:rPr>
        <w:t>三公</w:t>
      </w:r>
      <w:r>
        <w:rPr>
          <w:rFonts w:hint="default" w:ascii="Times New Roman" w:hAnsi="Times New Roman" w:eastAsia="Times New Roman" w:cs="Times New Roman"/>
          <w:spacing w:val="0"/>
        </w:rPr>
        <w:t>”</w:t>
      </w:r>
      <w:r>
        <w:rPr>
          <w:rFonts w:hint="default" w:ascii="Times New Roman" w:hAnsi="Times New Roman" w:cs="Times New Roman"/>
          <w:spacing w:val="0"/>
        </w:rPr>
        <w:t>经费支出共计</w:t>
      </w:r>
      <w:r>
        <w:rPr>
          <w:rFonts w:hint="eastAsia" w:ascii="Times New Roman" w:hAnsi="Times New Roman" w:cs="Times New Roman"/>
          <w:spacing w:val="0"/>
          <w:lang w:val="en-US" w:eastAsia="zh-CN"/>
        </w:rPr>
        <w:t>6.84</w:t>
      </w:r>
      <w:r>
        <w:rPr>
          <w:rFonts w:hint="default" w:ascii="Times New Roman" w:hAnsi="Times New Roman" w:cs="Times New Roman"/>
          <w:spacing w:val="0"/>
        </w:rPr>
        <w:t>万元，较年初预算数</w:t>
      </w:r>
      <w:r>
        <w:rPr>
          <w:rFonts w:hint="eastAsia" w:ascii="Times New Roman" w:hAnsi="Times New Roman" w:cs="Times New Roman"/>
          <w:spacing w:val="0"/>
          <w:lang w:val="en-US" w:eastAsia="zh-CN"/>
        </w:rPr>
        <w:t>减少5.16</w:t>
      </w:r>
      <w:r>
        <w:rPr>
          <w:rFonts w:hint="default" w:ascii="Times New Roman" w:hAnsi="Times New Roman" w:cs="Times New Roman"/>
          <w:spacing w:val="0"/>
        </w:rPr>
        <w:t>万元，</w:t>
      </w:r>
      <w:r>
        <w:rPr>
          <w:rFonts w:hint="eastAsia" w:ascii="Times New Roman" w:hAnsi="Times New Roman" w:cs="Times New Roman"/>
          <w:spacing w:val="0"/>
          <w:lang w:val="en-US" w:eastAsia="zh-CN"/>
        </w:rPr>
        <w:t>下降43</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公务用车运行维护费调减5.16万元</w:t>
      </w:r>
      <w:r>
        <w:rPr>
          <w:rFonts w:hint="default" w:ascii="Times New Roman" w:hAnsi="Times New Roman" w:cs="Times New Roman"/>
          <w:spacing w:val="0"/>
        </w:rPr>
        <w:t>。较上年支出数</w:t>
      </w:r>
      <w:r>
        <w:rPr>
          <w:rFonts w:hint="eastAsia" w:ascii="Times New Roman" w:hAnsi="Times New Roman" w:cs="Times New Roman"/>
          <w:spacing w:val="0"/>
          <w:lang w:val="en-US" w:eastAsia="zh-CN"/>
        </w:rPr>
        <w:t>减少</w:t>
      </w:r>
      <w:r>
        <w:rPr>
          <w:rFonts w:hint="default" w:ascii="Times New Roman" w:hAnsi="Times New Roman" w:eastAsia="Times New Roman" w:cs="Times New Roman"/>
          <w:spacing w:val="0"/>
        </w:rPr>
        <w:t>2</w:t>
      </w:r>
      <w:r>
        <w:rPr>
          <w:rFonts w:hint="eastAsia" w:ascii="Times New Roman" w:hAnsi="Times New Roman" w:eastAsia="宋体" w:cs="Times New Roman"/>
          <w:spacing w:val="0"/>
          <w:lang w:val="en-US" w:eastAsia="zh-CN"/>
        </w:rPr>
        <w:t>0</w:t>
      </w:r>
      <w:r>
        <w:rPr>
          <w:rFonts w:hint="default" w:ascii="Times New Roman" w:hAnsi="Times New Roman" w:eastAsia="Times New Roman" w:cs="Times New Roman"/>
          <w:spacing w:val="0"/>
        </w:rPr>
        <w:t>.</w:t>
      </w:r>
      <w:r>
        <w:rPr>
          <w:rFonts w:hint="eastAsia" w:ascii="Times New Roman" w:hAnsi="Times New Roman" w:eastAsia="宋体" w:cs="Times New Roman"/>
          <w:spacing w:val="0"/>
          <w:lang w:val="en-US" w:eastAsia="zh-CN"/>
        </w:rPr>
        <w:t>46</w:t>
      </w:r>
      <w:r>
        <w:rPr>
          <w:rFonts w:hint="default" w:ascii="Times New Roman" w:hAnsi="Times New Roman" w:cs="Times New Roman"/>
          <w:spacing w:val="0"/>
        </w:rPr>
        <w:t>万元，</w:t>
      </w:r>
      <w:r>
        <w:rPr>
          <w:rFonts w:hint="eastAsia" w:ascii="Times New Roman" w:hAnsi="Times New Roman" w:cs="Times New Roman"/>
          <w:spacing w:val="0"/>
          <w:lang w:val="en-US" w:eastAsia="zh-CN"/>
        </w:rPr>
        <w:t>下降75.7</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2024年街道无新购公务用车计划</w:t>
      </w:r>
      <w:r>
        <w:rPr>
          <w:rFonts w:hint="default" w:ascii="Times New Roman" w:hAnsi="Times New Roman" w:cs="Times New Roman"/>
          <w:spacing w:val="0"/>
        </w:rPr>
        <w:t>。</w:t>
      </w:r>
    </w:p>
    <w:p w14:paraId="6A4AA7DD">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经费分项支出情况</w:t>
      </w:r>
    </w:p>
    <w:p w14:paraId="791B897E">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年度本部门因公出国（境）费用</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14:paraId="73359720">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公务车购置费</w:t>
      </w:r>
      <w:r>
        <w:rPr>
          <w:rFonts w:hint="default" w:ascii="Times New Roman" w:hAnsi="Times New Roman" w:eastAsia="Times New Roman" w:cs="Times New Roman"/>
          <w:spacing w:val="0"/>
        </w:rPr>
        <w:t>0</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较上年支出数</w:t>
      </w:r>
      <w:r>
        <w:rPr>
          <w:rFonts w:hint="eastAsia" w:ascii="Times New Roman" w:hAnsi="Times New Roman" w:cs="Times New Roman"/>
          <w:spacing w:val="0"/>
          <w:lang w:val="en-US" w:eastAsia="zh-CN"/>
        </w:rPr>
        <w:t>减少</w:t>
      </w:r>
      <w:r>
        <w:rPr>
          <w:rFonts w:hint="default" w:ascii="Times New Roman" w:hAnsi="Times New Roman" w:eastAsia="Times New Roman" w:cs="Times New Roman"/>
          <w:spacing w:val="0"/>
        </w:rPr>
        <w:t>18.00</w:t>
      </w:r>
      <w:r>
        <w:rPr>
          <w:rFonts w:hint="default" w:ascii="Times New Roman" w:hAnsi="Times New Roman" w:cs="Times New Roman"/>
          <w:spacing w:val="0"/>
        </w:rPr>
        <w:t>万元，</w:t>
      </w:r>
      <w:r>
        <w:rPr>
          <w:rFonts w:hint="eastAsia" w:ascii="Times New Roman" w:hAnsi="Times New Roman" w:cs="Times New Roman"/>
          <w:spacing w:val="0"/>
          <w:lang w:val="en-US" w:eastAsia="zh-CN"/>
        </w:rPr>
        <w:t>下降</w:t>
      </w:r>
      <w:r>
        <w:rPr>
          <w:rFonts w:hint="default" w:ascii="Times New Roman" w:hAnsi="Times New Roman" w:eastAsia="Times New Roman" w:cs="Times New Roman"/>
          <w:spacing w:val="0"/>
        </w:rPr>
        <w:t>100.00%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2024年街道无新购公务用车计划</w:t>
      </w:r>
      <w:r>
        <w:rPr>
          <w:rFonts w:hint="default" w:ascii="Times New Roman" w:hAnsi="Times New Roman" w:cs="Times New Roman"/>
          <w:spacing w:val="0"/>
        </w:rPr>
        <w:t>。</w:t>
      </w:r>
    </w:p>
    <w:p w14:paraId="24D14437">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公务车运行维护费</w:t>
      </w:r>
      <w:r>
        <w:rPr>
          <w:rFonts w:hint="eastAsia" w:ascii="Times New Roman" w:hAnsi="Times New Roman" w:cs="Times New Roman"/>
          <w:spacing w:val="0"/>
          <w:lang w:val="en-US" w:eastAsia="zh-CN"/>
        </w:rPr>
        <w:t>6.84</w:t>
      </w:r>
      <w:r>
        <w:rPr>
          <w:rFonts w:hint="default" w:ascii="Times New Roman" w:hAnsi="Times New Roman" w:cs="Times New Roman"/>
          <w:spacing w:val="0"/>
        </w:rPr>
        <w:t>万元，主要用于机要文件交换、市内因公出行、应急任务、城市管理执法等工作所需车辆的燃料费、维修费、过桥过路费、保险费等。费用支出较年初预算数减少</w:t>
      </w:r>
      <w:r>
        <w:rPr>
          <w:rFonts w:hint="eastAsia" w:ascii="Times New Roman" w:hAnsi="Times New Roman" w:eastAsia="宋体" w:cs="Times New Roman"/>
          <w:spacing w:val="0"/>
          <w:lang w:val="en-US" w:eastAsia="zh-CN"/>
        </w:rPr>
        <w:t>5.16</w:t>
      </w:r>
      <w:r>
        <w:rPr>
          <w:rFonts w:hint="default" w:ascii="Times New Roman" w:hAnsi="Times New Roman" w:cs="Times New Roman"/>
          <w:spacing w:val="0"/>
        </w:rPr>
        <w:t>万元，下降</w:t>
      </w:r>
      <w:r>
        <w:rPr>
          <w:rFonts w:hint="eastAsia" w:ascii="Times New Roman" w:hAnsi="Times New Roman" w:cs="Times New Roman"/>
          <w:spacing w:val="0"/>
          <w:lang w:val="en-US" w:eastAsia="zh-CN"/>
        </w:rPr>
        <w:t>43</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eastAsia" w:ascii="Times New Roman" w:hAnsi="Times New Roman" w:cs="Times New Roman"/>
          <w:spacing w:val="0"/>
          <w:lang w:val="en-US" w:eastAsia="zh-CN"/>
        </w:rPr>
        <w:t>主要原因是公务用车运行维护费调减5.16万元。</w:t>
      </w:r>
      <w:r>
        <w:rPr>
          <w:rFonts w:hint="default" w:ascii="Times New Roman" w:hAnsi="Times New Roman" w:cs="Times New Roman"/>
          <w:spacing w:val="0"/>
        </w:rPr>
        <w:t>较上年支出数</w:t>
      </w:r>
      <w:r>
        <w:rPr>
          <w:rFonts w:hint="eastAsia" w:ascii="Times New Roman" w:hAnsi="Times New Roman" w:cs="Times New Roman"/>
          <w:spacing w:val="0"/>
          <w:lang w:val="en-US" w:eastAsia="zh-CN"/>
        </w:rPr>
        <w:t>减少2.45</w:t>
      </w:r>
      <w:r>
        <w:rPr>
          <w:rFonts w:hint="default" w:ascii="Times New Roman" w:hAnsi="Times New Roman" w:cs="Times New Roman"/>
          <w:spacing w:val="0"/>
        </w:rPr>
        <w:t>万元，</w:t>
      </w:r>
      <w:r>
        <w:rPr>
          <w:rFonts w:hint="eastAsia" w:ascii="Times New Roman" w:hAnsi="Times New Roman" w:cs="Times New Roman"/>
          <w:spacing w:val="0"/>
          <w:lang w:val="en-US" w:eastAsia="zh-CN"/>
        </w:rPr>
        <w:t>下降25</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，主要原因是街道严格落实公车使用规定，严禁公车私用，公车运行维护成本有所下降。</w:t>
      </w:r>
    </w:p>
    <w:p w14:paraId="56025434">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公务接待费</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14:paraId="58849856">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经费实物量情况</w:t>
      </w:r>
    </w:p>
    <w:p w14:paraId="7B2A374E">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年度本部门因公出国（境）共计</w:t>
      </w:r>
      <w:r>
        <w:rPr>
          <w:rFonts w:hint="default" w:ascii="Times New Roman" w:hAnsi="Times New Roman" w:eastAsia="Times New Roman" w:cs="Times New Roman"/>
          <w:spacing w:val="0"/>
        </w:rPr>
        <w:t>0</w:t>
      </w:r>
      <w:r>
        <w:rPr>
          <w:rFonts w:hint="default" w:ascii="Times New Roman" w:hAnsi="Times New Roman" w:cs="Times New Roman"/>
          <w:spacing w:val="0"/>
        </w:rPr>
        <w:t>个团组，</w:t>
      </w:r>
      <w:r>
        <w:rPr>
          <w:rFonts w:hint="default" w:ascii="Times New Roman" w:hAnsi="Times New Roman" w:eastAsia="Times New Roman" w:cs="Times New Roman"/>
          <w:spacing w:val="0"/>
        </w:rPr>
        <w:t>0</w:t>
      </w:r>
      <w:r>
        <w:rPr>
          <w:rFonts w:hint="default" w:ascii="Times New Roman" w:hAnsi="Times New Roman" w:cs="Times New Roman"/>
          <w:spacing w:val="0"/>
        </w:rPr>
        <w:t>人；公务用车购置</w:t>
      </w:r>
      <w:r>
        <w:rPr>
          <w:rFonts w:hint="eastAsia" w:ascii="Times New Roman" w:hAnsi="Times New Roman" w:cs="Times New Roman"/>
          <w:spacing w:val="0"/>
          <w:lang w:val="en-US" w:eastAsia="zh-CN"/>
        </w:rPr>
        <w:t>0</w:t>
      </w:r>
      <w:r>
        <w:rPr>
          <w:rFonts w:hint="default" w:ascii="Times New Roman" w:hAnsi="Times New Roman" w:cs="Times New Roman"/>
          <w:spacing w:val="0"/>
        </w:rPr>
        <w:t>辆，公务车保有量为</w:t>
      </w:r>
      <w:r>
        <w:rPr>
          <w:rFonts w:hint="eastAsia" w:ascii="Times New Roman" w:hAnsi="Times New Roman" w:cs="Times New Roman"/>
          <w:spacing w:val="0"/>
          <w:lang w:val="en-US" w:eastAsia="zh-CN"/>
        </w:rPr>
        <w:t>4</w:t>
      </w:r>
      <w:r>
        <w:rPr>
          <w:rFonts w:hint="default" w:ascii="Times New Roman" w:hAnsi="Times New Roman" w:cs="Times New Roman"/>
          <w:spacing w:val="0"/>
        </w:rPr>
        <w:t>辆；国内公务接待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人，其中：国内外事接待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人；国（境）外公务接待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年本部门人均接待费</w:t>
      </w:r>
      <w:r>
        <w:rPr>
          <w:rFonts w:hint="default" w:ascii="Times New Roman" w:hAnsi="Times New Roman" w:eastAsia="Times New Roman" w:cs="Times New Roman"/>
          <w:spacing w:val="0"/>
        </w:rPr>
        <w:t>0</w:t>
      </w:r>
      <w:r>
        <w:rPr>
          <w:rFonts w:hint="default" w:ascii="Times New Roman" w:hAnsi="Times New Roman" w:cs="Times New Roman"/>
          <w:spacing w:val="0"/>
        </w:rPr>
        <w:t>元，车均购置费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万元，车均维护费</w:t>
      </w:r>
      <w:r>
        <w:rPr>
          <w:rFonts w:hint="eastAsia" w:ascii="Times New Roman" w:hAnsi="Times New Roman" w:cs="Times New Roman"/>
          <w:spacing w:val="0"/>
          <w:lang w:val="en-US" w:eastAsia="zh-CN"/>
        </w:rPr>
        <w:t>1.71</w:t>
      </w:r>
      <w:r>
        <w:rPr>
          <w:rFonts w:hint="default" w:ascii="Times New Roman" w:hAnsi="Times New Roman" w:cs="Times New Roman"/>
          <w:spacing w:val="0"/>
        </w:rPr>
        <w:t>万元。</w:t>
      </w:r>
    </w:p>
    <w:p w14:paraId="0980AC4D">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四、其他需要说明的事项</w:t>
      </w:r>
    </w:p>
    <w:p w14:paraId="0F2D3AEC">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（一）财政拨款会议费和培训费情况说明</w:t>
      </w:r>
    </w:p>
    <w:p w14:paraId="7BC28EAE">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本年度会议费支出</w:t>
      </w:r>
      <w:r>
        <w:rPr>
          <w:rFonts w:hint="eastAsia" w:ascii="Times New Roman" w:hAnsi="Times New Roman" w:cs="Times New Roman"/>
          <w:spacing w:val="0"/>
          <w:lang w:val="en-US" w:eastAsia="zh-CN"/>
        </w:rPr>
        <w:t>0</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减少</w:t>
      </w:r>
      <w:r>
        <w:rPr>
          <w:rFonts w:hint="default" w:ascii="Times New Roman" w:hAnsi="Times New Roman" w:eastAsia="Times New Roman" w:cs="Times New Roman"/>
          <w:spacing w:val="0"/>
        </w:rPr>
        <w:t>3.48</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下降</w:t>
      </w:r>
      <w:r>
        <w:rPr>
          <w:rFonts w:hint="default" w:ascii="Times New Roman" w:hAnsi="Times New Roman" w:eastAsia="Times New Roman" w:cs="Times New Roman"/>
          <w:spacing w:val="0"/>
        </w:rPr>
        <w:t>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2024年度未发生会议费用</w:t>
      </w:r>
      <w:r>
        <w:rPr>
          <w:rFonts w:hint="default" w:ascii="Times New Roman" w:hAnsi="Times New Roman" w:cs="Times New Roman"/>
          <w:spacing w:val="0"/>
        </w:rPr>
        <w:t>。本年度培训费支出</w:t>
      </w:r>
      <w:r>
        <w:rPr>
          <w:rFonts w:hint="default" w:ascii="Times New Roman" w:hAnsi="Times New Roman" w:eastAsia="Times New Roman" w:cs="Times New Roman"/>
          <w:spacing w:val="0"/>
        </w:rPr>
        <w:t>0</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减少</w:t>
      </w:r>
      <w:r>
        <w:rPr>
          <w:rFonts w:hint="default" w:ascii="Times New Roman" w:hAnsi="Times New Roman" w:eastAsia="Times New Roman" w:cs="Times New Roman"/>
          <w:spacing w:val="0"/>
        </w:rPr>
        <w:t>0.</w:t>
      </w:r>
      <w:r>
        <w:rPr>
          <w:rFonts w:hint="eastAsia" w:ascii="Times New Roman" w:hAnsi="Times New Roman" w:eastAsia="宋体" w:cs="Times New Roman"/>
          <w:spacing w:val="0"/>
          <w:lang w:val="en-US" w:eastAsia="zh-CN"/>
        </w:rPr>
        <w:t>65</w:t>
      </w:r>
      <w:r>
        <w:rPr>
          <w:rFonts w:hint="default" w:ascii="Times New Roman" w:hAnsi="Times New Roman" w:cs="Times New Roman"/>
          <w:spacing w:val="0"/>
        </w:rPr>
        <w:t>万元，</w:t>
      </w:r>
      <w:r>
        <w:rPr>
          <w:rFonts w:hint="eastAsia" w:ascii="Times New Roman" w:hAnsi="Times New Roman" w:cs="Times New Roman"/>
          <w:spacing w:val="0"/>
          <w:lang w:val="en-US" w:eastAsia="zh-CN"/>
        </w:rPr>
        <w:t>下降</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2024年度未发生培训活动</w:t>
      </w:r>
      <w:r>
        <w:rPr>
          <w:rFonts w:hint="default" w:ascii="Times New Roman" w:hAnsi="Times New Roman" w:cs="Times New Roman"/>
          <w:spacing w:val="0"/>
        </w:rPr>
        <w:t>。</w:t>
      </w:r>
    </w:p>
    <w:p w14:paraId="1CD15F1C">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（二）机关运行经费情况说明</w:t>
      </w:r>
    </w:p>
    <w:p w14:paraId="016860C8">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cs="Times New Roman"/>
          <w:spacing w:val="0"/>
          <w:highlight w:val="none"/>
        </w:rPr>
        <w:t>本部门机关运行经费</w:t>
      </w:r>
      <w:r>
        <w:rPr>
          <w:rFonts w:hint="default" w:ascii="Times New Roman" w:hAnsi="Times New Roman" w:cs="Times New Roman"/>
          <w:spacing w:val="0"/>
        </w:rPr>
        <w:t>支出</w:t>
      </w:r>
      <w:r>
        <w:rPr>
          <w:rFonts w:hint="eastAsia" w:ascii="Times New Roman" w:hAnsi="Times New Roman" w:cs="Times New Roman"/>
          <w:spacing w:val="0"/>
          <w:highlight w:val="none"/>
          <w:lang w:val="en-US" w:eastAsia="zh-CN"/>
        </w:rPr>
        <w:t>334.36</w:t>
      </w:r>
      <w:r>
        <w:rPr>
          <w:rFonts w:hint="default" w:ascii="Times New Roman" w:hAnsi="Times New Roman" w:cs="Times New Roman"/>
          <w:spacing w:val="0"/>
          <w:highlight w:val="none"/>
        </w:rPr>
        <w:t>万元</w:t>
      </w:r>
      <w:r>
        <w:rPr>
          <w:rFonts w:hint="default" w:ascii="Times New Roman" w:hAnsi="Times New Roman" w:cs="Times New Roman"/>
          <w:spacing w:val="0"/>
        </w:rPr>
        <w:t>，机关运行经费主要用于开支办公费、印刷费、水费、电费、邮电费、物业管理费、差旅费、维修费、租赁费、劳务费、委托业务费、工会经费等。机关运行经费</w:t>
      </w:r>
      <w:r>
        <w:rPr>
          <w:rFonts w:hint="default" w:ascii="Times New Roman" w:hAnsi="Times New Roman" w:cs="Times New Roman"/>
          <w:spacing w:val="0"/>
          <w:highlight w:val="none"/>
        </w:rPr>
        <w:t>较上年决算数</w:t>
      </w:r>
      <w:r>
        <w:rPr>
          <w:rFonts w:hint="eastAsia" w:ascii="Times New Roman" w:hAnsi="Times New Roman" w:cs="Times New Roman"/>
          <w:spacing w:val="0"/>
          <w:highlight w:val="none"/>
          <w:lang w:val="en-US" w:eastAsia="zh-CN"/>
        </w:rPr>
        <w:t>减少11.89</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下降3.4</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，主要原因是</w:t>
      </w:r>
      <w:r>
        <w:rPr>
          <w:rFonts w:hint="eastAsia" w:ascii="Times New Roman" w:hAnsi="Times New Roman" w:cs="Times New Roman"/>
          <w:spacing w:val="0"/>
          <w:highlight w:val="none"/>
          <w:lang w:val="en-US" w:eastAsia="zh-CN"/>
        </w:rPr>
        <w:t>公务用车运行维护费用、一般公用支出分别调减5.16万元、9万元</w:t>
      </w:r>
      <w:r>
        <w:rPr>
          <w:rFonts w:hint="default" w:ascii="Times New Roman" w:hAnsi="Times New Roman" w:cs="Times New Roman"/>
          <w:spacing w:val="0"/>
          <w:highlight w:val="none"/>
        </w:rPr>
        <w:t>。</w:t>
      </w:r>
    </w:p>
    <w:p w14:paraId="04DC9482">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（三）国有资产占用情况说明</w:t>
      </w:r>
    </w:p>
    <w:p w14:paraId="3ED0A42C">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截至</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w:t>
      </w:r>
      <w:r>
        <w:rPr>
          <w:rFonts w:hint="default" w:ascii="Times New Roman" w:hAnsi="Times New Roman" w:eastAsia="Times New Roman" w:cs="Times New Roman"/>
          <w:spacing w:val="0"/>
        </w:rPr>
        <w:t>12</w:t>
      </w:r>
      <w:r>
        <w:rPr>
          <w:rFonts w:hint="default" w:ascii="Times New Roman" w:hAnsi="Times New Roman" w:cs="Times New Roman"/>
          <w:spacing w:val="0"/>
        </w:rPr>
        <w:t>月</w:t>
      </w:r>
      <w:r>
        <w:rPr>
          <w:rFonts w:hint="default" w:ascii="Times New Roman" w:hAnsi="Times New Roman" w:eastAsia="Times New Roman" w:cs="Times New Roman"/>
          <w:spacing w:val="0"/>
        </w:rPr>
        <w:t>31</w:t>
      </w:r>
      <w:r>
        <w:rPr>
          <w:rFonts w:hint="default" w:ascii="Times New Roman" w:hAnsi="Times New Roman" w:cs="Times New Roman"/>
          <w:spacing w:val="0"/>
        </w:rPr>
        <w:t>日，本部门共有车辆</w:t>
      </w:r>
      <w:r>
        <w:rPr>
          <w:rFonts w:hint="eastAsia" w:ascii="Times New Roman" w:hAnsi="Times New Roman" w:cs="Times New Roman"/>
          <w:spacing w:val="0"/>
          <w:lang w:val="en-US" w:eastAsia="zh-CN"/>
        </w:rPr>
        <w:t>4</w:t>
      </w:r>
      <w:r>
        <w:rPr>
          <w:rFonts w:hint="default" w:ascii="Times New Roman" w:hAnsi="Times New Roman" w:cs="Times New Roman"/>
          <w:spacing w:val="0"/>
        </w:rPr>
        <w:t>辆，其中，副部（省）级及以上领导用车</w:t>
      </w:r>
      <w:r>
        <w:rPr>
          <w:rFonts w:hint="default" w:ascii="Times New Roman" w:hAnsi="Times New Roman" w:eastAsia="Times New Roman" w:cs="Times New Roman"/>
          <w:spacing w:val="0"/>
        </w:rPr>
        <w:t>0</w:t>
      </w:r>
      <w:r>
        <w:rPr>
          <w:rFonts w:hint="default" w:ascii="Times New Roman" w:hAnsi="Times New Roman" w:cs="Times New Roman"/>
          <w:spacing w:val="0"/>
        </w:rPr>
        <w:t>辆、主要负责人用车</w:t>
      </w:r>
      <w:r>
        <w:rPr>
          <w:rFonts w:hint="default" w:ascii="Times New Roman" w:hAnsi="Times New Roman" w:eastAsia="Times New Roman" w:cs="Times New Roman"/>
          <w:spacing w:val="0"/>
        </w:rPr>
        <w:t>0</w:t>
      </w:r>
      <w:r>
        <w:rPr>
          <w:rFonts w:hint="default" w:ascii="Times New Roman" w:hAnsi="Times New Roman" w:cs="Times New Roman"/>
          <w:spacing w:val="0"/>
        </w:rPr>
        <w:t>辆、机要通信用车</w:t>
      </w:r>
      <w:r>
        <w:rPr>
          <w:rFonts w:hint="default" w:ascii="Times New Roman" w:hAnsi="Times New Roman" w:eastAsia="Times New Roman" w:cs="Times New Roman"/>
          <w:spacing w:val="0"/>
        </w:rPr>
        <w:t>1</w:t>
      </w:r>
      <w:r>
        <w:rPr>
          <w:rFonts w:hint="default" w:ascii="Times New Roman" w:hAnsi="Times New Roman" w:cs="Times New Roman"/>
          <w:spacing w:val="0"/>
        </w:rPr>
        <w:t>辆、应急保障用车</w:t>
      </w:r>
      <w:r>
        <w:rPr>
          <w:rFonts w:hint="eastAsia" w:ascii="Times New Roman" w:hAnsi="Times New Roman" w:cs="Times New Roman"/>
          <w:spacing w:val="0"/>
          <w:lang w:val="en-US" w:eastAsia="zh-CN"/>
        </w:rPr>
        <w:t>1</w:t>
      </w:r>
      <w:r>
        <w:rPr>
          <w:rFonts w:hint="default" w:ascii="Times New Roman" w:hAnsi="Times New Roman" w:cs="Times New Roman"/>
          <w:spacing w:val="0"/>
        </w:rPr>
        <w:t>辆、执法执勤用车</w:t>
      </w:r>
      <w:r>
        <w:rPr>
          <w:rFonts w:hint="eastAsia" w:ascii="Times New Roman" w:hAnsi="Times New Roman" w:cs="Times New Roman"/>
          <w:spacing w:val="0"/>
          <w:lang w:val="en-US" w:eastAsia="zh-CN"/>
        </w:rPr>
        <w:t>2</w:t>
      </w:r>
      <w:r>
        <w:rPr>
          <w:rFonts w:hint="default" w:ascii="Times New Roman" w:hAnsi="Times New Roman" w:cs="Times New Roman"/>
          <w:spacing w:val="0"/>
        </w:rPr>
        <w:t>辆，特种专业技术用车</w:t>
      </w:r>
      <w:r>
        <w:rPr>
          <w:rFonts w:hint="default" w:ascii="Times New Roman" w:hAnsi="Times New Roman" w:eastAsia="Times New Roman" w:cs="Times New Roman"/>
          <w:spacing w:val="0"/>
        </w:rPr>
        <w:t>0</w:t>
      </w:r>
      <w:r>
        <w:rPr>
          <w:rFonts w:hint="default" w:ascii="Times New Roman" w:hAnsi="Times New Roman" w:cs="Times New Roman"/>
          <w:spacing w:val="0"/>
        </w:rPr>
        <w:t>辆，离退休干部用车</w:t>
      </w:r>
      <w:r>
        <w:rPr>
          <w:rFonts w:hint="default" w:ascii="Times New Roman" w:hAnsi="Times New Roman" w:eastAsia="Times New Roman" w:cs="Times New Roman"/>
          <w:spacing w:val="0"/>
        </w:rPr>
        <w:t>0</w:t>
      </w:r>
      <w:r>
        <w:rPr>
          <w:rFonts w:hint="default" w:ascii="Times New Roman" w:hAnsi="Times New Roman" w:cs="Times New Roman"/>
          <w:spacing w:val="0"/>
        </w:rPr>
        <w:t>辆。单价</w:t>
      </w:r>
      <w:r>
        <w:rPr>
          <w:rFonts w:hint="default" w:ascii="Times New Roman" w:hAnsi="Times New Roman" w:eastAsia="Times New Roman" w:cs="Times New Roman"/>
          <w:spacing w:val="0"/>
        </w:rPr>
        <w:t>100</w:t>
      </w:r>
      <w:r>
        <w:rPr>
          <w:rFonts w:hint="default" w:ascii="Times New Roman" w:hAnsi="Times New Roman" w:cs="Times New Roman"/>
          <w:spacing w:val="0"/>
        </w:rPr>
        <w:t>万元（含）以上专用设备</w:t>
      </w:r>
      <w:r>
        <w:rPr>
          <w:rFonts w:hint="default" w:ascii="Times New Roman" w:hAnsi="Times New Roman" w:eastAsia="Times New Roman" w:cs="Times New Roman"/>
          <w:spacing w:val="0"/>
        </w:rPr>
        <w:t>0</w:t>
      </w:r>
      <w:r>
        <w:rPr>
          <w:rFonts w:hint="default" w:ascii="Times New Roman" w:hAnsi="Times New Roman" w:cs="Times New Roman"/>
          <w:spacing w:val="0"/>
        </w:rPr>
        <w:t>台（套）。</w:t>
      </w:r>
    </w:p>
    <w:p w14:paraId="11F253D4">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（四）政府采购支出情况说明</w:t>
      </w:r>
    </w:p>
    <w:p w14:paraId="58ABA366">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年度本部门政府采购支出总额</w:t>
      </w:r>
      <w:r>
        <w:rPr>
          <w:rFonts w:hint="eastAsia" w:ascii="Times New Roman" w:hAnsi="Times New Roman" w:eastAsia="宋体" w:cs="Times New Roman"/>
          <w:spacing w:val="0"/>
          <w:lang w:val="en-US" w:eastAsia="zh-CN"/>
        </w:rPr>
        <w:t>1316.86</w:t>
      </w:r>
      <w:r>
        <w:rPr>
          <w:rFonts w:hint="default" w:ascii="Times New Roman" w:hAnsi="Times New Roman" w:cs="Times New Roman"/>
          <w:spacing w:val="0"/>
        </w:rPr>
        <w:t>万元，其中：政府采购货物支出</w:t>
      </w:r>
      <w:r>
        <w:rPr>
          <w:rFonts w:hint="eastAsia" w:ascii="Times New Roman" w:hAnsi="Times New Roman" w:cs="Times New Roman"/>
          <w:spacing w:val="0"/>
          <w:lang w:val="en-US" w:eastAsia="zh-CN"/>
        </w:rPr>
        <w:t>8.66</w:t>
      </w:r>
      <w:r>
        <w:rPr>
          <w:rFonts w:hint="default" w:ascii="Times New Roman" w:hAnsi="Times New Roman" w:cs="Times New Roman"/>
          <w:spacing w:val="0"/>
        </w:rPr>
        <w:t>万元、政府采购工程支出</w:t>
      </w:r>
      <w:r>
        <w:rPr>
          <w:rFonts w:hint="eastAsia" w:ascii="Times New Roman" w:hAnsi="Times New Roman" w:eastAsia="宋体" w:cs="Times New Roman"/>
          <w:spacing w:val="0"/>
          <w:lang w:val="en-US" w:eastAsia="zh-CN"/>
        </w:rPr>
        <w:t>1308.2</w:t>
      </w:r>
      <w:r>
        <w:rPr>
          <w:rFonts w:hint="default" w:ascii="Times New Roman" w:hAnsi="Times New Roman" w:cs="Times New Roman"/>
          <w:spacing w:val="0"/>
        </w:rPr>
        <w:t>万元、政府采购服务支出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万元。授予中小企业合同金额</w:t>
      </w:r>
      <w:r>
        <w:rPr>
          <w:rFonts w:hint="eastAsia" w:ascii="Times New Roman" w:hAnsi="Times New Roman" w:eastAsia="宋体" w:cs="Times New Roman"/>
          <w:spacing w:val="0"/>
          <w:lang w:val="en-US" w:eastAsia="zh-CN"/>
        </w:rPr>
        <w:t>1312.37</w:t>
      </w:r>
      <w:r>
        <w:rPr>
          <w:rFonts w:hint="default" w:ascii="Times New Roman" w:hAnsi="Times New Roman" w:cs="Times New Roman"/>
          <w:spacing w:val="0"/>
        </w:rPr>
        <w:t>万元，占政府采购支出总额的</w:t>
      </w:r>
      <w:r>
        <w:rPr>
          <w:rFonts w:hint="eastAsia" w:ascii="Times New Roman" w:hAnsi="Times New Roman" w:eastAsia="宋体" w:cs="Times New Roman"/>
          <w:spacing w:val="0"/>
          <w:lang w:val="en-US" w:eastAsia="zh-CN"/>
        </w:rPr>
        <w:t>99.6</w:t>
      </w:r>
      <w:r>
        <w:rPr>
          <w:rFonts w:hint="default" w:ascii="Times New Roman" w:hAnsi="Times New Roman" w:eastAsia="Times New Roman" w:cs="Times New Roman"/>
          <w:spacing w:val="0"/>
        </w:rPr>
        <w:t>%</w:t>
      </w:r>
      <w:r>
        <w:rPr>
          <w:rFonts w:hint="default" w:ascii="Times New Roman" w:hAnsi="Times New Roman" w:cs="Times New Roman"/>
          <w:spacing w:val="0"/>
        </w:rPr>
        <w:t>，其中：授予小微企业合同金额</w:t>
      </w:r>
      <w:r>
        <w:rPr>
          <w:rFonts w:hint="eastAsia" w:ascii="Times New Roman" w:hAnsi="Times New Roman" w:eastAsia="宋体" w:cs="Times New Roman"/>
          <w:spacing w:val="0"/>
          <w:lang w:val="en-US" w:eastAsia="zh-CN"/>
        </w:rPr>
        <w:t>1311.38</w:t>
      </w:r>
      <w:r>
        <w:rPr>
          <w:rFonts w:hint="default" w:ascii="Times New Roman" w:hAnsi="Times New Roman" w:cs="Times New Roman"/>
          <w:spacing w:val="0"/>
        </w:rPr>
        <w:t>万元，占政府采购支出总额的</w:t>
      </w:r>
      <w:r>
        <w:rPr>
          <w:rFonts w:hint="eastAsia" w:ascii="Times New Roman" w:hAnsi="Times New Roman" w:cs="Times New Roman"/>
          <w:spacing w:val="0"/>
          <w:lang w:val="en-US" w:eastAsia="zh-CN"/>
        </w:rPr>
        <w:t>99.6</w:t>
      </w:r>
      <w:r>
        <w:rPr>
          <w:rFonts w:hint="default" w:ascii="Times New Roman" w:hAnsi="Times New Roman" w:eastAsia="Times New Roman" w:cs="Times New Roman"/>
          <w:spacing w:val="0"/>
        </w:rPr>
        <w:t>%</w:t>
      </w:r>
      <w:r>
        <w:rPr>
          <w:rFonts w:hint="default" w:ascii="Times New Roman" w:hAnsi="Times New Roman" w:cs="Times New Roman"/>
          <w:spacing w:val="0"/>
        </w:rPr>
        <w:t>。主要用于</w:t>
      </w:r>
      <w:r>
        <w:rPr>
          <w:rFonts w:hint="eastAsia" w:ascii="Times New Roman" w:hAnsi="Times New Roman" w:cs="Times New Roman"/>
          <w:spacing w:val="0"/>
          <w:lang w:val="en-US" w:eastAsia="zh-CN"/>
        </w:rPr>
        <w:t>采购工程、电脑及打印机等</w:t>
      </w:r>
      <w:r>
        <w:rPr>
          <w:rFonts w:hint="default" w:ascii="Times New Roman" w:hAnsi="Times New Roman" w:cs="Times New Roman"/>
          <w:spacing w:val="0"/>
        </w:rPr>
        <w:t>。</w:t>
      </w:r>
    </w:p>
    <w:p w14:paraId="17235391">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五、预算绩效管理情况说明</w:t>
      </w:r>
    </w:p>
    <w:p w14:paraId="7C592994">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（一）预算绩效管理工作开展情况</w:t>
      </w:r>
    </w:p>
    <w:p w14:paraId="0BDF7585">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根据预算绩效管理要求，我街道对部门整体和</w:t>
      </w:r>
      <w:r>
        <w:rPr>
          <w:rFonts w:hint="eastAsia" w:ascii="Times New Roman" w:hAnsi="Times New Roman" w:cs="Times New Roman"/>
          <w:spacing w:val="0"/>
          <w:lang w:val="en-US" w:eastAsia="zh-CN"/>
        </w:rPr>
        <w:t>72</w:t>
      </w:r>
      <w:r>
        <w:rPr>
          <w:rFonts w:hint="default" w:ascii="Times New Roman" w:hAnsi="Times New Roman" w:cs="Times New Roman"/>
          <w:spacing w:val="0"/>
        </w:rPr>
        <w:t>个项目开展了绩效自评，其中，以填报目标自评表形式开展自评</w:t>
      </w:r>
      <w:r>
        <w:rPr>
          <w:rFonts w:hint="eastAsia" w:ascii="Times New Roman" w:hAnsi="Times New Roman" w:cs="Times New Roman"/>
          <w:spacing w:val="0"/>
          <w:lang w:val="en-US" w:eastAsia="zh-CN"/>
        </w:rPr>
        <w:t>72</w:t>
      </w:r>
      <w:r>
        <w:rPr>
          <w:rFonts w:hint="default" w:ascii="Times New Roman" w:hAnsi="Times New Roman" w:cs="Times New Roman"/>
          <w:spacing w:val="0"/>
        </w:rPr>
        <w:t>项，涉及资金</w:t>
      </w:r>
      <w:r>
        <w:rPr>
          <w:rFonts w:hint="default" w:ascii="Times New Roman" w:hAnsi="Times New Roman" w:eastAsia="Times New Roman" w:cs="Times New Roman"/>
          <w:spacing w:val="0"/>
        </w:rPr>
        <w:t>4</w:t>
      </w:r>
      <w:r>
        <w:rPr>
          <w:rFonts w:hint="eastAsia" w:ascii="Times New Roman" w:hAnsi="Times New Roman" w:eastAsia="宋体" w:cs="Times New Roman"/>
          <w:spacing w:val="0"/>
          <w:lang w:val="en-US" w:eastAsia="zh-CN"/>
        </w:rPr>
        <w:t>906.17</w:t>
      </w:r>
      <w:r>
        <w:rPr>
          <w:rFonts w:hint="default" w:ascii="Times New Roman" w:hAnsi="Times New Roman" w:cs="Times New Roman"/>
          <w:spacing w:val="0"/>
        </w:rPr>
        <w:t>万元，</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年度部门整体支出绩效评价总分</w:t>
      </w:r>
      <w:r>
        <w:rPr>
          <w:rFonts w:hint="eastAsia" w:ascii="Times New Roman" w:hAnsi="Times New Roman" w:cs="Times New Roman"/>
          <w:spacing w:val="0"/>
          <w:lang w:val="en-US" w:eastAsia="zh-CN"/>
        </w:rPr>
        <w:t>92</w:t>
      </w:r>
      <w:r>
        <w:rPr>
          <w:rFonts w:hint="default" w:ascii="Times New Roman" w:hAnsi="Times New Roman" w:cs="Times New Roman"/>
          <w:spacing w:val="0"/>
        </w:rPr>
        <w:t>分，其中：产出类指标权重</w:t>
      </w:r>
      <w:r>
        <w:rPr>
          <w:rFonts w:hint="eastAsia" w:ascii="Times New Roman" w:hAnsi="Times New Roman" w:cs="Times New Roman"/>
          <w:spacing w:val="0"/>
          <w:lang w:val="en-US" w:eastAsia="zh-CN"/>
        </w:rPr>
        <w:t>52</w:t>
      </w:r>
      <w:r>
        <w:rPr>
          <w:rFonts w:hint="default" w:ascii="Times New Roman" w:hAnsi="Times New Roman" w:cs="Times New Roman"/>
          <w:spacing w:val="0"/>
        </w:rPr>
        <w:t>分，效益类指标权重</w:t>
      </w:r>
      <w:r>
        <w:rPr>
          <w:rFonts w:hint="eastAsia" w:ascii="Times New Roman" w:hAnsi="Times New Roman" w:cs="Times New Roman"/>
          <w:spacing w:val="0"/>
          <w:lang w:val="en-US" w:eastAsia="zh-CN"/>
        </w:rPr>
        <w:t>39</w:t>
      </w:r>
      <w:r>
        <w:rPr>
          <w:rFonts w:hint="default" w:ascii="Times New Roman" w:hAnsi="Times New Roman" w:cs="Times New Roman"/>
          <w:spacing w:val="0"/>
        </w:rPr>
        <w:t>分，服务对象满意度指标权重</w:t>
      </w:r>
      <w:r>
        <w:rPr>
          <w:rFonts w:hint="eastAsia" w:ascii="Times New Roman" w:hAnsi="Times New Roman" w:cs="Times New Roman"/>
          <w:spacing w:val="0"/>
          <w:lang w:val="en-US" w:eastAsia="zh-CN"/>
        </w:rPr>
        <w:t>9</w:t>
      </w:r>
      <w:r>
        <w:rPr>
          <w:rFonts w:hint="default" w:ascii="Times New Roman" w:hAnsi="Times New Roman" w:cs="Times New Roman"/>
          <w:spacing w:val="0"/>
        </w:rPr>
        <w:t>分。街道自评得分</w:t>
      </w:r>
      <w:r>
        <w:rPr>
          <w:rFonts w:hint="default" w:ascii="Times New Roman" w:hAnsi="Times New Roman" w:eastAsia="宋体" w:cs="Times New Roman"/>
          <w:spacing w:val="0"/>
        </w:rPr>
        <w:t>9</w:t>
      </w:r>
      <w:r>
        <w:rPr>
          <w:rFonts w:hint="eastAsia" w:ascii="Times New Roman" w:hAnsi="Times New Roman" w:eastAsia="宋体" w:cs="Times New Roman"/>
          <w:spacing w:val="0"/>
          <w:lang w:val="en-US" w:eastAsia="zh-CN"/>
        </w:rPr>
        <w:t>2</w:t>
      </w:r>
      <w:r>
        <w:rPr>
          <w:rFonts w:hint="default" w:ascii="Times New Roman" w:hAnsi="Times New Roman" w:cs="Times New Roman"/>
          <w:spacing w:val="0"/>
        </w:rPr>
        <w:t>分，总权重为</w:t>
      </w:r>
      <w:r>
        <w:rPr>
          <w:rFonts w:hint="default" w:ascii="Times New Roman" w:hAnsi="Times New Roman" w:eastAsia="Times New Roman" w:cs="Times New Roman"/>
          <w:spacing w:val="0"/>
        </w:rPr>
        <w:t>100</w:t>
      </w:r>
      <w:r>
        <w:rPr>
          <w:rFonts w:hint="default" w:ascii="Times New Roman" w:hAnsi="Times New Roman" w:cs="Times New Roman"/>
          <w:spacing w:val="0"/>
        </w:rPr>
        <w:t>分，其中：产出类指标权重</w:t>
      </w:r>
      <w:r>
        <w:rPr>
          <w:rFonts w:hint="eastAsia" w:ascii="Times New Roman" w:hAnsi="Times New Roman" w:cs="Times New Roman"/>
          <w:spacing w:val="0"/>
          <w:lang w:val="en-US" w:eastAsia="zh-CN"/>
        </w:rPr>
        <w:t>52</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自评得分49分</w:t>
      </w:r>
      <w:r>
        <w:rPr>
          <w:rFonts w:hint="default" w:ascii="Times New Roman" w:hAnsi="Times New Roman" w:cs="Times New Roman"/>
          <w:spacing w:val="0"/>
        </w:rPr>
        <w:t>（</w:t>
      </w:r>
      <w:r>
        <w:rPr>
          <w:rFonts w:hint="eastAsia" w:ascii="Times New Roman" w:hAnsi="Times New Roman" w:cs="Times New Roman"/>
          <w:spacing w:val="0"/>
          <w:lang w:val="en-US" w:eastAsia="zh-CN"/>
        </w:rPr>
        <w:t>超大城市现代化治理工作考核基本完成，权重15分，自评得分12分；预算执行率≥100%，权重9分，自评得分9分；资金使用合规，权重9分，自评得分9分；预决算信息公开及时，权重9分，自评得分9分；平安建设考核排名达标，权重10分，自评得分10分</w:t>
      </w:r>
      <w:r>
        <w:rPr>
          <w:rFonts w:hint="default" w:ascii="Times New Roman" w:hAnsi="Times New Roman" w:cs="Times New Roman"/>
          <w:spacing w:val="0"/>
        </w:rPr>
        <w:t>）。效益类指标权重</w:t>
      </w:r>
      <w:r>
        <w:rPr>
          <w:rFonts w:hint="eastAsia" w:ascii="Times New Roman" w:hAnsi="Times New Roman" w:cs="Times New Roman"/>
          <w:spacing w:val="0"/>
          <w:lang w:val="en-US" w:eastAsia="zh-CN"/>
        </w:rPr>
        <w:t>39</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自评得分33分</w:t>
      </w:r>
      <w:r>
        <w:rPr>
          <w:rFonts w:hint="default" w:ascii="Times New Roman" w:hAnsi="Times New Roman" w:cs="Times New Roman"/>
          <w:spacing w:val="0"/>
        </w:rPr>
        <w:t>（</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稳增长、促投资</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工作任务完成率达标，权重10分，自评得分10分；经济指标任务完成率达标，权重10分，自评得分6分；就业创业工作目标任务完成率达标，权重10分，自评得分8分；法治</w:t>
      </w:r>
      <w:bookmarkStart w:id="0" w:name="_GoBack"/>
      <w:bookmarkEnd w:id="0"/>
      <w:r>
        <w:rPr>
          <w:rFonts w:hint="eastAsia" w:ascii="Times New Roman" w:hAnsi="Times New Roman" w:cs="Times New Roman"/>
          <w:spacing w:val="0"/>
          <w:lang w:val="en-US" w:eastAsia="zh-CN"/>
        </w:rPr>
        <w:t>宣传知晓率≥97%，权重9分，自评得分9分</w:t>
      </w:r>
      <w:r>
        <w:rPr>
          <w:rFonts w:hint="default" w:ascii="Times New Roman" w:hAnsi="Times New Roman" w:cs="Times New Roman"/>
          <w:spacing w:val="0"/>
        </w:rPr>
        <w:t>）。满意度指标权重</w:t>
      </w:r>
      <w:r>
        <w:rPr>
          <w:rFonts w:hint="eastAsia" w:ascii="Times New Roman" w:hAnsi="Times New Roman" w:cs="Times New Roman"/>
          <w:spacing w:val="0"/>
          <w:lang w:val="en-US" w:eastAsia="zh-CN"/>
        </w:rPr>
        <w:t>9</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自评得分9分</w:t>
      </w:r>
      <w:r>
        <w:rPr>
          <w:rFonts w:hint="default" w:ascii="Times New Roman" w:hAnsi="Times New Roman" w:cs="Times New Roman"/>
          <w:spacing w:val="0"/>
        </w:rPr>
        <w:t>（</w:t>
      </w:r>
      <w:r>
        <w:rPr>
          <w:rFonts w:hint="eastAsia" w:ascii="Times New Roman" w:hAnsi="Times New Roman" w:cs="Times New Roman"/>
          <w:spacing w:val="0"/>
          <w:lang w:val="en-US" w:eastAsia="zh-CN"/>
        </w:rPr>
        <w:t>服务辖区规上企业满意度达标，权重9分，自评得分9分</w:t>
      </w:r>
      <w:r>
        <w:rPr>
          <w:rFonts w:hint="default" w:ascii="Times New Roman" w:hAnsi="Times New Roman" w:cs="Times New Roman"/>
          <w:spacing w:val="0"/>
        </w:rPr>
        <w:t>）。</w:t>
      </w:r>
    </w:p>
    <w:p w14:paraId="510222F3">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cs="Times New Roman"/>
          <w:spacing w:val="0"/>
          <w:lang w:val="en-US" w:eastAsia="zh-CN"/>
        </w:rPr>
      </w:pPr>
      <w:r>
        <w:rPr>
          <w:rFonts w:hint="default" w:ascii="Times New Roman" w:hAnsi="Times New Roman" w:cs="Times New Roman"/>
          <w:spacing w:val="0"/>
        </w:rPr>
        <w:t>“党建工作”项目自评得分</w:t>
      </w:r>
      <w:r>
        <w:rPr>
          <w:rFonts w:hint="default" w:ascii="Times New Roman" w:hAnsi="Times New Roman" w:eastAsia="Times New Roman" w:cs="Times New Roman"/>
          <w:spacing w:val="0"/>
        </w:rPr>
        <w:t>100</w:t>
      </w:r>
      <w:r>
        <w:rPr>
          <w:rFonts w:hint="default" w:ascii="Times New Roman" w:hAnsi="Times New Roman" w:cs="Times New Roman"/>
          <w:spacing w:val="0"/>
        </w:rPr>
        <w:t>分，其中：产出类指标权重</w:t>
      </w:r>
      <w:r>
        <w:rPr>
          <w:rFonts w:hint="default" w:ascii="Times New Roman" w:hAnsi="Times New Roman" w:eastAsia="Times New Roman" w:cs="Times New Roman"/>
          <w:spacing w:val="0"/>
        </w:rPr>
        <w:t>50</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自评得分50分</w:t>
      </w:r>
      <w:r>
        <w:rPr>
          <w:rFonts w:hint="default" w:ascii="Times New Roman" w:hAnsi="Times New Roman" w:cs="Times New Roman"/>
          <w:spacing w:val="0"/>
        </w:rPr>
        <w:t>（</w:t>
      </w:r>
      <w:r>
        <w:rPr>
          <w:rFonts w:hint="eastAsia" w:ascii="Times New Roman" w:hAnsi="Times New Roman" w:cs="Times New Roman"/>
          <w:spacing w:val="0"/>
        </w:rPr>
        <w:t>按照要求开展文明实践云平台建设</w:t>
      </w:r>
      <w:r>
        <w:rPr>
          <w:rFonts w:hint="eastAsia" w:ascii="Times New Roman" w:hAnsi="Times New Roman" w:cs="Times New Roman"/>
          <w:spacing w:val="0"/>
          <w:lang w:val="en-US" w:eastAsia="zh-CN"/>
        </w:rPr>
        <w:t>≥8场，权重10分，自评得分10分；人大专题调研代表参与率≥80%，权重20分，自评得分20分；社情民意信息采用得分≥5分，权重20分，自评得分20分）。</w:t>
      </w:r>
      <w:r>
        <w:rPr>
          <w:rFonts w:hint="default" w:ascii="Times New Roman" w:hAnsi="Times New Roman" w:cs="Times New Roman"/>
          <w:spacing w:val="0"/>
        </w:rPr>
        <w:t>效益类指标权重</w:t>
      </w:r>
      <w:r>
        <w:rPr>
          <w:rFonts w:hint="default" w:ascii="Times New Roman" w:hAnsi="Times New Roman" w:eastAsia="Times New Roman" w:cs="Times New Roman"/>
          <w:spacing w:val="0"/>
        </w:rPr>
        <w:t>40</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自评得分40分</w:t>
      </w:r>
      <w:r>
        <w:rPr>
          <w:rFonts w:hint="default" w:ascii="Times New Roman" w:hAnsi="Times New Roman" w:cs="Times New Roman"/>
          <w:spacing w:val="0"/>
        </w:rPr>
        <w:t>（</w:t>
      </w:r>
      <w:r>
        <w:rPr>
          <w:rFonts w:hint="eastAsia" w:ascii="Times New Roman" w:hAnsi="Times New Roman" w:cs="Times New Roman"/>
          <w:spacing w:val="0"/>
        </w:rPr>
        <w:t>建设全国文明城区模拟迎检结果达标</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权重30分，自评得分30分；举办辖区党建联席会≥4次，权重10分，自评得分10分</w:t>
      </w:r>
      <w:r>
        <w:rPr>
          <w:rFonts w:hint="default" w:ascii="Times New Roman" w:hAnsi="Times New Roman" w:cs="Times New Roman"/>
          <w:spacing w:val="0"/>
        </w:rPr>
        <w:t>）</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预算执行率权重10分，自评得分10分。</w:t>
      </w:r>
    </w:p>
    <w:p w14:paraId="6DCDF24D">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default" w:ascii="Times New Roman" w:hAnsi="Times New Roman" w:cs="Times New Roman"/>
          <w:spacing w:val="0"/>
        </w:rPr>
        <w:t>“</w:t>
      </w:r>
      <w:r>
        <w:rPr>
          <w:rFonts w:hint="eastAsia" w:ascii="Times New Roman" w:hAnsi="Times New Roman" w:cs="Times New Roman"/>
          <w:spacing w:val="0"/>
          <w:lang w:val="en-US" w:eastAsia="zh-CN"/>
        </w:rPr>
        <w:t>社区支出</w:t>
      </w:r>
      <w:r>
        <w:rPr>
          <w:rFonts w:hint="default" w:ascii="Times New Roman" w:hAnsi="Times New Roman" w:cs="Times New Roman"/>
          <w:spacing w:val="0"/>
        </w:rPr>
        <w:t>”项目自评得分</w:t>
      </w:r>
      <w:r>
        <w:rPr>
          <w:rFonts w:hint="default" w:ascii="Times New Roman" w:hAnsi="Times New Roman" w:eastAsia="Times New Roman" w:cs="Times New Roman"/>
          <w:spacing w:val="0"/>
        </w:rPr>
        <w:t>100</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其中：</w:t>
      </w:r>
      <w:r>
        <w:rPr>
          <w:rFonts w:hint="default" w:ascii="Times New Roman" w:hAnsi="Times New Roman" w:cs="Times New Roman"/>
          <w:spacing w:val="0"/>
        </w:rPr>
        <w:t>产出类指标权重</w:t>
      </w:r>
      <w:r>
        <w:rPr>
          <w:rFonts w:hint="eastAsia" w:ascii="Times New Roman" w:hAnsi="Times New Roman" w:cs="Times New Roman"/>
          <w:spacing w:val="0"/>
          <w:lang w:val="en-US" w:eastAsia="zh-CN"/>
        </w:rPr>
        <w:t>50分，自评得分50分（</w:t>
      </w:r>
      <w:r>
        <w:rPr>
          <w:rFonts w:hint="eastAsia" w:ascii="Times New Roman" w:hAnsi="Times New Roman" w:cs="Times New Roman"/>
          <w:spacing w:val="0"/>
        </w:rPr>
        <w:t>社区工作者补贴及时足额发放率</w:t>
      </w:r>
      <w:r>
        <w:rPr>
          <w:rFonts w:hint="eastAsia" w:ascii="Times New Roman" w:hAnsi="Times New Roman" w:cs="Times New Roman"/>
          <w:spacing w:val="0"/>
          <w:lang w:val="en-US" w:eastAsia="zh-CN"/>
        </w:rPr>
        <w:t>≥100%，权重20分，自评得分20分；社区工作者培训≥3次，权重10分，自评得分10分；年底社工持证率≥39%，权重20分，自评得分20分）。</w:t>
      </w:r>
      <w:r>
        <w:rPr>
          <w:rFonts w:hint="default" w:ascii="Times New Roman" w:hAnsi="Times New Roman" w:cs="Times New Roman"/>
          <w:spacing w:val="0"/>
        </w:rPr>
        <w:t>效益类指标权重</w:t>
      </w:r>
      <w:r>
        <w:rPr>
          <w:rFonts w:hint="default" w:ascii="Times New Roman" w:hAnsi="Times New Roman" w:eastAsia="Times New Roman" w:cs="Times New Roman"/>
          <w:spacing w:val="0"/>
        </w:rPr>
        <w:t>40</w:t>
      </w:r>
      <w:r>
        <w:rPr>
          <w:rFonts w:hint="default" w:ascii="Times New Roman" w:hAnsi="Times New Roman" w:cs="Times New Roman"/>
          <w:spacing w:val="0"/>
        </w:rPr>
        <w:t>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自评得分40分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五社联动</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系列活动≥3次，权重10分，自评得分10分；年度社区考核达标，权重30分，自评得分30分</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预算执行率权重10分，自评得分10分。</w:t>
      </w:r>
    </w:p>
    <w:p w14:paraId="36797330">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（二）绩效自评结果</w:t>
      </w:r>
    </w:p>
    <w:p w14:paraId="5BCAAB1E">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1.</w:t>
      </w:r>
      <w:r>
        <w:rPr>
          <w:rFonts w:hint="default" w:ascii="Times New Roman" w:hAnsi="Times New Roman" w:cs="Times New Roman"/>
          <w:spacing w:val="0"/>
        </w:rPr>
        <w:t>绩效目标自评表（见附件</w:t>
      </w:r>
      <w:r>
        <w:rPr>
          <w:rFonts w:hint="default" w:ascii="Times New Roman" w:hAnsi="Times New Roman" w:eastAsia="Times New Roman" w:cs="Times New Roman"/>
          <w:spacing w:val="0"/>
        </w:rPr>
        <w:t>1</w:t>
      </w:r>
      <w:r>
        <w:rPr>
          <w:rFonts w:hint="default" w:ascii="Times New Roman" w:hAnsi="Times New Roman" w:cs="Times New Roman"/>
          <w:spacing w:val="0"/>
        </w:rPr>
        <w:t>：</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年度二级项目绩效自评表）</w:t>
      </w:r>
    </w:p>
    <w:p w14:paraId="4F8F1C94">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w:t>
      </w:r>
      <w:r>
        <w:rPr>
          <w:rFonts w:hint="default" w:ascii="Times New Roman" w:hAnsi="Times New Roman" w:cs="Times New Roman"/>
          <w:spacing w:val="0"/>
        </w:rPr>
        <w:t>绩效自评报告或案例</w:t>
      </w:r>
    </w:p>
    <w:p w14:paraId="7E41F3A7">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eastAsia="zh-CN"/>
        </w:rPr>
      </w:pPr>
      <w:r>
        <w:rPr>
          <w:rFonts w:hint="default" w:ascii="Times New Roman" w:hAnsi="Times New Roman" w:cs="Times New Roman"/>
          <w:spacing w:val="0"/>
        </w:rPr>
        <w:t>本部门未委托第三方开展绩效自评。</w:t>
      </w:r>
    </w:p>
    <w:p w14:paraId="02D57B0B">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3.</w:t>
      </w:r>
      <w:r>
        <w:rPr>
          <w:rFonts w:hint="default" w:ascii="Times New Roman" w:hAnsi="Times New Roman" w:cs="Times New Roman"/>
          <w:spacing w:val="0"/>
        </w:rPr>
        <w:t>关于绩效自评结果的说明</w:t>
      </w:r>
    </w:p>
    <w:p w14:paraId="2FA3955A">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本部门绩效自评均已完成年度绩效目标。</w:t>
      </w:r>
    </w:p>
    <w:p w14:paraId="2C933E14">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六、专业名词解释</w:t>
      </w:r>
    </w:p>
    <w:p w14:paraId="4F407A8C">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以下为常见专业名词解释目录，仅供参考。</w:t>
      </w:r>
    </w:p>
    <w:p w14:paraId="2C0EEE86">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（一）财政拨款收入</w:t>
      </w:r>
      <w:r>
        <w:rPr>
          <w:rFonts w:hint="default" w:ascii="Times New Roman" w:hAnsi="Times New Roman" w:eastAsia="楷体" w:cs="Times New Roman"/>
          <w:b/>
          <w:bCs/>
          <w:spacing w:val="0"/>
        </w:rPr>
        <w:t>：</w:t>
      </w:r>
      <w:r>
        <w:rPr>
          <w:rFonts w:hint="default" w:ascii="Times New Roman" w:hAnsi="Times New Roman" w:cs="Times New Roman"/>
          <w:spacing w:val="0"/>
        </w:rPr>
        <w:t>指本年度从本级财政部门取得的财政拨款，包括一般公共预算财政拨款和政府性基金预算财政拨款。</w:t>
      </w:r>
    </w:p>
    <w:p w14:paraId="56446CAE">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（二）事业收入</w:t>
      </w:r>
      <w:r>
        <w:rPr>
          <w:rFonts w:hint="default" w:ascii="Times New Roman" w:hAnsi="Times New Roman" w:eastAsia="楷体" w:cs="Times New Roman"/>
          <w:spacing w:val="0"/>
        </w:rPr>
        <w:t>：</w:t>
      </w:r>
      <w:r>
        <w:rPr>
          <w:rFonts w:hint="default" w:ascii="Times New Roman" w:hAnsi="Times New Roman" w:cs="Times New Roman"/>
          <w:spacing w:val="0"/>
        </w:rPr>
        <w:t>指事业单位开展专业业务活动及其辅助活动取得的现金流入；事业单位收到的财政专户实际核拨的教育收费等资金在此反映。</w:t>
      </w:r>
    </w:p>
    <w:p w14:paraId="26E6A1F6">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（三）经营收入</w:t>
      </w:r>
      <w:r>
        <w:rPr>
          <w:rFonts w:hint="default" w:ascii="Times New Roman" w:hAnsi="Times New Roman" w:eastAsia="楷体" w:cs="Times New Roman"/>
          <w:spacing w:val="0"/>
        </w:rPr>
        <w:t>：</w:t>
      </w:r>
      <w:r>
        <w:rPr>
          <w:rFonts w:hint="default" w:ascii="Times New Roman" w:hAnsi="Times New Roman" w:cs="Times New Roman"/>
          <w:spacing w:val="0"/>
        </w:rPr>
        <w:t>指事业单位在专业业务活动及其辅助活动之外开展非独立核算经营活动取得的现金流入。</w:t>
      </w:r>
    </w:p>
    <w:p w14:paraId="67166355">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（四）其他收入</w:t>
      </w:r>
      <w:r>
        <w:rPr>
          <w:rFonts w:hint="default" w:ascii="Times New Roman" w:hAnsi="Times New Roman" w:eastAsia="楷体" w:cs="Times New Roman"/>
          <w:spacing w:val="0"/>
        </w:rPr>
        <w:t>：</w:t>
      </w:r>
      <w:r>
        <w:rPr>
          <w:rFonts w:hint="default" w:ascii="Times New Roman" w:hAnsi="Times New Roman" w:cs="Times New Roman"/>
          <w:spacing w:val="0"/>
        </w:rPr>
        <w:t>指单位取得的除</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CA80481">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楷体" w:cs="Times New Roman"/>
          <w:spacing w:val="0"/>
        </w:rPr>
        <w:t>（</w:t>
      </w:r>
      <w:r>
        <w:rPr>
          <w:rFonts w:hint="default" w:ascii="Times New Roman" w:hAnsi="Times New Roman" w:eastAsia="方正楷体_GBK" w:cs="Times New Roman"/>
          <w:spacing w:val="0"/>
        </w:rPr>
        <w:t>五）使用非财政拨款结余：</w:t>
      </w:r>
      <w:r>
        <w:rPr>
          <w:rFonts w:hint="default" w:ascii="Times New Roman" w:hAnsi="Times New Roman" w:cs="Times New Roman"/>
          <w:spacing w:val="0"/>
        </w:rPr>
        <w:t>指单位在当年的</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其他收入</w:t>
      </w:r>
      <w:r>
        <w:rPr>
          <w:rFonts w:hint="default" w:ascii="Times New Roman" w:hAnsi="Times New Roman" w:eastAsia="Times New Roman" w:cs="Times New Roman"/>
          <w:spacing w:val="0"/>
        </w:rPr>
        <w:t>”</w:t>
      </w:r>
      <w:r>
        <w:rPr>
          <w:rFonts w:hint="default" w:ascii="Times New Roman" w:hAnsi="Times New Roman" w:cs="Times New Roman"/>
          <w:spacing w:val="0"/>
        </w:rPr>
        <w:t>等不足以安排当年支出的情况下，使用以前年度积累的非财政拨款结余弥补本年度收支缺口的资金。</w:t>
      </w:r>
    </w:p>
    <w:p w14:paraId="2A585D44">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（六）年初结转和结余：</w:t>
      </w:r>
      <w:r>
        <w:rPr>
          <w:rFonts w:hint="default" w:ascii="Times New Roman" w:hAnsi="Times New Roman" w:cs="Times New Roman"/>
          <w:spacing w:val="0"/>
        </w:rPr>
        <w:t>指单位上年结转本年使用的基本</w:t>
      </w:r>
      <w:r>
        <w:rPr>
          <w:rFonts w:hint="eastAsia" w:ascii="Times New Roman" w:hAnsi="Times New Roman" w:cs="Times New Roman"/>
          <w:spacing w:val="0"/>
          <w:lang w:val="en-US" w:eastAsia="zh-CN"/>
        </w:rPr>
        <w:t>支</w:t>
      </w:r>
      <w:r>
        <w:rPr>
          <w:rFonts w:hint="default" w:ascii="Times New Roman" w:hAnsi="Times New Roman" w:cs="Times New Roman"/>
          <w:spacing w:val="0"/>
        </w:rPr>
        <w:t>出结转、项目支出结转和结余、经营结余。</w:t>
      </w:r>
    </w:p>
    <w:p w14:paraId="4314CA9C">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（七）结余分配：</w:t>
      </w:r>
      <w:r>
        <w:rPr>
          <w:rFonts w:hint="default" w:ascii="Times New Roman" w:hAnsi="Times New Roman" w:cs="Times New Roman"/>
          <w:spacing w:val="0"/>
        </w:rPr>
        <w:t>指单位按照国家有关规定，缴纳所得税、提取专用基金、转入非财政拨款结余等当年结余的分配情况。</w:t>
      </w:r>
    </w:p>
    <w:p w14:paraId="6E6B15A1">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（八）年末结转和结余：</w:t>
      </w:r>
      <w:r>
        <w:rPr>
          <w:rFonts w:hint="default" w:ascii="Times New Roman" w:hAnsi="Times New Roman" w:cs="Times New Roman"/>
          <w:spacing w:val="0"/>
        </w:rPr>
        <w:t>指单位结转下年的基本支出结转、项目支出结转和结余、经营结余。</w:t>
      </w:r>
    </w:p>
    <w:p w14:paraId="34676F82">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（九）基本支出：</w:t>
      </w:r>
      <w:r>
        <w:rPr>
          <w:rFonts w:hint="default" w:ascii="Times New Roman" w:hAnsi="Times New Roman" w:cs="Times New Roman"/>
          <w:spacing w:val="0"/>
        </w:rPr>
        <w:t>指为保障机构正常运转、完成日常工作任务而发生的人员经费和公用经费。其中：人员经费指政府收支分类经济科目中的</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；公用经费指政府收支分类经济科目中除</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外的其他支出。</w:t>
      </w:r>
    </w:p>
    <w:p w14:paraId="03A4A1D0">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（十）项目支出：</w:t>
      </w:r>
      <w:r>
        <w:rPr>
          <w:rFonts w:hint="default" w:ascii="Times New Roman" w:hAnsi="Times New Roman" w:cs="Times New Roman"/>
          <w:spacing w:val="0"/>
        </w:rPr>
        <w:t>指在基本支出之外为完成特定行政任务和事业发展目标所发生的支出。</w:t>
      </w:r>
    </w:p>
    <w:p w14:paraId="1D5493EE">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（十一）经营支出：</w:t>
      </w:r>
      <w:r>
        <w:rPr>
          <w:rFonts w:hint="default" w:ascii="Times New Roman" w:hAnsi="Times New Roman" w:cs="Times New Roman"/>
          <w:spacing w:val="0"/>
        </w:rPr>
        <w:t>指事业单位在专业业务活动及其辅助活动之外开展非独立核算经营活动发生的支出。</w:t>
      </w:r>
    </w:p>
    <w:p w14:paraId="2DF9BC6C">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（十二）</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三公</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经费：</w:t>
      </w:r>
      <w:r>
        <w:rPr>
          <w:rFonts w:hint="default" w:ascii="Times New Roman" w:hAnsi="Times New Roman" w:cs="Times New Roman"/>
          <w:spacing w:val="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CD0C10">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（十三）机关运行经费：</w:t>
      </w:r>
      <w:r>
        <w:rPr>
          <w:rFonts w:hint="default" w:ascii="Times New Roman" w:hAnsi="Times New Roman" w:cs="Times New Roman"/>
          <w:spacing w:val="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1D17CCA">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（十四）工资福利支出（支出经济分类科目类级）：</w:t>
      </w:r>
      <w:r>
        <w:rPr>
          <w:rFonts w:hint="default" w:ascii="Times New Roman" w:hAnsi="Times New Roman" w:cs="Times New Roman"/>
          <w:spacing w:val="0"/>
        </w:rPr>
        <w:t>反映单位开支的在职职工和编制外长期聘用人员的各类劳动报酬，以及为上述人员缴纳的各项社会保险费等。</w:t>
      </w:r>
    </w:p>
    <w:p w14:paraId="38CFC0F1">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（十五）商品和服务支出（支出经济分类科目类级）：</w:t>
      </w:r>
      <w:r>
        <w:rPr>
          <w:rFonts w:hint="default" w:ascii="Times New Roman" w:hAnsi="Times New Roman" w:cs="Times New Roman"/>
          <w:spacing w:val="0"/>
        </w:rPr>
        <w:t>反映单位购买商品和服务的支出（不包括用于购置固定资产的支出、战略性和应急储备支出）。</w:t>
      </w:r>
    </w:p>
    <w:p w14:paraId="0A7ADF17">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（十六）对个人和家庭的补助（支出经济分类科目类级）：</w:t>
      </w:r>
      <w:r>
        <w:rPr>
          <w:rFonts w:hint="default" w:ascii="Times New Roman" w:hAnsi="Times New Roman" w:cs="Times New Roman"/>
          <w:spacing w:val="0"/>
        </w:rPr>
        <w:t>反映用于对个人和家庭的补助支出。</w:t>
      </w:r>
    </w:p>
    <w:p w14:paraId="4212FFCE">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（十七）其他资本性支出（支出经济分类科目类级）：</w:t>
      </w:r>
      <w:r>
        <w:rPr>
          <w:rFonts w:hint="default" w:ascii="Times New Roman" w:hAnsi="Times New Roman" w:cs="Times New Roman"/>
          <w:spacing w:val="0"/>
        </w:rPr>
        <w:t>反映非各级发展与改革部门集中安排的用于购置固定资产、战略性和应急性储备、土地和无形资产，以及构建基础设施、大型修缮和财政支持企业更新改造所发生的支出。</w:t>
      </w:r>
    </w:p>
    <w:p w14:paraId="2AFA5CC5">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七、决算公开联系方式及信息反馈渠道</w:t>
      </w:r>
    </w:p>
    <w:p w14:paraId="65E7B560">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本单位决算公开信息反馈和联系方式：</w:t>
      </w:r>
      <w:r>
        <w:rPr>
          <w:rFonts w:hint="default" w:ascii="Times New Roman" w:hAnsi="Times New Roman" w:eastAsia="Times New Roman" w:cs="Times New Roman"/>
          <w:spacing w:val="0"/>
        </w:rPr>
        <w:t>023-63715321</w:t>
      </w:r>
      <w:r>
        <w:rPr>
          <w:rFonts w:hint="default" w:ascii="Times New Roman" w:hAnsi="Times New Roman" w:cs="Times New Roman"/>
          <w:spacing w:val="0"/>
        </w:rPr>
        <w:t>。</w:t>
      </w:r>
    </w:p>
    <w:p w14:paraId="555D503F">
      <w:pPr>
        <w:keepNext w:val="0"/>
        <w:keepLines w:val="0"/>
        <w:pageBreakBefore w:val="0"/>
        <w:widowControl w:val="0"/>
        <w:wordWrap/>
        <w:overflowPunct/>
        <w:topLinePunct w:val="0"/>
        <w:autoSpaceDE w:val="0"/>
        <w:bidi w:val="0"/>
        <w:snapToGrid w:val="0"/>
        <w:spacing w:line="600" w:lineRule="exact"/>
        <w:ind w:left="0" w:right="0" w:firstLine="400" w:firstLineChars="200"/>
        <w:jc w:val="both"/>
        <w:rPr>
          <w:rFonts w:hint="default" w:ascii="Times New Roman" w:hAnsi="Times New Roman" w:eastAsia="宋体" w:cs="Times New Roman"/>
          <w:spacing w:val="0"/>
          <w:sz w:val="20"/>
          <w:szCs w:val="20"/>
          <w:lang w:val="en-US" w:eastAsia="zh-CN"/>
        </w:rPr>
      </w:pPr>
    </w:p>
    <w:sectPr>
      <w:footerReference r:id="rId6" w:type="default"/>
      <w:pgSz w:w="11906" w:h="16838"/>
      <w:pgMar w:top="1984" w:right="1446" w:bottom="1644" w:left="1446" w:header="227" w:footer="62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052C">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A595F">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4A595F">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AC3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C65F0">
                          <w:pPr>
                            <w:pStyle w:val="3"/>
                          </w:pPr>
                          <w:r>
                            <w:t>—</w:t>
                          </w:r>
                          <w:r>
                            <w:fldChar w:fldCharType="begin"/>
                          </w:r>
                          <w:r>
                            <w:instrText xml:space="preserve"> PAGE  \* MERGEFORMAT </w:instrText>
                          </w:r>
                          <w:r>
                            <w:fldChar w:fldCharType="separate"/>
                          </w:r>
                          <w:r>
                            <w:t>2</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FC65F0">
                    <w:pPr>
                      <w:pStyle w:val="3"/>
                    </w:pPr>
                    <w:r>
                      <w:t>—</w:t>
                    </w:r>
                    <w:r>
                      <w:fldChar w:fldCharType="begin"/>
                    </w:r>
                    <w:r>
                      <w:instrText xml:space="preserve"> PAGE  \* MERGEFORMAT </w:instrText>
                    </w:r>
                    <w:r>
                      <w:fldChar w:fldCharType="separate"/>
                    </w:r>
                    <w:r>
                      <w:t>2</w:t>
                    </w:r>
                    <w:r>
                      <w:fldChar w:fldCharType="end"/>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hmODQzMTFiNTE5ODA0YjVlZTNjODE0Mzk0MzQ3MDAifQ=="/>
  </w:docVars>
  <w:rsids>
    <w:rsidRoot w:val="00000000"/>
    <w:rsid w:val="1BD764F3"/>
    <w:rsid w:val="1DCD1540"/>
    <w:rsid w:val="225F789C"/>
    <w:rsid w:val="4E867452"/>
    <w:rsid w:val="530924F4"/>
    <w:rsid w:val="638C0851"/>
    <w:rsid w:val="6F5D0369"/>
    <w:rsid w:val="736D7101"/>
    <w:rsid w:val="7E111C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paragraph" w:customStyle="1" w:styleId="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5721</Words>
  <Characters>6411</Characters>
  <TotalTime>7</TotalTime>
  <ScaleCrop>false</ScaleCrop>
  <LinksUpToDate>false</LinksUpToDate>
  <CharactersWithSpaces>6411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2024-09-03T14:36:00Z</dcterms:created>
  <dc:creator>Administrator</dc:creator>
  <cp:lastModifiedBy>徐林</cp:lastModifiedBy>
  <dcterms:modified xsi:type="dcterms:W3CDTF">2025-10-23T03:45:14Z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2024-10-18T16:32:39Z</vt:filetime>
  </property>
  <property fmtid="{D5CDD505-2E9C-101B-9397-08002B2CF9AE}" pid="4" name="KSOProductBuildVer">
    <vt:lpwstr>2052-12.1.0.22529</vt:lpwstr>
  </property>
  <property fmtid="{D5CDD505-2E9C-101B-9397-08002B2CF9AE}" pid="5" name="ICV">
    <vt:lpwstr>E7973C131BA4497EACF54BAB4FD7F040_13</vt:lpwstr>
  </property>
  <property fmtid="{D5CDD505-2E9C-101B-9397-08002B2CF9AE}" pid="6" name="KSOTemplateDocerSaveRecord">
    <vt:lpwstr>eyJoZGlkIjoiZWE1YWExMzEyYzRjNDU0ZjlkODU3NDQ2YTdiMjNjNzYiLCJ1c2VySWQiOiIxNjA3MjI3ODgzIn0=</vt:lpwstr>
  </property>
</Properties>
</file>