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50" w:line="600" w:lineRule="exact"/>
        <w:jc w:val="center"/>
        <w:rPr>
          <w:rFonts w:ascii="方正小标宋_GBK" w:hAnsi="方正小标宋_GBK" w:eastAsia="方正小标宋_GBK" w:cs="方正小标宋_GBK"/>
          <w:snapToGrid w:val="0"/>
          <w:kern w:val="2"/>
          <w:sz w:val="44"/>
          <w:szCs w:val="44"/>
        </w:rPr>
      </w:pPr>
      <w:r>
        <w:rPr>
          <w:rFonts w:hint="eastAsia" w:ascii="黑体" w:hAnsi="黑体" w:eastAsia="黑体" w:cs="黑体"/>
          <w:snapToGrid w:val="0"/>
          <w:kern w:val="2"/>
          <w:sz w:val="44"/>
          <w:szCs w:val="44"/>
        </w:rPr>
        <w:t>七星岗街道</w:t>
      </w:r>
      <w:r>
        <w:rPr>
          <w:rFonts w:hint="eastAsia" w:ascii="方正小标宋_GBK" w:hAnsi="方正小标宋_GBK" w:eastAsia="方正小标宋_GBK" w:cs="方正小标宋_GBK"/>
          <w:snapToGrid w:val="0"/>
          <w:kern w:val="2"/>
          <w:sz w:val="44"/>
          <w:szCs w:val="44"/>
        </w:rPr>
        <w:t>安全生产专项整治三年行动任务清单</w:t>
      </w:r>
    </w:p>
    <w:p>
      <w:pPr>
        <w:pStyle w:val="2"/>
        <w:spacing w:afterLines="50" w:line="600" w:lineRule="exact"/>
        <w:jc w:val="center"/>
        <w:rPr>
          <w:rFonts w:ascii="Times New Roman" w:eastAsia="方正仿宋_GBK" w:cs="Times New Roman"/>
          <w:snapToGrid w:val="0"/>
          <w:kern w:val="2"/>
          <w:sz w:val="32"/>
          <w:szCs w:val="32"/>
        </w:rPr>
      </w:pPr>
      <w:r>
        <w:rPr>
          <w:rFonts w:hint="eastAsia" w:ascii="方正小标宋_GBK" w:hAnsi="方正小标宋_GBK" w:eastAsia="方正小标宋_GBK" w:cs="方正小标宋_GBK"/>
          <w:snapToGrid w:val="0"/>
          <w:kern w:val="2"/>
          <w:sz w:val="32"/>
          <w:szCs w:val="32"/>
        </w:rPr>
        <w:t>（学习宣传贯彻习近平总书记关于安全生产重要论述专题）</w:t>
      </w:r>
    </w:p>
    <w:tbl>
      <w:tblPr>
        <w:tblStyle w:val="5"/>
        <w:tblW w:w="14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9"/>
        <w:gridCol w:w="206"/>
        <w:gridCol w:w="4905"/>
        <w:gridCol w:w="3345"/>
        <w:gridCol w:w="2088"/>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0" w:type="dxa"/>
            <w:gridSpan w:val="3"/>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主要任务</w:t>
            </w:r>
          </w:p>
        </w:tc>
        <w:tc>
          <w:tcPr>
            <w:tcW w:w="3345"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工作措施</w:t>
            </w:r>
          </w:p>
        </w:tc>
        <w:tc>
          <w:tcPr>
            <w:tcW w:w="2088"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责任科室</w:t>
            </w:r>
          </w:p>
        </w:tc>
        <w:tc>
          <w:tcPr>
            <w:tcW w:w="1134" w:type="dxa"/>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配合社区</w:t>
            </w:r>
          </w:p>
        </w:tc>
        <w:tc>
          <w:tcPr>
            <w:tcW w:w="1134"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95" w:type="dxa"/>
            <w:gridSpan w:val="2"/>
          </w:tcPr>
          <w:p>
            <w:pPr>
              <w:widowControl/>
              <w:spacing w:line="300" w:lineRule="exact"/>
              <w:textAlignment w:val="center"/>
              <w:rPr>
                <w:rFonts w:ascii="方正黑体_GBK" w:hAnsi="方正黑体_GBK" w:eastAsia="方正黑体_GBK" w:cs="方正黑体_GBK"/>
                <w:color w:val="000000"/>
                <w:kern w:val="0"/>
                <w:sz w:val="24"/>
              </w:rPr>
            </w:pPr>
          </w:p>
        </w:tc>
        <w:tc>
          <w:tcPr>
            <w:tcW w:w="12606" w:type="dxa"/>
            <w:gridSpan w:val="5"/>
            <w:tcMar>
              <w:top w:w="15" w:type="dxa"/>
              <w:left w:w="15" w:type="dxa"/>
              <w:right w:w="15" w:type="dxa"/>
            </w:tcMar>
            <w:vAlign w:val="center"/>
          </w:tcPr>
          <w:p>
            <w:pPr>
              <w:widowControl/>
              <w:spacing w:line="300" w:lineRule="exact"/>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一、开展“看、学、讲、谈”活动。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（一）组织集中观看学习专题片。</w:t>
            </w: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w:t>
            </w:r>
            <w:r>
              <w:rPr>
                <w:rFonts w:hint="eastAsia" w:ascii="方正仿宋_GBK" w:hAnsi="方正仿宋_GBK" w:eastAsia="方正仿宋_GBK" w:cs="方正仿宋_GBK"/>
                <w:color w:val="000000"/>
                <w:kern w:val="0"/>
                <w:sz w:val="24"/>
              </w:rPr>
              <w:t>组织集中观看学习“生命重于泰山</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学习习近平总书记关于安全生产重要论述”电视专题片和“重庆市安全生产专项整治三年行动”解读视频。</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组织单位全体人员观看学习，对缺课人员统一进行补课，确保全员参与、一人不漏。</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应急办</w:t>
            </w:r>
          </w:p>
        </w:tc>
        <w:tc>
          <w:tcPr>
            <w:tcW w:w="1134" w:type="dxa"/>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vMerge w:val="restart"/>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（二）组织宣讲活动。</w:t>
            </w: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w:t>
            </w:r>
            <w:r>
              <w:rPr>
                <w:rFonts w:hint="eastAsia" w:ascii="方正仿宋_GBK" w:hAnsi="方正仿宋_GBK" w:eastAsia="方正仿宋_GBK" w:cs="方正仿宋_GBK"/>
                <w:color w:val="000000"/>
                <w:kern w:val="0"/>
                <w:sz w:val="24"/>
              </w:rPr>
              <w:t>组织宣讲活动，各级领导干部带头讲、邀请专家学者深入讲、组织一线工作者互动讲。</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组织开展各类宣讲活动</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党政办</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vMerge w:val="continue"/>
            <w:tcMar>
              <w:top w:w="15" w:type="dxa"/>
              <w:left w:w="15" w:type="dxa"/>
              <w:right w:w="15" w:type="dxa"/>
            </w:tcMar>
            <w:vAlign w:val="center"/>
          </w:tcPr>
          <w:p>
            <w:pPr>
              <w:spacing w:line="300" w:lineRule="exact"/>
              <w:rPr>
                <w:rFonts w:ascii="方正仿宋_GBK" w:hAnsi="方正仿宋_GBK" w:eastAsia="方正仿宋_GBK" w:cs="方正仿宋_GBK"/>
                <w:color w:val="000000"/>
                <w:sz w:val="24"/>
              </w:rPr>
            </w:pP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3.</w:t>
            </w:r>
            <w:r>
              <w:rPr>
                <w:rFonts w:hint="eastAsia" w:ascii="方正仿宋_GBK" w:hAnsi="方正仿宋_GBK" w:eastAsia="方正仿宋_GBK" w:cs="方正仿宋_GBK"/>
                <w:color w:val="000000"/>
                <w:kern w:val="0"/>
                <w:sz w:val="24"/>
              </w:rPr>
              <w:t>深入到辖区单位开展巡回宣讲，各科室也要在本行业和业务领域开展安全宣讲。</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各科室、各社区在本行业和业务领域、本社区组织开展宣传活动。</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党政办、应急办</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vMerge w:val="restart"/>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（三）组织大讨论活动。</w:t>
            </w: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4</w:t>
            </w:r>
            <w:r>
              <w:rPr>
                <w:rFonts w:hint="eastAsia" w:ascii="方正仿宋_GBK" w:hAnsi="方正仿宋_GBK" w:eastAsia="方正仿宋_GBK" w:cs="方正仿宋_GBK"/>
                <w:color w:val="000000"/>
                <w:kern w:val="0"/>
                <w:sz w:val="24"/>
              </w:rPr>
              <w:t>组织开展大讨论活动，谈认识、谈感受、谈如何贯彻落实，让安全发展理念入脑入心。</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定期开展大讨论活动</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应急办</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vMerge w:val="continue"/>
            <w:tcMar>
              <w:top w:w="15" w:type="dxa"/>
              <w:left w:w="15" w:type="dxa"/>
              <w:right w:w="15" w:type="dxa"/>
            </w:tcMar>
            <w:vAlign w:val="center"/>
          </w:tcPr>
          <w:p>
            <w:pPr>
              <w:spacing w:line="300" w:lineRule="exact"/>
              <w:rPr>
                <w:rFonts w:ascii="方正仿宋_GBK" w:hAnsi="方正仿宋_GBK" w:eastAsia="方正仿宋_GBK" w:cs="方正仿宋_GBK"/>
                <w:color w:val="000000"/>
                <w:sz w:val="24"/>
              </w:rPr>
            </w:pP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5.</w:t>
            </w:r>
            <w:r>
              <w:rPr>
                <w:rFonts w:hint="eastAsia" w:ascii="方正仿宋_GBK" w:hAnsi="方正仿宋_GBK" w:eastAsia="方正仿宋_GBK" w:cs="方正仿宋_GBK"/>
                <w:color w:val="000000"/>
                <w:kern w:val="0"/>
                <w:sz w:val="24"/>
              </w:rPr>
              <w:t>开展“领导谈安全”活动，着重解决“关键少数”的思想认识和工作作风问题。</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定期开展大讨论活动</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党政办、应急办</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95" w:type="dxa"/>
            <w:gridSpan w:val="2"/>
          </w:tcPr>
          <w:p>
            <w:pPr>
              <w:widowControl/>
              <w:spacing w:line="300" w:lineRule="exact"/>
              <w:textAlignment w:val="center"/>
              <w:rPr>
                <w:rFonts w:ascii="方正黑体_GBK" w:hAnsi="方正黑体_GBK" w:eastAsia="方正黑体_GBK" w:cs="方正黑体_GBK"/>
                <w:color w:val="000000"/>
                <w:kern w:val="0"/>
                <w:sz w:val="24"/>
              </w:rPr>
            </w:pPr>
          </w:p>
        </w:tc>
        <w:tc>
          <w:tcPr>
            <w:tcW w:w="12606" w:type="dxa"/>
            <w:gridSpan w:val="5"/>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黑体_GBK" w:hAnsi="方正黑体_GBK" w:eastAsia="方正黑体_GBK" w:cs="方正黑体_GBK"/>
                <w:color w:val="000000"/>
                <w:kern w:val="0"/>
                <w:sz w:val="24"/>
              </w:rPr>
              <w:t>二、广泛开展社会宣传活动。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tcMar>
              <w:top w:w="15" w:type="dxa"/>
              <w:left w:w="15" w:type="dxa"/>
              <w:right w:w="15" w:type="dxa"/>
            </w:tcMar>
            <w:vAlign w:val="center"/>
          </w:tcPr>
          <w:p>
            <w:pPr>
              <w:spacing w:line="300" w:lineRule="exact"/>
              <w:rPr>
                <w:rFonts w:ascii="方正仿宋_GBK" w:hAnsi="方正仿宋_GBK" w:eastAsia="方正仿宋_GBK" w:cs="方正仿宋_GBK"/>
                <w:color w:val="000000"/>
                <w:sz w:val="24"/>
              </w:rPr>
            </w:pP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6.</w:t>
            </w:r>
            <w:r>
              <w:rPr>
                <w:rFonts w:hint="eastAsia" w:ascii="方正仿宋_GBK" w:hAnsi="方正仿宋_GBK" w:eastAsia="方正仿宋_GBK" w:cs="方正仿宋_GBK"/>
                <w:color w:val="000000"/>
                <w:kern w:val="0"/>
                <w:sz w:val="24"/>
              </w:rPr>
              <w:t>在本单位公众信息网站、“两微一端”等平台开设专栏，推出重点报道、学习文章、访谈评论等。</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在本单位公众信息网站、“两微一端”等平台加入相关内容</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党政办</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vMerge w:val="restart"/>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（四）开展安全宣传“五进”活动。</w:t>
            </w: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7.</w:t>
            </w:r>
            <w:r>
              <w:rPr>
                <w:rFonts w:hint="eastAsia" w:ascii="方正仿宋_GBK" w:hAnsi="方正仿宋_GBK" w:eastAsia="方正仿宋_GBK" w:cs="方正仿宋_GBK"/>
                <w:color w:val="000000"/>
                <w:kern w:val="0"/>
                <w:sz w:val="24"/>
              </w:rPr>
              <w:t>组建行业专业知识宣讲队伍，开展安全宣传进企业、进商圈、进社区、进学校、进家庭“五进”活动。</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务实开展“五进”活动</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街道各科室</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vMerge w:val="continue"/>
            <w:tcMar>
              <w:top w:w="15" w:type="dxa"/>
              <w:left w:w="15" w:type="dxa"/>
              <w:right w:w="15" w:type="dxa"/>
            </w:tcMar>
            <w:vAlign w:val="center"/>
          </w:tcPr>
          <w:p>
            <w:pPr>
              <w:spacing w:line="300" w:lineRule="exact"/>
              <w:rPr>
                <w:rFonts w:ascii="方正仿宋_GBK" w:hAnsi="方正仿宋_GBK" w:eastAsia="方正仿宋_GBK" w:cs="方正仿宋_GBK"/>
                <w:color w:val="000000"/>
                <w:sz w:val="24"/>
              </w:rPr>
            </w:pP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8.</w:t>
            </w:r>
            <w:r>
              <w:rPr>
                <w:rFonts w:hint="eastAsia" w:ascii="方正仿宋_GBK" w:hAnsi="方正仿宋_GBK" w:eastAsia="方正仿宋_GBK" w:cs="方正仿宋_GBK"/>
                <w:color w:val="000000"/>
                <w:kern w:val="0"/>
                <w:sz w:val="24"/>
              </w:rPr>
              <w:t>将习近平总书记重要论述作为重要内容，加大对从业人员的宣传教育培训力度。</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定期开展宣贯</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街道各科室</w:t>
            </w:r>
          </w:p>
        </w:tc>
        <w:tc>
          <w:tcPr>
            <w:tcW w:w="1134" w:type="dxa"/>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95" w:type="dxa"/>
            <w:gridSpan w:val="2"/>
          </w:tcPr>
          <w:p>
            <w:pPr>
              <w:widowControl/>
              <w:spacing w:line="300" w:lineRule="exact"/>
              <w:textAlignment w:val="center"/>
              <w:rPr>
                <w:rFonts w:ascii="方正黑体_GBK" w:hAnsi="方正黑体_GBK" w:eastAsia="方正黑体_GBK" w:cs="方正黑体_GBK"/>
                <w:color w:val="000000"/>
                <w:kern w:val="0"/>
                <w:sz w:val="24"/>
              </w:rPr>
            </w:pPr>
          </w:p>
        </w:tc>
        <w:tc>
          <w:tcPr>
            <w:tcW w:w="12606" w:type="dxa"/>
            <w:gridSpan w:val="5"/>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黑体_GBK" w:hAnsi="方正黑体_GBK" w:eastAsia="方正黑体_GBK" w:cs="方正黑体_GBK"/>
                <w:color w:val="000000"/>
                <w:kern w:val="0"/>
                <w:sz w:val="24"/>
              </w:rPr>
              <w:t>三、健全落实安全生产责任制。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（五）落实党政领导干部责任。</w:t>
            </w: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9.</w:t>
            </w:r>
            <w:r>
              <w:rPr>
                <w:rFonts w:hint="eastAsia" w:ascii="方正仿宋_GBK" w:hAnsi="方正仿宋_GBK" w:eastAsia="方正仿宋_GBK" w:cs="方正仿宋_GBK"/>
                <w:color w:val="000000"/>
                <w:kern w:val="0"/>
                <w:sz w:val="24"/>
              </w:rPr>
              <w:t>认真落实《重庆市渝中区党政领导干部安全生产责任制实施办法》（以下简称《实施办法》），健全定期研究解决安全生产重大问题的会议制度。</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完善体制机制</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应急办</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vMerge w:val="restart"/>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（六）消除监管盲区。</w:t>
            </w: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10.</w:t>
            </w:r>
            <w:r>
              <w:rPr>
                <w:rFonts w:hint="eastAsia" w:ascii="方正仿宋_GBK" w:hAnsi="方正仿宋_GBK" w:eastAsia="方正仿宋_GBK" w:cs="方正仿宋_GBK"/>
                <w:color w:val="000000"/>
                <w:kern w:val="0"/>
                <w:sz w:val="24"/>
              </w:rPr>
              <w:t>按照管行业、管业务、管生产经营必须管安全生产的“三个必须”要求，严格落实行业领域、属地的监管责任，消除监管盲区漏洞。</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完善体制机制</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街道各科室</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vMerge w:val="continue"/>
            <w:tcMar>
              <w:top w:w="15" w:type="dxa"/>
              <w:left w:w="15" w:type="dxa"/>
              <w:right w:w="15" w:type="dxa"/>
            </w:tcMar>
            <w:vAlign w:val="center"/>
          </w:tcPr>
          <w:p>
            <w:pPr>
              <w:spacing w:line="300" w:lineRule="exact"/>
              <w:rPr>
                <w:rFonts w:ascii="方正仿宋_GBK" w:hAnsi="方正仿宋_GBK" w:eastAsia="方正仿宋_GBK" w:cs="方正仿宋_GBK"/>
                <w:color w:val="000000"/>
                <w:sz w:val="24"/>
              </w:rPr>
            </w:pP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11.</w:t>
            </w:r>
            <w:r>
              <w:rPr>
                <w:rFonts w:hint="eastAsia" w:ascii="方正仿宋_GBK" w:hAnsi="方正仿宋_GBK" w:eastAsia="方正仿宋_GBK" w:cs="方正仿宋_GBK"/>
                <w:color w:val="000000"/>
                <w:kern w:val="0"/>
                <w:sz w:val="24"/>
              </w:rPr>
              <w:t>将自己承担的安全生产所有职责分解落实到部门相关领导及责任人员。</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完善体制机制</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街道各科室</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95" w:type="dxa"/>
            <w:gridSpan w:val="2"/>
          </w:tcPr>
          <w:p>
            <w:pPr>
              <w:widowControl/>
              <w:spacing w:line="300" w:lineRule="exact"/>
              <w:textAlignment w:val="center"/>
              <w:rPr>
                <w:rFonts w:ascii="方正黑体_GBK" w:hAnsi="方正黑体_GBK" w:eastAsia="方正黑体_GBK" w:cs="方正黑体_GBK"/>
                <w:color w:val="000000"/>
                <w:kern w:val="0"/>
                <w:sz w:val="24"/>
              </w:rPr>
            </w:pPr>
          </w:p>
        </w:tc>
        <w:tc>
          <w:tcPr>
            <w:tcW w:w="12606" w:type="dxa"/>
            <w:gridSpan w:val="5"/>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黑体_GBK" w:hAnsi="方正黑体_GBK" w:eastAsia="方正黑体_GBK" w:cs="方正黑体_GBK"/>
                <w:color w:val="000000"/>
                <w:kern w:val="0"/>
                <w:sz w:val="24"/>
              </w:rPr>
              <w:t>四、有效防范安全风险。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（七）结构性关、搬、改。</w:t>
            </w: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按照城市发展需要和安全风险控制要求，建立机制，通过“关、搬、改”措施，推动不具备安全条件的小、散、弱企业升级改造，实现搬大、搬强、搬环保、搬安全。</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完善体制机制</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街道各科室</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9"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（八）强化安全隐患排查和安全预防控制体系。</w:t>
            </w:r>
          </w:p>
        </w:tc>
        <w:tc>
          <w:tcPr>
            <w:tcW w:w="5111" w:type="dxa"/>
            <w:gridSpan w:val="2"/>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13.</w:t>
            </w:r>
            <w:r>
              <w:rPr>
                <w:rFonts w:hint="eastAsia" w:ascii="方正仿宋_GBK" w:hAnsi="方正仿宋_GBK" w:eastAsia="方正仿宋_GBK" w:cs="方正仿宋_GBK"/>
                <w:color w:val="000000"/>
                <w:kern w:val="0"/>
                <w:sz w:val="24"/>
              </w:rPr>
              <w:t>推进大型商市场、企业及公共区域安全风险的辨识、管控和隐患排查治理制度的建立和落实。</w:t>
            </w:r>
          </w:p>
        </w:tc>
        <w:tc>
          <w:tcPr>
            <w:tcW w:w="3345" w:type="dxa"/>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定期开展风险研判、隐患排查整治</w:t>
            </w:r>
          </w:p>
        </w:tc>
        <w:tc>
          <w:tcPr>
            <w:tcW w:w="2088"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街道各科室</w:t>
            </w:r>
          </w:p>
        </w:tc>
        <w:tc>
          <w:tcPr>
            <w:tcW w:w="113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13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持续推进</w:t>
            </w:r>
          </w:p>
        </w:tc>
      </w:tr>
    </w:tbl>
    <w:p>
      <w:pPr>
        <w:pStyle w:val="2"/>
        <w:spacing w:line="300" w:lineRule="exact"/>
        <w:rPr>
          <w:rFonts w:ascii="Times New Roman" w:eastAsia="方正仿宋_GBK" w:cs="Times New Roman"/>
          <w:snapToGrid w:val="0"/>
          <w:kern w:val="2"/>
          <w:sz w:val="32"/>
          <w:szCs w:val="32"/>
        </w:rPr>
      </w:pPr>
    </w:p>
    <w:p>
      <w:pPr>
        <w:pStyle w:val="2"/>
        <w:spacing w:line="300" w:lineRule="exact"/>
        <w:rPr>
          <w:rFonts w:ascii="Times New Roman" w:eastAsia="方正仿宋_GBK" w:cs="Times New Roman"/>
          <w:snapToGrid w:val="0"/>
          <w:kern w:val="2"/>
          <w:sz w:val="32"/>
          <w:szCs w:val="32"/>
        </w:rPr>
      </w:pPr>
    </w:p>
    <w:p>
      <w:pPr>
        <w:pStyle w:val="2"/>
        <w:spacing w:line="300" w:lineRule="exact"/>
        <w:rPr>
          <w:rFonts w:ascii="Times New Roman" w:eastAsia="方正仿宋_GBK" w:cs="Times New Roman"/>
          <w:snapToGrid w:val="0"/>
          <w:kern w:val="2"/>
          <w:sz w:val="32"/>
          <w:szCs w:val="32"/>
        </w:rPr>
      </w:pPr>
    </w:p>
    <w:p>
      <w:pPr>
        <w:pStyle w:val="2"/>
        <w:spacing w:line="300" w:lineRule="exact"/>
        <w:rPr>
          <w:rFonts w:ascii="Times New Roman" w:eastAsia="方正仿宋_GBK" w:cs="Times New Roman"/>
          <w:snapToGrid w:val="0"/>
          <w:kern w:val="2"/>
          <w:sz w:val="32"/>
          <w:szCs w:val="32"/>
        </w:rPr>
      </w:pPr>
    </w:p>
    <w:p>
      <w:pPr>
        <w:pStyle w:val="2"/>
        <w:spacing w:afterLines="50" w:line="600" w:lineRule="exact"/>
        <w:jc w:val="center"/>
        <w:rPr>
          <w:rFonts w:hint="eastAsia" w:ascii="方正小标宋_GBK" w:hAnsi="方正小标宋_GBK" w:eastAsia="方正小标宋_GBK" w:cs="方正小标宋_GBK"/>
          <w:snapToGrid w:val="0"/>
          <w:kern w:val="2"/>
          <w:sz w:val="32"/>
          <w:szCs w:val="32"/>
        </w:rPr>
      </w:pPr>
    </w:p>
    <w:p>
      <w:pPr>
        <w:pStyle w:val="2"/>
        <w:spacing w:afterLines="50" w:line="600" w:lineRule="exact"/>
        <w:jc w:val="center"/>
        <w:rPr>
          <w:rFonts w:ascii="方正小标宋_GBK" w:hAnsi="方正小标宋_GBK" w:eastAsia="方正小标宋_GBK" w:cs="方正小标宋_GBK"/>
          <w:snapToGrid w:val="0"/>
          <w:kern w:val="2"/>
          <w:sz w:val="32"/>
          <w:szCs w:val="32"/>
        </w:rPr>
      </w:pPr>
      <w:r>
        <w:rPr>
          <w:rFonts w:hint="eastAsia" w:ascii="方正小标宋_GBK" w:hAnsi="方正小标宋_GBK" w:eastAsia="方正小标宋_GBK" w:cs="方正小标宋_GBK"/>
          <w:snapToGrid w:val="0"/>
          <w:kern w:val="2"/>
          <w:sz w:val="32"/>
          <w:szCs w:val="32"/>
        </w:rPr>
        <w:t>安全生产专项整治三年行动任务清单</w:t>
      </w:r>
    </w:p>
    <w:p>
      <w:pPr>
        <w:pStyle w:val="2"/>
        <w:spacing w:afterLines="50" w:line="600" w:lineRule="exact"/>
        <w:jc w:val="center"/>
        <w:rPr>
          <w:rFonts w:ascii="Times New Roman" w:eastAsia="方正仿宋_GBK" w:cs="Times New Roman"/>
          <w:snapToGrid w:val="0"/>
          <w:kern w:val="2"/>
          <w:sz w:val="32"/>
          <w:szCs w:val="32"/>
        </w:rPr>
      </w:pPr>
      <w:r>
        <w:rPr>
          <w:rFonts w:hint="eastAsia" w:ascii="方正小标宋_GBK" w:hAnsi="方正小标宋_GBK" w:eastAsia="方正小标宋_GBK" w:cs="方正小标宋_GBK"/>
          <w:snapToGrid w:val="0"/>
          <w:kern w:val="2"/>
          <w:sz w:val="32"/>
          <w:szCs w:val="32"/>
        </w:rPr>
        <w:t>（落实企业安全生产主体责任专题）</w:t>
      </w:r>
    </w:p>
    <w:tbl>
      <w:tblPr>
        <w:tblStyle w:val="5"/>
        <w:tblW w:w="14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9"/>
        <w:gridCol w:w="5437"/>
        <w:gridCol w:w="3003"/>
        <w:gridCol w:w="2554"/>
        <w:gridCol w:w="141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6" w:type="dxa"/>
            <w:gridSpan w:val="2"/>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主要任务</w:t>
            </w:r>
          </w:p>
        </w:tc>
        <w:tc>
          <w:tcPr>
            <w:tcW w:w="3003"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工作措施</w:t>
            </w:r>
          </w:p>
        </w:tc>
        <w:tc>
          <w:tcPr>
            <w:tcW w:w="2554"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责任科室</w:t>
            </w:r>
          </w:p>
        </w:tc>
        <w:tc>
          <w:tcPr>
            <w:tcW w:w="1414" w:type="dxa"/>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配合社区</w:t>
            </w:r>
          </w:p>
        </w:tc>
        <w:tc>
          <w:tcPr>
            <w:tcW w:w="1417"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04" w:type="dxa"/>
            <w:gridSpan w:val="6"/>
          </w:tcPr>
          <w:p>
            <w:pPr>
              <w:widowControl/>
              <w:spacing w:line="300" w:lineRule="exact"/>
              <w:jc w:val="left"/>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一、夯实企业安全标准化基础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1" w:hRule="atLeast"/>
          <w:jc w:val="center"/>
        </w:trPr>
        <w:tc>
          <w:tcPr>
            <w:tcW w:w="1079"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（一）分类分级推进企业安全生产标准化</w:t>
            </w:r>
          </w:p>
        </w:tc>
        <w:tc>
          <w:tcPr>
            <w:tcW w:w="5437" w:type="dxa"/>
            <w:tcMar>
              <w:top w:w="15" w:type="dxa"/>
              <w:left w:w="15" w:type="dxa"/>
              <w:right w:w="15" w:type="dxa"/>
            </w:tcMar>
            <w:vAlign w:val="center"/>
          </w:tcPr>
          <w:p>
            <w:pPr>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w:t>
            </w:r>
            <w:r>
              <w:rPr>
                <w:rFonts w:hint="eastAsia" w:ascii="方正仿宋_GBK" w:hAnsi="方正仿宋_GBK" w:eastAsia="方正仿宋_GBK" w:cs="方正仿宋_GBK"/>
                <w:color w:val="000000"/>
                <w:kern w:val="0"/>
                <w:sz w:val="24"/>
              </w:rPr>
              <w:t>其他小微企业（个体工商户）重点岗位达标</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w:t>
            </w:r>
            <w:r>
              <w:rPr>
                <w:rFonts w:hint="eastAsia" w:ascii="方正仿宋_GBK" w:hAnsi="方正仿宋_GBK" w:eastAsia="方正仿宋_GBK" w:cs="方正仿宋_GBK"/>
                <w:color w:val="000000"/>
                <w:kern w:val="0"/>
                <w:sz w:val="24"/>
              </w:rPr>
              <w:t>梳理行业相关标准，形成达标目录；</w:t>
            </w:r>
            <w:r>
              <w:rPr>
                <w:rFonts w:ascii="方正仿宋_GBK" w:hAnsi="方正仿宋_GBK" w:eastAsia="方正仿宋_GBK" w:cs="方正仿宋_GBK"/>
                <w:color w:val="000000"/>
                <w:kern w:val="0"/>
                <w:sz w:val="24"/>
              </w:rPr>
              <w:br w:type="textWrapping"/>
            </w:r>
            <w:r>
              <w:rPr>
                <w:rFonts w:ascii="方正仿宋_GBK" w:hAnsi="方正仿宋_GBK" w:eastAsia="方正仿宋_GBK" w:cs="方正仿宋_GBK"/>
                <w:color w:val="000000"/>
                <w:kern w:val="0"/>
                <w:sz w:val="24"/>
              </w:rPr>
              <w:t>2.</w:t>
            </w:r>
            <w:r>
              <w:rPr>
                <w:rFonts w:hint="eastAsia" w:ascii="方正仿宋_GBK" w:hAnsi="方正仿宋_GBK" w:eastAsia="方正仿宋_GBK" w:cs="方正仿宋_GBK"/>
                <w:color w:val="000000"/>
                <w:kern w:val="0"/>
                <w:sz w:val="24"/>
              </w:rPr>
              <w:t>确定试点企业，先行建设试点；</w:t>
            </w:r>
            <w:r>
              <w:rPr>
                <w:rFonts w:ascii="方正仿宋_GBK" w:hAnsi="方正仿宋_GBK" w:eastAsia="方正仿宋_GBK" w:cs="方正仿宋_GBK"/>
                <w:color w:val="000000"/>
                <w:kern w:val="0"/>
                <w:sz w:val="24"/>
              </w:rPr>
              <w:br w:type="textWrapping"/>
            </w:r>
            <w:r>
              <w:rPr>
                <w:rFonts w:ascii="方正仿宋_GBK" w:hAnsi="方正仿宋_GBK" w:eastAsia="方正仿宋_GBK" w:cs="方正仿宋_GBK"/>
                <w:color w:val="000000"/>
                <w:kern w:val="0"/>
                <w:sz w:val="24"/>
              </w:rPr>
              <w:t>3.</w:t>
            </w:r>
            <w:r>
              <w:rPr>
                <w:rFonts w:hint="eastAsia" w:ascii="方正仿宋_GBK" w:hAnsi="方正仿宋_GBK" w:eastAsia="方正仿宋_GBK" w:cs="方正仿宋_GBK"/>
                <w:color w:val="000000"/>
                <w:kern w:val="0"/>
                <w:sz w:val="24"/>
              </w:rPr>
              <w:t>督促企业全面对标建设；</w:t>
            </w:r>
            <w:r>
              <w:rPr>
                <w:rFonts w:ascii="方正仿宋_GBK" w:hAnsi="方正仿宋_GBK" w:eastAsia="方正仿宋_GBK" w:cs="方正仿宋_GBK"/>
                <w:color w:val="000000"/>
                <w:kern w:val="0"/>
                <w:sz w:val="24"/>
              </w:rPr>
              <w:br w:type="textWrapping"/>
            </w:r>
            <w:r>
              <w:rPr>
                <w:rFonts w:ascii="方正仿宋_GBK" w:hAnsi="方正仿宋_GBK" w:eastAsia="方正仿宋_GBK" w:cs="方正仿宋_GBK"/>
                <w:color w:val="000000"/>
                <w:kern w:val="0"/>
                <w:sz w:val="24"/>
              </w:rPr>
              <w:t>4.</w:t>
            </w:r>
            <w:r>
              <w:rPr>
                <w:rFonts w:hint="eastAsia" w:ascii="方正仿宋_GBK" w:hAnsi="方正仿宋_GBK" w:eastAsia="方正仿宋_GBK" w:cs="方正仿宋_GBK"/>
                <w:color w:val="000000"/>
                <w:kern w:val="0"/>
                <w:sz w:val="24"/>
              </w:rPr>
              <w:t>开展达标评审。</w:t>
            </w:r>
          </w:p>
        </w:tc>
        <w:tc>
          <w:tcPr>
            <w:tcW w:w="2554" w:type="dxa"/>
            <w:tcMar>
              <w:top w:w="15" w:type="dxa"/>
              <w:left w:w="15" w:type="dxa"/>
              <w:right w:w="15" w:type="dxa"/>
            </w:tcMar>
            <w:vAlign w:val="center"/>
          </w:tcPr>
          <w:p>
            <w:pPr>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应急办、街道有关科室、</w:t>
            </w:r>
          </w:p>
        </w:tc>
        <w:tc>
          <w:tcPr>
            <w:tcW w:w="1414" w:type="dxa"/>
            <w:vAlign w:val="center"/>
          </w:tcPr>
          <w:p>
            <w:pPr>
              <w:spacing w:line="300" w:lineRule="exact"/>
              <w:jc w:val="center"/>
              <w:textAlignment w:val="center"/>
              <w:rPr>
                <w:rFonts w:ascii="方正仿宋_GBK" w:hAnsi="方正仿宋_GBK" w:eastAsia="方正仿宋_GBK" w:cs="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2022</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04" w:type="dxa"/>
            <w:gridSpan w:val="6"/>
          </w:tcPr>
          <w:p>
            <w:pPr>
              <w:widowControl/>
              <w:spacing w:line="300" w:lineRule="exact"/>
              <w:jc w:val="left"/>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二、健全完善企业安全生产责任体系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restart"/>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（二）强化各类关键人员责任</w:t>
            </w: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w:t>
            </w:r>
            <w:r>
              <w:rPr>
                <w:rFonts w:hint="eastAsia" w:ascii="方正仿宋_GBK" w:hAnsi="方正仿宋_GBK" w:eastAsia="方正仿宋_GBK" w:cs="方正仿宋_GBK"/>
                <w:color w:val="000000"/>
                <w:kern w:val="0"/>
                <w:sz w:val="24"/>
              </w:rPr>
              <w:t>企业法定代表人和实际控制人同为安全生产第一责任人，对本单位安全生产全面负责，做到安全责任、安全管理、安全投入、安全培训、应急救援“五到位”</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continue"/>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3.</w:t>
            </w:r>
            <w:r>
              <w:rPr>
                <w:rFonts w:hint="eastAsia" w:ascii="方正仿宋_GBK" w:hAnsi="方正仿宋_GBK" w:eastAsia="方正仿宋_GBK" w:cs="方正仿宋_GBK"/>
                <w:color w:val="000000"/>
                <w:kern w:val="0"/>
                <w:sz w:val="24"/>
              </w:rPr>
              <w:t>企业领导班子成员和内部各部门落实安全生产职责和“一岗双责”制度</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continue"/>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4.</w:t>
            </w:r>
            <w:r>
              <w:rPr>
                <w:rFonts w:hint="eastAsia" w:ascii="方正仿宋_GBK" w:hAnsi="方正仿宋_GBK" w:eastAsia="方正仿宋_GBK" w:cs="方正仿宋_GBK"/>
                <w:color w:val="000000"/>
                <w:kern w:val="0"/>
                <w:sz w:val="24"/>
              </w:rPr>
              <w:t>企业安全负责人要加强安全生产工作的组织统筹、重点推进和检查考核</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continue"/>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5.</w:t>
            </w:r>
            <w:r>
              <w:rPr>
                <w:rFonts w:hint="eastAsia" w:ascii="方正仿宋_GBK" w:hAnsi="方正仿宋_GBK" w:eastAsia="方正仿宋_GBK" w:cs="方正仿宋_GBK"/>
                <w:color w:val="000000"/>
                <w:kern w:val="0"/>
                <w:sz w:val="24"/>
              </w:rPr>
              <w:t>企业主要技术负责人要加强安全技术规程、措施方案的编制、论证、决定、实施和监督</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（三）全面推行全员安全生产责任制</w:t>
            </w: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6.</w:t>
            </w:r>
            <w:r>
              <w:rPr>
                <w:rFonts w:hint="eastAsia" w:ascii="方正仿宋_GBK" w:hAnsi="方正仿宋_GBK" w:eastAsia="方正仿宋_GBK" w:cs="方正仿宋_GBK"/>
                <w:color w:val="000000"/>
                <w:kern w:val="0"/>
                <w:sz w:val="24"/>
              </w:rPr>
              <w:t>建立健全企业从主要负责人到一线岗位员工覆盖所有管理和操作岗位的安全生产责任制，明确所有岗位的责任人员、责任范围和考核标准等内容</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04" w:type="dxa"/>
            <w:gridSpan w:val="6"/>
          </w:tcPr>
          <w:p>
            <w:pPr>
              <w:widowControl/>
              <w:spacing w:line="300" w:lineRule="exact"/>
              <w:jc w:val="left"/>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三、健全完善企业安全生产保障体系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restart"/>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（四）强化投入保障</w:t>
            </w: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7.</w:t>
            </w:r>
            <w:r>
              <w:rPr>
                <w:rFonts w:hint="eastAsia" w:ascii="方正仿宋_GBK" w:hAnsi="方正仿宋_GBK" w:eastAsia="方正仿宋_GBK" w:cs="方正仿宋_GBK"/>
                <w:color w:val="000000"/>
                <w:kern w:val="0"/>
                <w:sz w:val="24"/>
              </w:rPr>
              <w:t>企业要保证安全生产条件所必需的资金投入，严格安全生产费用提取管理使用制度</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continue"/>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w:t>
            </w:r>
            <w:r>
              <w:rPr>
                <w:rFonts w:hint="eastAsia" w:ascii="方正仿宋_GBK" w:hAnsi="方正仿宋_GBK" w:eastAsia="方正仿宋_GBK" w:cs="方正仿宋_GBK"/>
                <w:color w:val="000000"/>
                <w:kern w:val="0"/>
                <w:sz w:val="24"/>
              </w:rPr>
              <w:t>加强从业人员劳动保护，配齐并督促从业人员佩戴和使用符合标准的安全防护用品</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restart"/>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（五）强化能力保障</w:t>
            </w: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9.</w:t>
            </w:r>
            <w:r>
              <w:rPr>
                <w:rFonts w:hint="eastAsia" w:ascii="方正仿宋_GBK" w:hAnsi="方正仿宋_GBK" w:eastAsia="方正仿宋_GBK" w:cs="方正仿宋_GBK"/>
                <w:color w:val="000000"/>
                <w:kern w:val="0"/>
                <w:sz w:val="24"/>
              </w:rPr>
              <w:t>企业主要负责人和安全生产管理人员、特殊工种人员一律严格考核，按国家有关规定持职业资格证书上岗</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continue"/>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10.</w:t>
            </w:r>
            <w:r>
              <w:rPr>
                <w:rFonts w:hint="eastAsia" w:ascii="方正仿宋_GBK" w:hAnsi="方正仿宋_GBK" w:eastAsia="方正仿宋_GBK" w:cs="方正仿宋_GBK"/>
                <w:color w:val="000000"/>
                <w:kern w:val="0"/>
                <w:sz w:val="24"/>
              </w:rPr>
              <w:t>企业职工必须全部经过培训合格后上岗</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04" w:type="dxa"/>
            <w:gridSpan w:val="6"/>
          </w:tcPr>
          <w:p>
            <w:pPr>
              <w:widowControl/>
              <w:spacing w:line="300" w:lineRule="exact"/>
              <w:jc w:val="left"/>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四、建立企业风险隐患控制体系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restart"/>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11.</w:t>
            </w:r>
            <w:r>
              <w:rPr>
                <w:rFonts w:hint="eastAsia" w:ascii="方正仿宋_GBK" w:hAnsi="方正仿宋_GBK" w:eastAsia="方正仿宋_GBK" w:cs="方正仿宋_GBK"/>
                <w:color w:val="000000"/>
                <w:kern w:val="0"/>
                <w:sz w:val="24"/>
              </w:rPr>
              <w:t>企业要对重大安全风险的工作场所和岗位设置明显警示标志，并强化现场监测和预警</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continue"/>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企业要建立重大风险隐患报告制度</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restart"/>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（六）加强安全隐患排查</w:t>
            </w: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13.</w:t>
            </w:r>
            <w:r>
              <w:rPr>
                <w:rFonts w:hint="eastAsia" w:ascii="方正仿宋_GBK" w:hAnsi="方正仿宋_GBK" w:eastAsia="方正仿宋_GBK" w:cs="方正仿宋_GBK"/>
                <w:color w:val="000000"/>
                <w:kern w:val="0"/>
                <w:sz w:val="24"/>
              </w:rPr>
              <w:t>企业要建立健全隐患排查治理制度，严格企业安全生产班组日排查、部门周排查、厂长月排查的“日周月”制度，对单排查、精准排查</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vMerge w:val="continue"/>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14.</w:t>
            </w:r>
            <w:r>
              <w:rPr>
                <w:rFonts w:hint="eastAsia" w:ascii="方正仿宋_GBK" w:hAnsi="方正仿宋_GBK" w:eastAsia="方正仿宋_GBK" w:cs="方正仿宋_GBK"/>
                <w:color w:val="000000"/>
                <w:kern w:val="0"/>
                <w:sz w:val="24"/>
              </w:rPr>
              <w:t>企业要建立隐患整改效果评价制度</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（七）严格落实治理措施</w:t>
            </w: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15.</w:t>
            </w:r>
            <w:r>
              <w:rPr>
                <w:rFonts w:hint="eastAsia" w:ascii="方正仿宋_GBK" w:hAnsi="方正仿宋_GBK" w:eastAsia="方正仿宋_GBK" w:cs="方正仿宋_GBK"/>
                <w:color w:val="000000"/>
                <w:kern w:val="0"/>
                <w:sz w:val="24"/>
              </w:rPr>
              <w:t>严格企业安全隐患整改措施、责任、资金、时限和预案“五到位”</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04" w:type="dxa"/>
            <w:gridSpan w:val="6"/>
          </w:tcPr>
          <w:p>
            <w:pPr>
              <w:widowControl/>
              <w:spacing w:line="300" w:lineRule="exact"/>
              <w:jc w:val="left"/>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五、健全企业安全社会治理体系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9"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（八）建立完善企业安全承诺制度</w:t>
            </w:r>
          </w:p>
        </w:tc>
        <w:tc>
          <w:tcPr>
            <w:tcW w:w="5437"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16.</w:t>
            </w:r>
            <w:r>
              <w:rPr>
                <w:rFonts w:hint="eastAsia" w:ascii="方正仿宋_GBK" w:hAnsi="方正仿宋_GBK" w:eastAsia="方正仿宋_GBK" w:cs="方正仿宋_GBK"/>
                <w:color w:val="000000"/>
                <w:kern w:val="0"/>
                <w:sz w:val="24"/>
              </w:rPr>
              <w:t>企业主要负责人要向社会和全体员工公开对安全生产承诺，做到主体责任落实、管理体系健全、安全投入加大、风险管控严格、隐患治理到位</w:t>
            </w:r>
          </w:p>
        </w:tc>
        <w:tc>
          <w:tcPr>
            <w:tcW w:w="3003" w:type="dxa"/>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将企业落实情况纳入年度监督检查计划，加大执法力度，推动落地</w:t>
            </w:r>
          </w:p>
        </w:tc>
        <w:tc>
          <w:tcPr>
            <w:tcW w:w="2554"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应急办、街道各负有安全监管的科室</w:t>
            </w:r>
          </w:p>
        </w:tc>
        <w:tc>
          <w:tcPr>
            <w:tcW w:w="1414" w:type="dxa"/>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7"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2020</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12</w:t>
            </w:r>
            <w:r>
              <w:rPr>
                <w:rFonts w:hint="eastAsia" w:ascii="方正仿宋_GBK" w:hAnsi="方正仿宋_GBK" w:eastAsia="方正仿宋_GBK" w:cs="方正仿宋_GBK"/>
                <w:color w:val="000000"/>
                <w:kern w:val="0"/>
                <w:sz w:val="24"/>
              </w:rPr>
              <w:t>月</w:t>
            </w:r>
          </w:p>
        </w:tc>
      </w:tr>
    </w:tbl>
    <w:p>
      <w:pPr>
        <w:rPr>
          <w:rFonts w:ascii="Times New Roman" w:eastAsia="方正仿宋_GBK"/>
          <w:snapToGrid w:val="0"/>
          <w:color w:val="000000"/>
          <w:sz w:val="32"/>
          <w:szCs w:val="32"/>
        </w:rPr>
      </w:pPr>
    </w:p>
    <w:p>
      <w:pPr>
        <w:pStyle w:val="2"/>
        <w:spacing w:afterLines="50" w:line="600" w:lineRule="exact"/>
        <w:jc w:val="center"/>
        <w:rPr>
          <w:rFonts w:ascii="方正小标宋_GBK" w:hAnsi="方正小标宋_GBK" w:eastAsia="方正小标宋_GBK" w:cs="方正小标宋_GBK"/>
          <w:snapToGrid w:val="0"/>
          <w:kern w:val="2"/>
          <w:sz w:val="32"/>
          <w:szCs w:val="32"/>
        </w:rPr>
      </w:pPr>
      <w:r>
        <w:rPr>
          <w:rFonts w:hint="eastAsia" w:ascii="方正小标宋_GBK" w:hAnsi="方正小标宋_GBK" w:eastAsia="方正小标宋_GBK" w:cs="方正小标宋_GBK"/>
          <w:snapToGrid w:val="0"/>
          <w:kern w:val="2"/>
          <w:sz w:val="32"/>
          <w:szCs w:val="32"/>
        </w:rPr>
        <w:t>安全生产专项整治三年行动任务清单（消防安全领域）</w:t>
      </w:r>
    </w:p>
    <w:tbl>
      <w:tblPr>
        <w:tblStyle w:val="5"/>
        <w:tblW w:w="1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8"/>
        <w:gridCol w:w="3054"/>
        <w:gridCol w:w="6255"/>
        <w:gridCol w:w="1499"/>
        <w:gridCol w:w="133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olor w:val="000000"/>
                <w:kern w:val="0"/>
                <w:sz w:val="24"/>
              </w:rPr>
            </w:pPr>
          </w:p>
        </w:tc>
        <w:tc>
          <w:tcPr>
            <w:tcW w:w="3054" w:type="dxa"/>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主要任务</w:t>
            </w:r>
          </w:p>
        </w:tc>
        <w:tc>
          <w:tcPr>
            <w:tcW w:w="6255" w:type="dxa"/>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工作措施</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olor w:val="000000"/>
                <w:kern w:val="0"/>
                <w:sz w:val="24"/>
              </w:rPr>
            </w:pPr>
            <w:r>
              <w:rPr>
                <w:rFonts w:hint="eastAsia" w:ascii="方正黑体_GBK" w:hAnsi="方正黑体_GBK" w:eastAsia="方正黑体_GBK" w:cs="方正黑体_GBK"/>
                <w:color w:val="000000"/>
                <w:kern w:val="0"/>
                <w:sz w:val="24"/>
              </w:rPr>
              <w:t>责任科室</w:t>
            </w:r>
          </w:p>
        </w:tc>
        <w:tc>
          <w:tcPr>
            <w:tcW w:w="1331" w:type="dxa"/>
          </w:tcPr>
          <w:p>
            <w:pPr>
              <w:widowControl/>
              <w:spacing w:line="300" w:lineRule="exact"/>
              <w:jc w:val="center"/>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配合社区</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745" w:type="dxa"/>
            <w:gridSpan w:val="6"/>
          </w:tcPr>
          <w:p>
            <w:pPr>
              <w:widowControl/>
              <w:tabs>
                <w:tab w:val="left" w:pos="20880"/>
              </w:tabs>
              <w:spacing w:line="300" w:lineRule="exact"/>
              <w:ind w:right="4708" w:rightChars="2242"/>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一、深入推进高层建筑消防安全综合整治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restart"/>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（一）推进高层建筑消防安全综合整治</w:t>
            </w: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w:t>
            </w:r>
            <w:r>
              <w:rPr>
                <w:rFonts w:hint="eastAsia" w:ascii="Times New Roman" w:hAnsi="Times New Roman" w:eastAsia="方正仿宋_GBK"/>
                <w:color w:val="000000"/>
                <w:kern w:val="0"/>
                <w:sz w:val="24"/>
              </w:rPr>
              <w:t>逐年落实《重庆市渝中区高层建筑消防安全提升计划（</w:t>
            </w:r>
            <w:r>
              <w:rPr>
                <w:rFonts w:ascii="Times New Roman" w:hAnsi="Times New Roman" w:eastAsia="方正仿宋_GBK"/>
                <w:color w:val="000000"/>
                <w:kern w:val="0"/>
                <w:sz w:val="24"/>
              </w:rPr>
              <w:t>2020—2022</w:t>
            </w:r>
            <w:r>
              <w:rPr>
                <w:rFonts w:hint="eastAsia" w:ascii="Times New Roman" w:hAnsi="Times New Roman" w:eastAsia="方正仿宋_GBK"/>
                <w:color w:val="000000"/>
                <w:kern w:val="0"/>
                <w:sz w:val="24"/>
              </w:rPr>
              <w:t>年）》，全面实施高层建筑消防安全突出问题专项整治。</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根据《重庆市渝中区高层建筑消防安全提升计划（</w:t>
            </w:r>
            <w:r>
              <w:rPr>
                <w:rFonts w:ascii="Times New Roman" w:hAnsi="Times New Roman" w:eastAsia="方正仿宋_GBK"/>
                <w:color w:val="000000"/>
                <w:kern w:val="0"/>
                <w:sz w:val="24"/>
              </w:rPr>
              <w:t>2020—2022</w:t>
            </w:r>
            <w:r>
              <w:rPr>
                <w:rFonts w:hint="eastAsia" w:ascii="Times New Roman" w:hAnsi="Times New Roman" w:eastAsia="方正仿宋_GBK"/>
                <w:color w:val="000000"/>
                <w:kern w:val="0"/>
                <w:sz w:val="24"/>
              </w:rPr>
              <w:t>年）》任务要求，逐年落实。</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规建环办、应急办</w:t>
            </w:r>
          </w:p>
        </w:tc>
        <w:tc>
          <w:tcPr>
            <w:tcW w:w="1331" w:type="dxa"/>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continue"/>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w:t>
            </w:r>
            <w:r>
              <w:rPr>
                <w:rFonts w:hint="eastAsia" w:ascii="Times New Roman" w:hAnsi="Times New Roman" w:eastAsia="方正仿宋_GBK"/>
                <w:color w:val="000000"/>
                <w:kern w:val="0"/>
                <w:sz w:val="24"/>
              </w:rPr>
              <w:t>开展打通</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生命通道</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集中清障、电气燃气专项整治、高层住宅小区</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三查三清</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、建筑消防设施排查整治、消防安全管理</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盲区清零</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和消防安全百日宣传六大行动。</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w:t>
            </w:r>
            <w:r>
              <w:rPr>
                <w:rFonts w:hint="eastAsia" w:ascii="Times New Roman" w:hAnsi="Times New Roman" w:eastAsia="方正仿宋_GBK"/>
                <w:color w:val="000000"/>
                <w:kern w:val="0"/>
                <w:sz w:val="24"/>
              </w:rPr>
              <w:t>对高层建筑消防车道、消防救援场地逐一划线、注名、立牌，实行标识化管理，新建高层建筑应在交付物业服务企业前完成标识化制作。</w:t>
            </w:r>
            <w:r>
              <w:rPr>
                <w:rFonts w:ascii="Times New Roman" w:hAnsi="Times New Roman" w:eastAsia="方正仿宋_GBK"/>
                <w:color w:val="000000"/>
                <w:kern w:val="0"/>
                <w:sz w:val="24"/>
              </w:rPr>
              <w:t>2.</w:t>
            </w:r>
            <w:r>
              <w:rPr>
                <w:rFonts w:hint="eastAsia" w:ascii="Times New Roman" w:hAnsi="Times New Roman" w:eastAsia="方正仿宋_GBK"/>
                <w:color w:val="000000"/>
                <w:kern w:val="0"/>
                <w:sz w:val="24"/>
              </w:rPr>
              <w:t>建立部门工作协作机制，强化停车场、停车位等场地管理，严禁占用消防车道和救援场地，影响消防车通行和灭火救援行动展开。</w:t>
            </w:r>
            <w:r>
              <w:rPr>
                <w:rFonts w:ascii="Times New Roman" w:hAnsi="Times New Roman" w:eastAsia="方正仿宋_GBK"/>
                <w:color w:val="000000"/>
                <w:kern w:val="0"/>
                <w:sz w:val="24"/>
              </w:rPr>
              <w:t>3.</w:t>
            </w:r>
            <w:r>
              <w:rPr>
                <w:rFonts w:hint="eastAsia" w:ascii="Times New Roman" w:hAnsi="Times New Roman" w:eastAsia="方正仿宋_GBK"/>
                <w:color w:val="000000"/>
                <w:kern w:val="0"/>
                <w:sz w:val="24"/>
              </w:rPr>
              <w:t>定期对电气线路、燃气管线进行检测维护。</w:t>
            </w:r>
            <w:r>
              <w:rPr>
                <w:rFonts w:ascii="Times New Roman" w:hAnsi="Times New Roman" w:eastAsia="方正仿宋_GBK"/>
                <w:color w:val="000000"/>
                <w:kern w:val="0"/>
                <w:sz w:val="24"/>
              </w:rPr>
              <w:t>4.</w:t>
            </w:r>
            <w:r>
              <w:rPr>
                <w:rFonts w:hint="eastAsia" w:ascii="Times New Roman" w:hAnsi="Times New Roman" w:eastAsia="方正仿宋_GBK"/>
                <w:color w:val="000000"/>
                <w:kern w:val="0"/>
                <w:sz w:val="24"/>
              </w:rPr>
              <w:t>定期检查消防车道、疏散楼梯、安全出口是否畅通，检查防火门、灭火器、应急照明和疏散指示标志是否完好有效，检查是否违规施工、违章动火动焊、违规存放易燃易爆危险品；清理楼梯间、前室、疏散走道，清理可燃雨棚、防盗网，清理违章搭建。</w:t>
            </w:r>
            <w:r>
              <w:rPr>
                <w:rFonts w:ascii="Times New Roman" w:hAnsi="Times New Roman" w:eastAsia="方正仿宋_GBK"/>
                <w:color w:val="000000"/>
                <w:kern w:val="0"/>
                <w:sz w:val="24"/>
              </w:rPr>
              <w:t>5.</w:t>
            </w:r>
            <w:r>
              <w:rPr>
                <w:rFonts w:hint="eastAsia" w:ascii="Times New Roman" w:hAnsi="Times New Roman" w:eastAsia="方正仿宋_GBK"/>
                <w:color w:val="000000"/>
                <w:kern w:val="0"/>
                <w:sz w:val="24"/>
              </w:rPr>
              <w:t>定期对建筑消防设施进行全面自查，委托消防技术服务机构进行维护保养检测。</w:t>
            </w:r>
            <w:r>
              <w:rPr>
                <w:rFonts w:ascii="Times New Roman" w:hAnsi="Times New Roman" w:eastAsia="方正仿宋_GBK"/>
                <w:color w:val="000000"/>
                <w:kern w:val="0"/>
                <w:sz w:val="24"/>
              </w:rPr>
              <w:t>6.</w:t>
            </w:r>
            <w:r>
              <w:rPr>
                <w:rFonts w:hint="eastAsia" w:ascii="Times New Roman" w:hAnsi="Times New Roman" w:eastAsia="方正仿宋_GBK"/>
                <w:color w:val="000000"/>
                <w:kern w:val="0"/>
                <w:sz w:val="24"/>
              </w:rPr>
              <w:t>逐栋明确高层建筑管理单位和管理人，组织高层建筑产权单位、管理单位、使用单位签订消防安全责任分工协议，明确各方消防安全责任。</w:t>
            </w:r>
          </w:p>
        </w:tc>
        <w:tc>
          <w:tcPr>
            <w:tcW w:w="1499" w:type="dxa"/>
            <w:tcMar>
              <w:top w:w="15" w:type="dxa"/>
              <w:left w:w="15" w:type="dxa"/>
              <w:right w:w="15" w:type="dxa"/>
            </w:tcMar>
            <w:vAlign w:val="center"/>
          </w:tcPr>
          <w:p>
            <w:pPr>
              <w:widowControl/>
              <w:spacing w:line="300" w:lineRule="exac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应急办、规建环办、执法大队</w:t>
            </w:r>
          </w:p>
        </w:tc>
        <w:tc>
          <w:tcPr>
            <w:tcW w:w="1331" w:type="dxa"/>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2020</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88" w:type="dxa"/>
            <w:vMerge w:val="continue"/>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themeColor="text1"/>
                <w:kern w:val="0"/>
                <w:sz w:val="24"/>
              </w:rPr>
            </w:pPr>
            <w:r>
              <w:rPr>
                <w:rFonts w:ascii="Times New Roman" w:hAnsi="Times New Roman" w:eastAsia="方正仿宋_GBK"/>
                <w:color w:val="000000" w:themeColor="text1"/>
                <w:kern w:val="0"/>
                <w:sz w:val="24"/>
              </w:rPr>
              <w:t>3.</w:t>
            </w:r>
            <w:r>
              <w:rPr>
                <w:rFonts w:hint="eastAsia" w:ascii="Times New Roman" w:hAnsi="Times New Roman" w:eastAsia="方正仿宋_GBK"/>
                <w:color w:val="000000" w:themeColor="text1"/>
                <w:kern w:val="0"/>
                <w:sz w:val="24"/>
              </w:rPr>
              <w:t>排查登记的高层建筑突出问题得到有效整改，建立完善消防管理机制。</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themeColor="text1"/>
                <w:kern w:val="0"/>
                <w:sz w:val="24"/>
              </w:rPr>
            </w:pPr>
            <w:r>
              <w:rPr>
                <w:rFonts w:hint="eastAsia" w:ascii="Times New Roman" w:hAnsi="Times New Roman" w:eastAsia="方正仿宋_GBK"/>
                <w:color w:val="000000" w:themeColor="text1"/>
                <w:kern w:val="0"/>
                <w:sz w:val="24"/>
              </w:rPr>
              <w:t>重点改造辖区内建成满</w:t>
            </w:r>
            <w:r>
              <w:rPr>
                <w:rFonts w:ascii="Times New Roman" w:hAnsi="Times New Roman" w:eastAsia="方正仿宋_GBK"/>
                <w:color w:val="000000" w:themeColor="text1"/>
                <w:kern w:val="0"/>
                <w:sz w:val="24"/>
              </w:rPr>
              <w:t>10</w:t>
            </w:r>
            <w:r>
              <w:rPr>
                <w:rFonts w:hint="eastAsia" w:ascii="Times New Roman" w:hAnsi="Times New Roman" w:eastAsia="方正仿宋_GBK"/>
                <w:color w:val="000000" w:themeColor="text1"/>
                <w:kern w:val="0"/>
                <w:sz w:val="24"/>
              </w:rPr>
              <w:t>年以上，存在突出消防安全隐患的69栋高层建筑住宅部分的供水系统、消火栓系统和报警系统，达到正常通水状态。原则上</w:t>
            </w:r>
            <w:r>
              <w:rPr>
                <w:rFonts w:ascii="Times New Roman" w:hAnsi="Times New Roman" w:eastAsia="方正仿宋_GBK"/>
                <w:color w:val="000000" w:themeColor="text1"/>
                <w:kern w:val="0"/>
                <w:sz w:val="24"/>
              </w:rPr>
              <w:t>2020</w:t>
            </w:r>
            <w:r>
              <w:rPr>
                <w:rFonts w:hint="eastAsia" w:ascii="Times New Roman" w:hAnsi="Times New Roman" w:eastAsia="方正仿宋_GBK"/>
                <w:color w:val="000000" w:themeColor="text1"/>
                <w:kern w:val="0"/>
                <w:sz w:val="24"/>
              </w:rPr>
              <w:t>年完成</w:t>
            </w:r>
            <w:r>
              <w:rPr>
                <w:rFonts w:ascii="Times New Roman" w:hAnsi="Times New Roman" w:eastAsia="方正仿宋_GBK"/>
                <w:color w:val="000000" w:themeColor="text1"/>
                <w:kern w:val="0"/>
                <w:sz w:val="24"/>
              </w:rPr>
              <w:t>30%</w:t>
            </w:r>
            <w:r>
              <w:rPr>
                <w:rFonts w:hint="eastAsia" w:ascii="Times New Roman" w:hAnsi="Times New Roman" w:eastAsia="方正仿宋_GBK"/>
                <w:color w:val="000000" w:themeColor="text1"/>
                <w:kern w:val="0"/>
                <w:sz w:val="24"/>
              </w:rPr>
              <w:t>，</w:t>
            </w:r>
            <w:r>
              <w:rPr>
                <w:rFonts w:ascii="Times New Roman" w:hAnsi="Times New Roman" w:eastAsia="方正仿宋_GBK"/>
                <w:color w:val="000000" w:themeColor="text1"/>
                <w:kern w:val="0"/>
                <w:sz w:val="24"/>
              </w:rPr>
              <w:t>2021</w:t>
            </w:r>
            <w:r>
              <w:rPr>
                <w:rFonts w:hint="eastAsia" w:ascii="Times New Roman" w:hAnsi="Times New Roman" w:eastAsia="方正仿宋_GBK"/>
                <w:color w:val="000000" w:themeColor="text1"/>
                <w:kern w:val="0"/>
                <w:sz w:val="24"/>
              </w:rPr>
              <w:t>年完成</w:t>
            </w:r>
            <w:r>
              <w:rPr>
                <w:rFonts w:ascii="Times New Roman" w:hAnsi="Times New Roman" w:eastAsia="方正仿宋_GBK"/>
                <w:color w:val="000000" w:themeColor="text1"/>
                <w:kern w:val="0"/>
                <w:sz w:val="24"/>
              </w:rPr>
              <w:t>40%</w:t>
            </w:r>
            <w:r>
              <w:rPr>
                <w:rFonts w:hint="eastAsia" w:ascii="Times New Roman" w:hAnsi="Times New Roman" w:eastAsia="方正仿宋_GBK"/>
                <w:color w:val="000000" w:themeColor="text1"/>
                <w:kern w:val="0"/>
                <w:sz w:val="24"/>
              </w:rPr>
              <w:t>，</w:t>
            </w:r>
            <w:r>
              <w:rPr>
                <w:rFonts w:ascii="Times New Roman" w:hAnsi="Times New Roman" w:eastAsia="方正仿宋_GBK"/>
                <w:color w:val="000000" w:themeColor="text1"/>
                <w:kern w:val="0"/>
                <w:sz w:val="24"/>
              </w:rPr>
              <w:t>2022</w:t>
            </w:r>
            <w:r>
              <w:rPr>
                <w:rFonts w:hint="eastAsia" w:ascii="Times New Roman" w:hAnsi="Times New Roman" w:eastAsia="方正仿宋_GBK"/>
                <w:color w:val="000000" w:themeColor="text1"/>
                <w:kern w:val="0"/>
                <w:sz w:val="24"/>
              </w:rPr>
              <w:t>年完成</w:t>
            </w:r>
            <w:r>
              <w:rPr>
                <w:rFonts w:ascii="Times New Roman" w:hAnsi="Times New Roman" w:eastAsia="方正仿宋_GBK"/>
                <w:color w:val="000000" w:themeColor="text1"/>
                <w:kern w:val="0"/>
                <w:sz w:val="24"/>
              </w:rPr>
              <w:t>30%</w:t>
            </w:r>
            <w:r>
              <w:rPr>
                <w:rFonts w:hint="eastAsia" w:ascii="Times New Roman" w:hAnsi="Times New Roman" w:eastAsia="方正仿宋_GBK"/>
                <w:color w:val="000000" w:themeColor="text1"/>
                <w:kern w:val="0"/>
                <w:sz w:val="24"/>
              </w:rPr>
              <w:t>。</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themeColor="text1"/>
                <w:kern w:val="0"/>
                <w:sz w:val="24"/>
              </w:rPr>
            </w:pPr>
            <w:r>
              <w:rPr>
                <w:rFonts w:hint="eastAsia" w:ascii="Times New Roman" w:hAnsi="Times New Roman" w:eastAsia="方正仿宋_GBK"/>
                <w:color w:val="000000" w:themeColor="text1"/>
                <w:kern w:val="0"/>
                <w:sz w:val="24"/>
              </w:rPr>
              <w:t>规建环办、应急办</w:t>
            </w:r>
          </w:p>
        </w:tc>
        <w:tc>
          <w:tcPr>
            <w:tcW w:w="1331" w:type="dxa"/>
            <w:vAlign w:val="center"/>
          </w:tcPr>
          <w:p>
            <w:pPr>
              <w:widowControl/>
              <w:spacing w:line="300" w:lineRule="exact"/>
              <w:jc w:val="center"/>
              <w:textAlignment w:val="center"/>
              <w:rPr>
                <w:rFonts w:ascii="Times New Roman" w:hAnsi="Times New Roman" w:eastAsia="方正仿宋_GBK"/>
                <w:color w:val="000000" w:themeColor="text1"/>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themeColor="text1"/>
                <w:kern w:val="0"/>
                <w:sz w:val="24"/>
              </w:rPr>
            </w:pPr>
            <w:r>
              <w:rPr>
                <w:rFonts w:ascii="Times New Roman" w:hAnsi="Times New Roman" w:eastAsia="方正仿宋_GBK"/>
                <w:color w:val="000000" w:themeColor="text1"/>
                <w:kern w:val="0"/>
                <w:sz w:val="24"/>
              </w:rPr>
              <w:t>2020</w:t>
            </w:r>
            <w:r>
              <w:rPr>
                <w:rFonts w:hint="eastAsia" w:ascii="Times New Roman" w:hAnsi="Times New Roman" w:eastAsia="方正仿宋_GBK"/>
                <w:color w:val="000000" w:themeColor="text1"/>
                <w:kern w:val="0"/>
                <w:sz w:val="24"/>
              </w:rPr>
              <w:t>年</w:t>
            </w:r>
            <w:r>
              <w:rPr>
                <w:rFonts w:ascii="Times New Roman" w:hAnsi="Times New Roman" w:eastAsia="方正仿宋_GBK"/>
                <w:color w:val="000000" w:themeColor="text1"/>
                <w:kern w:val="0"/>
                <w:sz w:val="24"/>
              </w:rPr>
              <w:t>12</w:t>
            </w:r>
            <w:r>
              <w:rPr>
                <w:rFonts w:hint="eastAsia" w:ascii="Times New Roman" w:hAnsi="Times New Roman" w:eastAsia="方正仿宋_GBK"/>
                <w:color w:val="000000" w:themeColor="text1"/>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745" w:type="dxa"/>
            <w:gridSpan w:val="6"/>
          </w:tcPr>
          <w:p>
            <w:pPr>
              <w:widowControl/>
              <w:spacing w:line="300" w:lineRule="exact"/>
              <w:ind w:right="4708" w:rightChars="2242"/>
              <w:jc w:val="left"/>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二、实施打通消防生命通道工程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restart"/>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（二）全面实施打通</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生命通道</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集中清障行动</w:t>
            </w: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4.</w:t>
            </w:r>
            <w:r>
              <w:rPr>
                <w:rFonts w:hint="eastAsia" w:ascii="Times New Roman" w:hAnsi="Times New Roman" w:eastAsia="方正仿宋_GBK"/>
                <w:color w:val="000000"/>
                <w:kern w:val="0"/>
                <w:sz w:val="24"/>
              </w:rPr>
              <w:t>开展消防车道和救援场地</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除障、查违</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整治。</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全面清理影响消防车通行和妨碍消防车操作的各类障碍物。</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应急办、规建环办、执法大队</w:t>
            </w:r>
          </w:p>
        </w:tc>
        <w:tc>
          <w:tcPr>
            <w:tcW w:w="1331" w:type="dxa"/>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2020</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10</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continue"/>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5.</w:t>
            </w:r>
            <w:r>
              <w:rPr>
                <w:rFonts w:hint="eastAsia" w:ascii="Times New Roman" w:hAnsi="Times New Roman" w:eastAsia="方正仿宋_GBK"/>
                <w:color w:val="000000"/>
                <w:kern w:val="0"/>
                <w:sz w:val="24"/>
              </w:rPr>
              <w:t>在重点地区、重点路段增设视频监控设备，对消防车道和消防救援场地逐一进行划线、注名并立牌，实行标识化管理，规范城市道路路内停车点设置。</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w:t>
            </w:r>
            <w:r>
              <w:rPr>
                <w:rFonts w:hint="eastAsia" w:ascii="Times New Roman" w:hAnsi="Times New Roman" w:eastAsia="方正仿宋_GBK"/>
                <w:color w:val="000000"/>
                <w:kern w:val="0"/>
                <w:sz w:val="24"/>
              </w:rPr>
              <w:t>加装道路监控摄像头，并纳入交通违法事项统一监管范围。</w:t>
            </w:r>
            <w:r>
              <w:rPr>
                <w:rFonts w:ascii="Times New Roman" w:hAnsi="Times New Roman" w:eastAsia="方正仿宋_GBK"/>
                <w:color w:val="000000"/>
                <w:kern w:val="0"/>
                <w:sz w:val="24"/>
              </w:rPr>
              <w:t>2.</w:t>
            </w:r>
            <w:r>
              <w:rPr>
                <w:rFonts w:hint="eastAsia" w:ascii="Times New Roman" w:hAnsi="Times New Roman" w:eastAsia="方正仿宋_GBK"/>
                <w:color w:val="000000"/>
                <w:kern w:val="0"/>
                <w:sz w:val="24"/>
              </w:rPr>
              <w:t>持续开展消防车道标识化管理。</w:t>
            </w:r>
            <w:r>
              <w:rPr>
                <w:rFonts w:ascii="Times New Roman" w:hAnsi="Times New Roman" w:eastAsia="方正仿宋_GBK"/>
                <w:color w:val="000000"/>
                <w:kern w:val="0"/>
                <w:sz w:val="24"/>
              </w:rPr>
              <w:t>3.</w:t>
            </w:r>
            <w:r>
              <w:rPr>
                <w:rFonts w:hint="eastAsia" w:ascii="Times New Roman" w:hAnsi="Times New Roman" w:eastAsia="方正仿宋_GBK"/>
                <w:color w:val="000000"/>
                <w:kern w:val="0"/>
                <w:sz w:val="24"/>
              </w:rPr>
              <w:t>合理规划设置路内停车位，依法清理影响消防车通行的停车位、隔离桩，清理消防车道、消防救援场地、消防救援窗影响范围内的固定摊位、绿化植物、高大乔木、电线杆、路灯杆、广告牌等障碍物。</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应急办、规建环办、执法大队</w:t>
            </w:r>
          </w:p>
        </w:tc>
        <w:tc>
          <w:tcPr>
            <w:tcW w:w="1331" w:type="dxa"/>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2020</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10</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（三）实行老旧小区</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一区一策</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综合治理</w:t>
            </w: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6.</w:t>
            </w:r>
            <w:r>
              <w:rPr>
                <w:rFonts w:hint="eastAsia" w:ascii="Times New Roman" w:hAnsi="Times New Roman" w:eastAsia="方正仿宋_GBK"/>
                <w:color w:val="000000"/>
                <w:kern w:val="0"/>
                <w:sz w:val="24"/>
              </w:rPr>
              <w:t>结合《重庆市城市提升行动计划》，在城市更新和老旧小区综合改造中，开展消防车通道治理。</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结合《重庆市城市提升行动计划》，开展消防车通道治理。</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规建环办、执法大队、应急办</w:t>
            </w:r>
          </w:p>
        </w:tc>
        <w:tc>
          <w:tcPr>
            <w:tcW w:w="1331" w:type="dxa"/>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118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（四）健全综合执法管理长效机制</w:t>
            </w:r>
          </w:p>
        </w:tc>
        <w:tc>
          <w:tcPr>
            <w:tcW w:w="3054"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7.</w:t>
            </w:r>
            <w:r>
              <w:rPr>
                <w:rFonts w:hint="eastAsia" w:ascii="Times New Roman" w:hAnsi="Times New Roman" w:eastAsia="方正仿宋_GBK"/>
                <w:color w:val="000000"/>
                <w:kern w:val="0"/>
                <w:sz w:val="24"/>
              </w:rPr>
              <w:t>在超高层建筑、商业综合体、停车问题突出区域试点推广</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生命通道</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远程监控监测预警系统。</w:t>
            </w:r>
          </w:p>
        </w:tc>
        <w:tc>
          <w:tcPr>
            <w:tcW w:w="6255"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在辖区推广</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生命通道</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远程监控监测预警系统。</w:t>
            </w:r>
          </w:p>
        </w:tc>
        <w:tc>
          <w:tcPr>
            <w:tcW w:w="1499"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规建环办、应急办、执法大队</w:t>
            </w:r>
          </w:p>
        </w:tc>
        <w:tc>
          <w:tcPr>
            <w:tcW w:w="1331" w:type="dxa"/>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1188" w:type="dxa"/>
            <w:vMerge w:val="restart"/>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（五）地下工程火灾防控能力提升</w:t>
            </w:r>
          </w:p>
        </w:tc>
        <w:tc>
          <w:tcPr>
            <w:tcW w:w="3054"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8.</w:t>
            </w:r>
            <w:r>
              <w:rPr>
                <w:rFonts w:hint="eastAsia" w:ascii="Times New Roman" w:hAnsi="Times New Roman" w:eastAsia="方正仿宋_GBK"/>
                <w:color w:val="000000"/>
                <w:kern w:val="0"/>
                <w:sz w:val="24"/>
              </w:rPr>
              <w:t>强化协同治理，健全部门间联席会议和执法协作机制，督促提升地下工程消防安全管理水平。</w:t>
            </w:r>
          </w:p>
        </w:tc>
        <w:tc>
          <w:tcPr>
            <w:tcW w:w="6255"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定期开展地下工程火灾隐患排查整治。</w:t>
            </w:r>
          </w:p>
        </w:tc>
        <w:tc>
          <w:tcPr>
            <w:tcW w:w="1499"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应急办</w:t>
            </w:r>
          </w:p>
        </w:tc>
        <w:tc>
          <w:tcPr>
            <w:tcW w:w="1331" w:type="dxa"/>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continue"/>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9.</w:t>
            </w:r>
            <w:r>
              <w:rPr>
                <w:rFonts w:hint="eastAsia" w:ascii="Times New Roman" w:hAnsi="Times New Roman" w:eastAsia="方正仿宋_GBK"/>
                <w:color w:val="000000"/>
                <w:kern w:val="0"/>
                <w:sz w:val="24"/>
              </w:rPr>
              <w:t>强化应急救援准备，建强地下工程攻坚专业队伍，体系化配备地下灭火救援特种装备。</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建立街道综合应急救援大队，配合区地下空间综合应急救援专业队。</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应急办</w:t>
            </w:r>
          </w:p>
        </w:tc>
        <w:tc>
          <w:tcPr>
            <w:tcW w:w="1331" w:type="dxa"/>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2020</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continue"/>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10.</w:t>
            </w:r>
            <w:r>
              <w:rPr>
                <w:rFonts w:hint="eastAsia" w:ascii="Times New Roman" w:hAnsi="Times New Roman" w:eastAsia="方正仿宋_GBK"/>
                <w:color w:val="000000"/>
                <w:kern w:val="0"/>
                <w:sz w:val="24"/>
              </w:rPr>
              <w:t>强化智慧防控，将地下工程纳入全区智慧城市建设范畴，</w:t>
            </w: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年建设地下工程消防安全智能管理系统。</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配合区级部门全面推进电气监控、水压监测、气体探测、视频监控等物联感知终端建设。</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应急办</w:t>
            </w:r>
          </w:p>
        </w:tc>
        <w:tc>
          <w:tcPr>
            <w:tcW w:w="1331" w:type="dxa"/>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745" w:type="dxa"/>
            <w:gridSpan w:val="6"/>
          </w:tcPr>
          <w:p>
            <w:pPr>
              <w:widowControl/>
              <w:spacing w:line="300" w:lineRule="exact"/>
              <w:jc w:val="left"/>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三、整治老旧场所及新材料新业态等突出风险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restart"/>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（六）抓好老旧场所突出风险治理</w:t>
            </w: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11</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持续开展老旧场所消防设施改造工作。</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组织升级改造老旧场所消防设施，推动落实基层消防安全管理措施，有效改善消防安全条件。</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规建环办、应急办</w:t>
            </w:r>
          </w:p>
        </w:tc>
        <w:tc>
          <w:tcPr>
            <w:tcW w:w="1331"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88" w:type="dxa"/>
            <w:vMerge w:val="continue"/>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p>
        </w:tc>
        <w:tc>
          <w:tcPr>
            <w:tcW w:w="3054"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w:t>
            </w:r>
            <w:r>
              <w:rPr>
                <w:rFonts w:hint="eastAsia" w:ascii="Times New Roman" w:hAnsi="Times New Roman" w:eastAsia="方正仿宋_GBK"/>
                <w:color w:val="000000"/>
                <w:kern w:val="0"/>
                <w:sz w:val="24"/>
              </w:rPr>
              <w:t>2</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以街道为单位，老旧场所基本落实火灾风险差异化防控措施。</w:t>
            </w:r>
          </w:p>
        </w:tc>
        <w:tc>
          <w:tcPr>
            <w:tcW w:w="6255"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指导社区落实火灾风险差异化防控措施。</w:t>
            </w:r>
          </w:p>
        </w:tc>
        <w:tc>
          <w:tcPr>
            <w:tcW w:w="1499"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应急办</w:t>
            </w:r>
          </w:p>
        </w:tc>
        <w:tc>
          <w:tcPr>
            <w:tcW w:w="1331"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2" w:hRule="atLeast"/>
          <w:jc w:val="center"/>
        </w:trPr>
        <w:tc>
          <w:tcPr>
            <w:tcW w:w="118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（七）加强电动汽车、电动自行车安全监管</w:t>
            </w:r>
          </w:p>
        </w:tc>
        <w:tc>
          <w:tcPr>
            <w:tcW w:w="3054"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w:t>
            </w:r>
            <w:r>
              <w:rPr>
                <w:rFonts w:hint="eastAsia" w:ascii="Times New Roman" w:hAnsi="Times New Roman" w:eastAsia="方正仿宋_GBK"/>
                <w:color w:val="000000"/>
                <w:kern w:val="0"/>
                <w:sz w:val="24"/>
              </w:rPr>
              <w:t>3</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设置居民住宅区电动自行车集中充电、停放场所，实施集中管理。</w:t>
            </w:r>
          </w:p>
        </w:tc>
        <w:tc>
          <w:tcPr>
            <w:tcW w:w="6255"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组织在居民住宅区设置电动自行车集中充电、停放场所，</w:t>
            </w: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年，居民住宅区全部落实电动自行车集中管理要求措施。</w:t>
            </w:r>
          </w:p>
        </w:tc>
        <w:tc>
          <w:tcPr>
            <w:tcW w:w="1499" w:type="dxa"/>
            <w:tcMar>
              <w:top w:w="15" w:type="dxa"/>
              <w:left w:w="15" w:type="dxa"/>
              <w:right w:w="15" w:type="dxa"/>
            </w:tcMar>
            <w:vAlign w:val="center"/>
          </w:tcPr>
          <w:p>
            <w:pPr>
              <w:spacing w:line="300" w:lineRule="exac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规建环办、执法大队、应急办</w:t>
            </w:r>
          </w:p>
        </w:tc>
        <w:tc>
          <w:tcPr>
            <w:tcW w:w="1331" w:type="dxa"/>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745" w:type="dxa"/>
            <w:gridSpan w:val="6"/>
          </w:tcPr>
          <w:p>
            <w:pPr>
              <w:widowControl/>
              <w:spacing w:line="300" w:lineRule="exact"/>
              <w:jc w:val="left"/>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四、实施消防信息化管理能力提升工程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118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（八）加强消防物联感知终端建设</w:t>
            </w:r>
          </w:p>
        </w:tc>
        <w:tc>
          <w:tcPr>
            <w:tcW w:w="3054"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14.</w:t>
            </w:r>
            <w:r>
              <w:rPr>
                <w:rFonts w:hint="eastAsia" w:ascii="Times New Roman" w:hAnsi="Times New Roman" w:eastAsia="方正仿宋_GBK"/>
                <w:color w:val="000000"/>
                <w:kern w:val="0"/>
                <w:sz w:val="24"/>
              </w:rPr>
              <w:t>试点开展火灾风险预警评估模型研究，推行城市消防大数据智能化管理。</w:t>
            </w:r>
          </w:p>
        </w:tc>
        <w:tc>
          <w:tcPr>
            <w:tcW w:w="6255" w:type="dxa"/>
            <w:tcMar>
              <w:top w:w="15" w:type="dxa"/>
              <w:left w:w="15" w:type="dxa"/>
              <w:right w:w="15" w:type="dxa"/>
            </w:tcMar>
            <w:vAlign w:val="center"/>
          </w:tcPr>
          <w:p>
            <w:pPr>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对火灾高风险场所、高风险区域的动态监测、风险评估、智能分析和分级分色预警。</w:t>
            </w:r>
          </w:p>
        </w:tc>
        <w:tc>
          <w:tcPr>
            <w:tcW w:w="1499"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应急办</w:t>
            </w:r>
          </w:p>
        </w:tc>
        <w:tc>
          <w:tcPr>
            <w:tcW w:w="1331" w:type="dxa"/>
            <w:vAlign w:val="center"/>
          </w:tcPr>
          <w:p>
            <w:pPr>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restart"/>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（九）加强基层消防管理信息化共建共治</w:t>
            </w: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15.</w:t>
            </w:r>
            <w:r>
              <w:rPr>
                <w:rFonts w:hint="eastAsia" w:ascii="Times New Roman" w:hAnsi="Times New Roman" w:eastAsia="方正仿宋_GBK"/>
                <w:color w:val="000000"/>
                <w:kern w:val="0"/>
                <w:sz w:val="24"/>
              </w:rPr>
              <w:t>建设消防安全协同管理系统。</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纵向贯通区、街道、社区</w:t>
            </w:r>
            <w:r>
              <w:rPr>
                <w:rFonts w:ascii="Times New Roman" w:hAnsi="Times New Roman" w:eastAsia="方正仿宋_GBK"/>
                <w:color w:val="000000"/>
                <w:kern w:val="0"/>
                <w:sz w:val="24"/>
              </w:rPr>
              <w:t>3</w:t>
            </w:r>
            <w:r>
              <w:rPr>
                <w:rFonts w:hint="eastAsia" w:ascii="Times New Roman" w:hAnsi="Times New Roman" w:eastAsia="方正仿宋_GBK"/>
                <w:color w:val="000000"/>
                <w:kern w:val="0"/>
                <w:sz w:val="24"/>
              </w:rPr>
              <w:t>个层级，横向连通公安、应急、综治等信息化管理平台，将消防工作有机融入基层综合治理体系，加强基层消防安全共治。</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平安办、应急办</w:t>
            </w:r>
          </w:p>
        </w:tc>
        <w:tc>
          <w:tcPr>
            <w:tcW w:w="1331"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2021</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vMerge w:val="continue"/>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16.</w:t>
            </w:r>
            <w:r>
              <w:rPr>
                <w:rFonts w:hint="eastAsia" w:ascii="Times New Roman" w:hAnsi="Times New Roman" w:eastAsia="方正仿宋_GBK"/>
                <w:color w:val="000000"/>
                <w:kern w:val="0"/>
                <w:sz w:val="24"/>
              </w:rPr>
              <w:t>将消防工作纳入基层网格信息化管理平台。</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将基层综治、社区、网格等信息化管理平台嵌入消防安全管理模块，将消防工作纳入基层网格信息化管理平台。</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平安办、应急办、</w:t>
            </w:r>
          </w:p>
        </w:tc>
        <w:tc>
          <w:tcPr>
            <w:tcW w:w="1331" w:type="dxa"/>
            <w:vAlign w:val="center"/>
          </w:tcPr>
          <w:p>
            <w:pPr>
              <w:jc w:val="cente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2020</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745" w:type="dxa"/>
            <w:gridSpan w:val="6"/>
          </w:tcPr>
          <w:p>
            <w:pPr>
              <w:widowControl/>
              <w:spacing w:line="300" w:lineRule="exact"/>
              <w:jc w:val="left"/>
              <w:textAlignment w:val="center"/>
              <w:rPr>
                <w:rFonts w:ascii="Times New Roman" w:hAnsi="Times New Roman" w:eastAsia="方正黑体_GBK"/>
                <w:color w:val="000000"/>
                <w:kern w:val="0"/>
                <w:sz w:val="24"/>
              </w:rPr>
            </w:pPr>
            <w:r>
              <w:rPr>
                <w:rFonts w:hint="eastAsia" w:ascii="Times New Roman" w:hAnsi="Times New Roman" w:eastAsia="方正黑体_GBK"/>
                <w:color w:val="000000"/>
                <w:kern w:val="0"/>
                <w:sz w:val="24"/>
              </w:rPr>
              <w:t>五、实施消防安全素质提升工程。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118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（十）壮大消防安全明白人队伍</w:t>
            </w:r>
          </w:p>
        </w:tc>
        <w:tc>
          <w:tcPr>
            <w:tcW w:w="3054"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17.</w:t>
            </w:r>
            <w:r>
              <w:rPr>
                <w:rFonts w:hint="eastAsia" w:ascii="Times New Roman" w:hAnsi="Times New Roman" w:eastAsia="方正仿宋_GBK"/>
                <w:color w:val="000000"/>
                <w:kern w:val="0"/>
                <w:sz w:val="24"/>
              </w:rPr>
              <w:t>加强重点人员培训，壮大消防安全</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明白人</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队伍，</w:t>
            </w: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年底实现全覆盖培训，所有消防控制室值班人员全部持证上岗。</w:t>
            </w:r>
          </w:p>
        </w:tc>
        <w:tc>
          <w:tcPr>
            <w:tcW w:w="6255" w:type="dxa"/>
            <w:tcMar>
              <w:top w:w="15" w:type="dxa"/>
              <w:left w:w="15" w:type="dxa"/>
              <w:right w:w="15" w:type="dxa"/>
            </w:tcMar>
            <w:vAlign w:val="center"/>
          </w:tcPr>
          <w:p>
            <w:pPr>
              <w:widowControl/>
              <w:spacing w:line="300" w:lineRule="exact"/>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w:t>
            </w:r>
            <w:r>
              <w:rPr>
                <w:rFonts w:hint="eastAsia" w:ascii="Times New Roman" w:hAnsi="Times New Roman" w:eastAsia="方正仿宋_GBK"/>
                <w:color w:val="000000"/>
                <w:kern w:val="0"/>
                <w:sz w:val="24"/>
              </w:rPr>
              <w:t>分批次、分类别组织单位消防安全责任人和管理人、社区民警、居委工作人员、网格员、安保人员、重点单位人员等人群开展消防安全</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明白人</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教育培训。</w:t>
            </w:r>
            <w:r>
              <w:rPr>
                <w:rFonts w:ascii="Times New Roman" w:hAnsi="Times New Roman" w:eastAsia="方正仿宋_GBK"/>
                <w:color w:val="000000"/>
                <w:kern w:val="0"/>
                <w:sz w:val="24"/>
              </w:rPr>
              <w:t>2.</w:t>
            </w:r>
            <w:r>
              <w:rPr>
                <w:rFonts w:hint="eastAsia" w:ascii="Times New Roman" w:hAnsi="Times New Roman" w:eastAsia="方正仿宋_GBK"/>
                <w:color w:val="000000"/>
                <w:kern w:val="0"/>
                <w:sz w:val="24"/>
              </w:rPr>
              <w:t>企业单位建立常态化全员消防培训制度，落实入职必训、定期培训、转岗轮训等要求，全面提升员工消防安全意识。</w:t>
            </w:r>
          </w:p>
        </w:tc>
        <w:tc>
          <w:tcPr>
            <w:tcW w:w="1499"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平安办、应急办、民社办</w:t>
            </w:r>
          </w:p>
        </w:tc>
        <w:tc>
          <w:tcPr>
            <w:tcW w:w="1331" w:type="dxa"/>
            <w:vAlign w:val="center"/>
          </w:tcPr>
          <w:p>
            <w:pPr>
              <w:widowControl/>
              <w:spacing w:line="300" w:lineRule="exact"/>
              <w:jc w:val="center"/>
              <w:textAlignment w:val="center"/>
              <w:rPr>
                <w:rFonts w:ascii="Times New Roman" w:hAnsi="Times New Roman" w:eastAsia="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418" w:type="dxa"/>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2022</w:t>
            </w:r>
            <w:r>
              <w:rPr>
                <w:rFonts w:hint="eastAsia" w:ascii="Times New Roman" w:hAnsi="Times New Roman" w:eastAsia="方正仿宋_GBK"/>
                <w:color w:val="000000"/>
                <w:kern w:val="0"/>
                <w:sz w:val="24"/>
              </w:rPr>
              <w:t>年</w:t>
            </w:r>
            <w:r>
              <w:rPr>
                <w:rFonts w:ascii="Times New Roman" w:hAnsi="Times New Roman" w:eastAsia="方正仿宋_GBK"/>
                <w:color w:val="000000"/>
                <w:kern w:val="0"/>
                <w:sz w:val="24"/>
              </w:rPr>
              <w:t>12</w:t>
            </w:r>
            <w:r>
              <w:rPr>
                <w:rFonts w:hint="eastAsia" w:ascii="Times New Roman" w:hAnsi="Times New Roman" w:eastAsia="方正仿宋_GBK"/>
                <w:color w:val="000000"/>
                <w:kern w:val="0"/>
                <w:sz w:val="24"/>
              </w:rPr>
              <w:t>月</w:t>
            </w:r>
          </w:p>
        </w:tc>
      </w:tr>
    </w:tbl>
    <w:p>
      <w:pPr>
        <w:pStyle w:val="2"/>
        <w:spacing w:line="300" w:lineRule="exact"/>
        <w:rPr>
          <w:rFonts w:ascii="Times New Roman" w:eastAsia="方正仿宋_GBK" w:cs="Times New Roman"/>
          <w:snapToGrid w:val="0"/>
          <w:kern w:val="2"/>
          <w:sz w:val="32"/>
          <w:szCs w:val="32"/>
        </w:rPr>
      </w:pPr>
    </w:p>
    <w:p>
      <w:pPr>
        <w:pStyle w:val="2"/>
        <w:spacing w:line="300" w:lineRule="exact"/>
        <w:rPr>
          <w:rFonts w:ascii="Times New Roman" w:eastAsia="方正仿宋_GBK" w:cs="Times New Roman"/>
          <w:snapToGrid w:val="0"/>
          <w:kern w:val="2"/>
          <w:sz w:val="32"/>
          <w:szCs w:val="32"/>
        </w:rPr>
      </w:pPr>
    </w:p>
    <w:p>
      <w:pPr>
        <w:pStyle w:val="2"/>
      </w:pPr>
    </w:p>
    <w:p>
      <w:pPr>
        <w:pStyle w:val="2"/>
        <w:spacing w:afterLines="50" w:line="600" w:lineRule="exact"/>
        <w:jc w:val="center"/>
        <w:rPr>
          <w:rFonts w:ascii="Times New Roman" w:eastAsia="方正仿宋_GBK" w:cs="Times New Roman"/>
          <w:snapToGrid w:val="0"/>
          <w:kern w:val="2"/>
          <w:sz w:val="32"/>
          <w:szCs w:val="32"/>
        </w:rPr>
      </w:pPr>
      <w:r>
        <w:rPr>
          <w:rFonts w:hint="eastAsia" w:ascii="方正小标宋_GBK" w:hAnsi="方正小标宋_GBK" w:eastAsia="方正小标宋_GBK" w:cs="方正小标宋_GBK"/>
          <w:snapToGrid w:val="0"/>
          <w:kern w:val="2"/>
          <w:sz w:val="32"/>
          <w:szCs w:val="32"/>
        </w:rPr>
        <w:t>安全生产专项整治三年行动任务清单（商贸领域）</w:t>
      </w:r>
    </w:p>
    <w:tbl>
      <w:tblPr>
        <w:tblStyle w:val="5"/>
        <w:tblW w:w="14393" w:type="dxa"/>
        <w:jc w:val="center"/>
        <w:tblLayout w:type="fixed"/>
        <w:tblCellMar>
          <w:top w:w="0" w:type="dxa"/>
          <w:left w:w="0" w:type="dxa"/>
          <w:bottom w:w="0" w:type="dxa"/>
          <w:right w:w="0" w:type="dxa"/>
        </w:tblCellMar>
      </w:tblPr>
      <w:tblGrid>
        <w:gridCol w:w="4587"/>
        <w:gridCol w:w="5893"/>
        <w:gridCol w:w="1701"/>
        <w:gridCol w:w="1073"/>
        <w:gridCol w:w="1139"/>
      </w:tblGrid>
      <w:tr>
        <w:tblPrEx>
          <w:tblCellMar>
            <w:top w:w="0" w:type="dxa"/>
            <w:left w:w="0" w:type="dxa"/>
            <w:bottom w:w="0" w:type="dxa"/>
            <w:right w:w="0" w:type="dxa"/>
          </w:tblCellMar>
        </w:tblPrEx>
        <w:trPr>
          <w:jc w:val="center"/>
        </w:trPr>
        <w:tc>
          <w:tcPr>
            <w:tcW w:w="4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主要任务</w:t>
            </w:r>
          </w:p>
        </w:tc>
        <w:tc>
          <w:tcPr>
            <w:tcW w:w="589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工作措施</w:t>
            </w:r>
          </w:p>
        </w:tc>
        <w:tc>
          <w:tcPr>
            <w:tcW w:w="17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责任科室</w:t>
            </w:r>
          </w:p>
        </w:tc>
        <w:tc>
          <w:tcPr>
            <w:tcW w:w="1073"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配合社区</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完成时限</w:t>
            </w:r>
          </w:p>
        </w:tc>
      </w:tr>
      <w:tr>
        <w:tblPrEx>
          <w:tblCellMar>
            <w:top w:w="0" w:type="dxa"/>
            <w:left w:w="0" w:type="dxa"/>
            <w:bottom w:w="0" w:type="dxa"/>
            <w:right w:w="0" w:type="dxa"/>
          </w:tblCellMar>
        </w:tblPrEx>
        <w:trPr>
          <w:jc w:val="center"/>
        </w:trPr>
        <w:tc>
          <w:tcPr>
            <w:tcW w:w="10480"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left"/>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完成行业领域风险辨识和隐患排查</w:t>
            </w:r>
          </w:p>
        </w:tc>
        <w:tc>
          <w:tcPr>
            <w:tcW w:w="3913" w:type="dxa"/>
            <w:gridSpan w:val="3"/>
            <w:tcBorders>
              <w:top w:val="single" w:color="000000" w:sz="4" w:space="0"/>
              <w:left w:val="single" w:color="auto" w:sz="4" w:space="0"/>
              <w:bottom w:val="single" w:color="000000" w:sz="4" w:space="0"/>
              <w:right w:val="single" w:color="000000" w:sz="4" w:space="0"/>
            </w:tcBorders>
          </w:tcPr>
          <w:p>
            <w:pPr>
              <w:widowControl/>
              <w:spacing w:line="300" w:lineRule="exact"/>
              <w:jc w:val="left"/>
              <w:textAlignment w:val="center"/>
              <w:rPr>
                <w:rFonts w:ascii="方正黑体_GBK" w:hAnsi="方正黑体_GBK" w:eastAsia="方正黑体_GBK" w:cs="方正黑体_GBK"/>
                <w:color w:val="000000"/>
                <w:sz w:val="24"/>
              </w:rPr>
            </w:pPr>
          </w:p>
        </w:tc>
      </w:tr>
      <w:tr>
        <w:tblPrEx>
          <w:tblCellMar>
            <w:top w:w="0" w:type="dxa"/>
            <w:left w:w="0" w:type="dxa"/>
            <w:bottom w:w="0" w:type="dxa"/>
            <w:right w:w="0" w:type="dxa"/>
          </w:tblCellMar>
        </w:tblPrEx>
        <w:trPr>
          <w:jc w:val="center"/>
        </w:trPr>
        <w:tc>
          <w:tcPr>
            <w:tcW w:w="4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w:t>
            </w:r>
            <w:r>
              <w:rPr>
                <w:rFonts w:hint="eastAsia" w:ascii="方正仿宋_GBK" w:hAnsi="方正仿宋_GBK" w:eastAsia="方正仿宋_GBK" w:cs="方正仿宋_GBK"/>
                <w:color w:val="000000"/>
                <w:kern w:val="0"/>
                <w:sz w:val="24"/>
              </w:rPr>
              <w:t>、农贸菜市场（共</w:t>
            </w:r>
            <w:r>
              <w:rPr>
                <w:rFonts w:ascii="方正仿宋_GBK" w:hAnsi="方正仿宋_GBK" w:eastAsia="方正仿宋_GBK" w:cs="方正仿宋_GBK"/>
                <w:color w:val="000000"/>
                <w:kern w:val="0"/>
                <w:sz w:val="24"/>
              </w:rPr>
              <w:t>2</w:t>
            </w:r>
            <w:r>
              <w:rPr>
                <w:rFonts w:hint="eastAsia" w:ascii="方正仿宋_GBK" w:hAnsi="方正仿宋_GBK" w:eastAsia="方正仿宋_GBK" w:cs="方正仿宋_GBK"/>
                <w:color w:val="000000"/>
                <w:kern w:val="0"/>
                <w:sz w:val="24"/>
              </w:rPr>
              <w:t>个）</w:t>
            </w:r>
          </w:p>
        </w:tc>
        <w:tc>
          <w:tcPr>
            <w:tcW w:w="5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指导拟定安全风险清单、隐患清单，同步推进风险管控和隐患整治工作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经发办</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方正仿宋_GBK"/>
                <w:color w:val="000000" w:themeColor="text1"/>
                <w:kern w:val="0"/>
                <w:sz w:val="24"/>
              </w:rPr>
              <w:t>各社区配合完成</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2022</w:t>
            </w:r>
            <w:r>
              <w:rPr>
                <w:rFonts w:hint="eastAsia" w:ascii="方正仿宋_GBK" w:hAnsi="方正仿宋_GBK" w:eastAsia="方正仿宋_GBK" w:cs="方正仿宋_GBK"/>
                <w:color w:val="000000"/>
                <w:kern w:val="0"/>
                <w:sz w:val="24"/>
              </w:rPr>
              <w:t>年</w:t>
            </w:r>
          </w:p>
        </w:tc>
      </w:tr>
      <w:tr>
        <w:tblPrEx>
          <w:tblCellMar>
            <w:top w:w="0" w:type="dxa"/>
            <w:left w:w="0" w:type="dxa"/>
            <w:bottom w:w="0" w:type="dxa"/>
            <w:right w:w="0" w:type="dxa"/>
          </w:tblCellMar>
        </w:tblPrEx>
        <w:trPr>
          <w:jc w:val="center"/>
        </w:trPr>
        <w:tc>
          <w:tcPr>
            <w:tcW w:w="4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再生资源行业合法经营门点</w:t>
            </w:r>
          </w:p>
        </w:tc>
        <w:tc>
          <w:tcPr>
            <w:tcW w:w="5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按照《渝中区再生资源回收网点设置规划（</w:t>
            </w:r>
            <w:r>
              <w:rPr>
                <w:rFonts w:ascii="方正仿宋_GBK" w:hAnsi="方正仿宋_GBK" w:eastAsia="方正仿宋_GBK" w:cs="方正仿宋_GBK"/>
                <w:color w:val="000000"/>
                <w:kern w:val="0"/>
                <w:sz w:val="24"/>
              </w:rPr>
              <w:t>2017-2022</w:t>
            </w:r>
            <w:r>
              <w:rPr>
                <w:rFonts w:hint="eastAsia" w:ascii="方正仿宋_GBK" w:hAnsi="方正仿宋_GBK" w:eastAsia="方正仿宋_GBK" w:cs="方正仿宋_GBK"/>
                <w:color w:val="000000"/>
                <w:kern w:val="0"/>
                <w:sz w:val="24"/>
              </w:rPr>
              <w:t>年）》，在区级部门指导下，拟定符合全区规划布点方案再生资源经营网点的安全风险清单、隐患清单，同步推进风险管控和隐患整治工作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经发办、规建环办</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方正仿宋_GBK"/>
                <w:color w:val="000000" w:themeColor="text1"/>
                <w:kern w:val="0"/>
                <w:sz w:val="24"/>
              </w:rPr>
              <w:t>各社区配合完成</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2021</w:t>
            </w:r>
            <w:r>
              <w:rPr>
                <w:rFonts w:hint="eastAsia" w:ascii="方正仿宋_GBK" w:hAnsi="方正仿宋_GBK" w:eastAsia="方正仿宋_GBK" w:cs="方正仿宋_GBK"/>
                <w:color w:val="000000"/>
                <w:kern w:val="0"/>
                <w:sz w:val="24"/>
              </w:rPr>
              <w:t>年</w:t>
            </w:r>
          </w:p>
        </w:tc>
      </w:tr>
      <w:tr>
        <w:tblPrEx>
          <w:tblCellMar>
            <w:top w:w="0" w:type="dxa"/>
            <w:left w:w="0" w:type="dxa"/>
            <w:bottom w:w="0" w:type="dxa"/>
            <w:right w:w="0" w:type="dxa"/>
          </w:tblCellMar>
        </w:tblPrEx>
        <w:trPr>
          <w:jc w:val="center"/>
        </w:trPr>
        <w:tc>
          <w:tcPr>
            <w:tcW w:w="4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再生资源行业非法经营门点</w:t>
            </w:r>
          </w:p>
        </w:tc>
        <w:tc>
          <w:tcPr>
            <w:tcW w:w="5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联合市场监管局、环保局等部门，对证照不全的“非法经营的”再生资源网点，拟定安全风险清单、隐患清单，同步推进风险管控和隐患整治工作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经发办、规建环办</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2022</w:t>
            </w:r>
            <w:r>
              <w:rPr>
                <w:rFonts w:hint="eastAsia" w:ascii="方正仿宋_GBK" w:hAnsi="方正仿宋_GBK" w:eastAsia="方正仿宋_GBK" w:cs="方正仿宋_GBK"/>
                <w:color w:val="000000"/>
                <w:kern w:val="0"/>
                <w:sz w:val="24"/>
              </w:rPr>
              <w:t>年</w:t>
            </w:r>
          </w:p>
        </w:tc>
      </w:tr>
    </w:tbl>
    <w:p>
      <w:pPr>
        <w:pStyle w:val="2"/>
        <w:spacing w:line="300" w:lineRule="exact"/>
        <w:rPr>
          <w:rFonts w:ascii="Times New Roman" w:eastAsia="方正仿宋_GBK" w:cs="Times New Roman"/>
          <w:snapToGrid w:val="0"/>
          <w:kern w:val="2"/>
          <w:sz w:val="32"/>
          <w:szCs w:val="32"/>
        </w:rPr>
      </w:pPr>
    </w:p>
    <w:p>
      <w:pPr>
        <w:pStyle w:val="2"/>
        <w:spacing w:afterLines="50" w:line="600" w:lineRule="exact"/>
        <w:jc w:val="center"/>
        <w:rPr>
          <w:rFonts w:ascii="Times New Roman" w:eastAsia="方正仿宋_GBK" w:cs="Times New Roman"/>
          <w:snapToGrid w:val="0"/>
          <w:kern w:val="2"/>
          <w:sz w:val="32"/>
          <w:szCs w:val="32"/>
        </w:rPr>
      </w:pPr>
      <w:r>
        <w:rPr>
          <w:rFonts w:hint="eastAsia" w:ascii="方正小标宋_GBK" w:hAnsi="方正小标宋_GBK" w:eastAsia="方正小标宋_GBK" w:cs="方正小标宋_GBK"/>
          <w:snapToGrid w:val="0"/>
          <w:kern w:val="2"/>
          <w:sz w:val="32"/>
          <w:szCs w:val="32"/>
        </w:rPr>
        <w:t>安全生产专项整治三年行动任务清单（文化旅游领域）</w:t>
      </w:r>
    </w:p>
    <w:tbl>
      <w:tblPr>
        <w:tblStyle w:val="5"/>
        <w:tblW w:w="14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6"/>
        <w:gridCol w:w="3193"/>
        <w:gridCol w:w="6602"/>
        <w:gridCol w:w="1521"/>
        <w:gridCol w:w="992"/>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9" w:type="dxa"/>
            <w:gridSpan w:val="2"/>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主要任务</w:t>
            </w:r>
          </w:p>
        </w:tc>
        <w:tc>
          <w:tcPr>
            <w:tcW w:w="6602"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工作措施</w:t>
            </w:r>
          </w:p>
        </w:tc>
        <w:tc>
          <w:tcPr>
            <w:tcW w:w="1521"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责任科室</w:t>
            </w:r>
          </w:p>
        </w:tc>
        <w:tc>
          <w:tcPr>
            <w:tcW w:w="992" w:type="dxa"/>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配合社区</w:t>
            </w:r>
          </w:p>
        </w:tc>
        <w:tc>
          <w:tcPr>
            <w:tcW w:w="1194" w:type="dxa"/>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966" w:type="dxa"/>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（一）行业安全</w:t>
            </w:r>
          </w:p>
        </w:tc>
        <w:tc>
          <w:tcPr>
            <w:tcW w:w="3193" w:type="dxa"/>
            <w:tcMar>
              <w:top w:w="15" w:type="dxa"/>
              <w:left w:w="15" w:type="dxa"/>
              <w:right w:w="15" w:type="dxa"/>
            </w:tcMar>
            <w:vAlign w:val="center"/>
          </w:tcPr>
          <w:p>
            <w:pPr>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w:t>
            </w:r>
            <w:r>
              <w:rPr>
                <w:rFonts w:hint="eastAsia" w:ascii="方正仿宋_GBK" w:hAnsi="方正仿宋_GBK" w:eastAsia="方正仿宋_GBK" w:cs="方正仿宋_GBK"/>
                <w:color w:val="000000"/>
                <w:kern w:val="0"/>
                <w:sz w:val="24"/>
              </w:rPr>
              <w:t>开展全区高危险性体育项目专项整治，特别是季节性游泳场馆。</w:t>
            </w:r>
          </w:p>
        </w:tc>
        <w:tc>
          <w:tcPr>
            <w:tcW w:w="6602" w:type="dxa"/>
            <w:tcMar>
              <w:top w:w="15" w:type="dxa"/>
              <w:left w:w="15" w:type="dxa"/>
              <w:right w:w="15" w:type="dxa"/>
            </w:tcMar>
            <w:vAlign w:val="center"/>
          </w:tcPr>
          <w:p>
            <w:pPr>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对辖区内高危险性体育项目，特别是季节性游泳场馆的摸排，将经营性游泳场馆纳入日常安全检查计划，配合各部门开展监督检查执法工作。</w:t>
            </w:r>
          </w:p>
        </w:tc>
        <w:tc>
          <w:tcPr>
            <w:tcW w:w="1521" w:type="dxa"/>
            <w:tcMar>
              <w:top w:w="15" w:type="dxa"/>
              <w:left w:w="15" w:type="dxa"/>
              <w:right w:w="15" w:type="dxa"/>
            </w:tcMar>
            <w:vAlign w:val="center"/>
          </w:tcPr>
          <w:p>
            <w:pPr>
              <w:spacing w:line="3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党政办</w:t>
            </w:r>
          </w:p>
        </w:tc>
        <w:tc>
          <w:tcPr>
            <w:tcW w:w="992" w:type="dxa"/>
            <w:vAlign w:val="center"/>
          </w:tcPr>
          <w:p>
            <w:pPr>
              <w:spacing w:line="300" w:lineRule="exact"/>
              <w:jc w:val="center"/>
              <w:textAlignment w:val="center"/>
              <w:rPr>
                <w:rFonts w:ascii="方正仿宋_GBK" w:hAnsi="方正仿宋_GBK" w:eastAsia="方正仿宋_GBK" w:cs="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194" w:type="dxa"/>
            <w:tcMar>
              <w:top w:w="15" w:type="dxa"/>
              <w:left w:w="15" w:type="dxa"/>
              <w:right w:w="15" w:type="dxa"/>
            </w:tcMar>
            <w:vAlign w:val="center"/>
          </w:tcPr>
          <w:p>
            <w:pPr>
              <w:spacing w:line="300" w:lineRule="exact"/>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2022</w:t>
            </w:r>
            <w:r>
              <w:rPr>
                <w:rFonts w:hint="eastAsia" w:ascii="方正仿宋_GBK" w:hAnsi="方正仿宋_GBK" w:eastAsia="方正仿宋_GBK" w:cs="方正仿宋_GBK"/>
                <w:color w:val="000000"/>
                <w:kern w:val="0"/>
                <w:sz w:val="24"/>
              </w:rPr>
              <w:t>年</w:t>
            </w:r>
          </w:p>
        </w:tc>
      </w:tr>
    </w:tbl>
    <w:p>
      <w:pPr>
        <w:pStyle w:val="2"/>
        <w:spacing w:afterLines="50" w:line="600" w:lineRule="exact"/>
        <w:jc w:val="center"/>
        <w:rPr>
          <w:rFonts w:ascii="Times New Roman" w:eastAsia="方正仿宋_GBK" w:cs="Times New Roman"/>
          <w:snapToGrid w:val="0"/>
          <w:kern w:val="2"/>
          <w:sz w:val="32"/>
          <w:szCs w:val="32"/>
        </w:rPr>
      </w:pPr>
      <w:r>
        <w:rPr>
          <w:rFonts w:hint="eastAsia" w:ascii="方正小标宋_GBK" w:hAnsi="方正小标宋_GBK" w:eastAsia="方正小标宋_GBK" w:cs="方正小标宋_GBK"/>
          <w:snapToGrid w:val="0"/>
          <w:kern w:val="2"/>
          <w:sz w:val="32"/>
          <w:szCs w:val="32"/>
        </w:rPr>
        <w:t>安全生产专项整治三年行动任务清单（城市运行领域）</w:t>
      </w:r>
    </w:p>
    <w:tbl>
      <w:tblPr>
        <w:tblStyle w:val="5"/>
        <w:tblW w:w="14637" w:type="dxa"/>
        <w:jc w:val="center"/>
        <w:tblLayout w:type="fixed"/>
        <w:tblCellMar>
          <w:top w:w="0" w:type="dxa"/>
          <w:left w:w="0" w:type="dxa"/>
          <w:bottom w:w="0" w:type="dxa"/>
          <w:right w:w="0" w:type="dxa"/>
        </w:tblCellMar>
      </w:tblPr>
      <w:tblGrid>
        <w:gridCol w:w="1118"/>
        <w:gridCol w:w="5125"/>
        <w:gridCol w:w="4531"/>
        <w:gridCol w:w="1735"/>
        <w:gridCol w:w="992"/>
        <w:gridCol w:w="1136"/>
      </w:tblGrid>
      <w:tr>
        <w:tblPrEx>
          <w:tblCellMar>
            <w:top w:w="0" w:type="dxa"/>
            <w:left w:w="0" w:type="dxa"/>
            <w:bottom w:w="0" w:type="dxa"/>
            <w:right w:w="0" w:type="dxa"/>
          </w:tblCellMar>
        </w:tblPrEx>
        <w:trPr>
          <w:jc w:val="center"/>
        </w:trPr>
        <w:tc>
          <w:tcPr>
            <w:tcW w:w="62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主要任务</w:t>
            </w:r>
          </w:p>
        </w:tc>
        <w:tc>
          <w:tcPr>
            <w:tcW w:w="4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工作措施</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责任科室</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配合社区</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完成时限</w:t>
            </w:r>
          </w:p>
        </w:tc>
      </w:tr>
      <w:tr>
        <w:tblPrEx>
          <w:tblCellMar>
            <w:top w:w="0" w:type="dxa"/>
            <w:left w:w="0" w:type="dxa"/>
            <w:bottom w:w="0" w:type="dxa"/>
            <w:right w:w="0" w:type="dxa"/>
          </w:tblCellMar>
        </w:tblPrEx>
        <w:trPr>
          <w:jc w:val="center"/>
        </w:trPr>
        <w:tc>
          <w:tcPr>
            <w:tcW w:w="14637" w:type="dxa"/>
            <w:gridSpan w:val="6"/>
            <w:tcBorders>
              <w:top w:val="single" w:color="000000" w:sz="4" w:space="0"/>
              <w:left w:val="single" w:color="000000" w:sz="4" w:space="0"/>
              <w:bottom w:val="single" w:color="000000" w:sz="4" w:space="0"/>
              <w:right w:val="single" w:color="000000" w:sz="4" w:space="0"/>
            </w:tcBorders>
          </w:tcPr>
          <w:p>
            <w:pPr>
              <w:widowControl/>
              <w:spacing w:line="300" w:lineRule="exact"/>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城市照明及户外广告设施</w:t>
            </w:r>
          </w:p>
        </w:tc>
      </w:tr>
      <w:tr>
        <w:tblPrEx>
          <w:tblCellMar>
            <w:top w:w="0" w:type="dxa"/>
            <w:left w:w="0" w:type="dxa"/>
            <w:bottom w:w="0" w:type="dxa"/>
            <w:right w:w="0" w:type="dxa"/>
          </w:tblCellMar>
        </w:tblPrEx>
        <w:trPr>
          <w:jc w:val="center"/>
        </w:trPr>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（一）加强户外广告设施安全管理。</w:t>
            </w:r>
          </w:p>
        </w:tc>
        <w:tc>
          <w:tcPr>
            <w:tcW w:w="5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w:t>
            </w:r>
            <w:r>
              <w:rPr>
                <w:rFonts w:hint="eastAsia" w:ascii="方正仿宋_GBK" w:hAnsi="方正仿宋_GBK" w:eastAsia="方正仿宋_GBK" w:cs="方正仿宋_GBK"/>
                <w:color w:val="000000"/>
                <w:kern w:val="0"/>
                <w:sz w:val="24"/>
              </w:rPr>
              <w:t>严格落实《户外广告设置规范》，加强城市户外广告设施特别是高空广告牌的安全监管，强化日常巡查、动态监管责任，加强对户外广告设施结构、构件连接点（焊缝螺栓）和电路设备等重点部位检查维护，严防户外广告设施坠落、倒塌和电气火灾事故。</w:t>
            </w:r>
          </w:p>
        </w:tc>
        <w:tc>
          <w:tcPr>
            <w:tcW w:w="4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w:t>
            </w:r>
            <w:r>
              <w:rPr>
                <w:rFonts w:hint="eastAsia" w:ascii="方正仿宋_GBK" w:hAnsi="方正仿宋_GBK" w:eastAsia="方正仿宋_GBK" w:cs="方正仿宋_GBK"/>
                <w:color w:val="000000"/>
                <w:kern w:val="0"/>
                <w:sz w:val="24"/>
              </w:rPr>
              <w:t>建立健全相关工作制度。</w:t>
            </w:r>
            <w:r>
              <w:rPr>
                <w:rFonts w:ascii="方正仿宋_GBK" w:hAnsi="方正仿宋_GBK" w:eastAsia="方正仿宋_GBK" w:cs="方正仿宋_GBK"/>
                <w:color w:val="000000"/>
                <w:kern w:val="0"/>
                <w:sz w:val="24"/>
              </w:rPr>
              <w:br w:type="textWrapping"/>
            </w:r>
            <w:r>
              <w:rPr>
                <w:rFonts w:ascii="方正仿宋_GBK" w:hAnsi="方正仿宋_GBK" w:eastAsia="方正仿宋_GBK" w:cs="方正仿宋_GBK"/>
                <w:color w:val="000000"/>
                <w:kern w:val="0"/>
                <w:sz w:val="24"/>
              </w:rPr>
              <w:t>2.</w:t>
            </w:r>
            <w:r>
              <w:rPr>
                <w:rFonts w:hint="eastAsia" w:ascii="方正仿宋_GBK" w:hAnsi="方正仿宋_GBK" w:eastAsia="方正仿宋_GBK" w:cs="方正仿宋_GBK"/>
                <w:color w:val="000000"/>
                <w:kern w:val="0"/>
                <w:sz w:val="24"/>
              </w:rPr>
              <w:t>强化日常安全巡查。</w:t>
            </w:r>
            <w:r>
              <w:rPr>
                <w:rFonts w:ascii="方正仿宋_GBK" w:hAnsi="方正仿宋_GBK" w:eastAsia="方正仿宋_GBK" w:cs="方正仿宋_GBK"/>
                <w:color w:val="000000"/>
                <w:kern w:val="0"/>
                <w:sz w:val="24"/>
              </w:rPr>
              <w:br w:type="textWrapping"/>
            </w:r>
            <w:r>
              <w:rPr>
                <w:rFonts w:ascii="方正仿宋_GBK" w:hAnsi="方正仿宋_GBK" w:eastAsia="方正仿宋_GBK" w:cs="方正仿宋_GBK"/>
                <w:color w:val="000000"/>
                <w:kern w:val="0"/>
                <w:sz w:val="24"/>
              </w:rPr>
              <w:t>3.</w:t>
            </w:r>
            <w:r>
              <w:rPr>
                <w:rFonts w:hint="eastAsia" w:ascii="方正仿宋_GBK" w:hAnsi="方正仿宋_GBK" w:eastAsia="方正仿宋_GBK" w:cs="方正仿宋_GBK"/>
                <w:color w:val="000000"/>
                <w:kern w:val="0"/>
                <w:sz w:val="24"/>
              </w:rPr>
              <w:t>及时整治各类安全隐患。</w:t>
            </w:r>
          </w:p>
        </w:tc>
        <w:tc>
          <w:tcPr>
            <w:tcW w:w="1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规建环办、执法大队</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4"/>
              </w:rPr>
            </w:pPr>
            <w:r>
              <w:rPr>
                <w:rFonts w:hint="eastAsia" w:ascii="Times New Roman" w:hAnsi="Times New Roman" w:eastAsia="方正仿宋_GBK"/>
                <w:color w:val="000000" w:themeColor="text1"/>
                <w:kern w:val="0"/>
                <w:sz w:val="24"/>
              </w:rPr>
              <w:t>各社区配合完成</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持续推动</w:t>
            </w:r>
          </w:p>
        </w:tc>
      </w:tr>
    </w:tbl>
    <w:p>
      <w:pPr>
        <w:rPr>
          <w:rFonts w:ascii="Times New Roman" w:hAnsi="Times New Roman" w:eastAsia="方正仿宋_GBK"/>
          <w:color w:val="000000"/>
          <w:sz w:val="32"/>
        </w:rPr>
        <w:sectPr>
          <w:headerReference r:id="rId5" w:type="first"/>
          <w:headerReference r:id="rId3" w:type="default"/>
          <w:footerReference r:id="rId6" w:type="default"/>
          <w:headerReference r:id="rId4" w:type="even"/>
          <w:footerReference r:id="rId7" w:type="even"/>
          <w:pgSz w:w="16838" w:h="11906" w:orient="landscape"/>
          <w:pgMar w:top="1588" w:right="1418" w:bottom="1588" w:left="1418" w:header="851" w:footer="851" w:gutter="0"/>
          <w:pgNumType w:fmt="numberInDash"/>
          <w:cols w:space="0" w:num="1"/>
          <w:docGrid w:linePitch="579" w:charSpace="-842"/>
        </w:sectPr>
      </w:pPr>
    </w:p>
    <w:p>
      <w:pPr>
        <w:rPr>
          <w:rFonts w:ascii="Times New Roman" w:hAnsi="Times New Roman" w:eastAsia="方正仿宋_GBK"/>
          <w:sz w:val="32"/>
        </w:rPr>
        <w:sectPr>
          <w:pgSz w:w="11906" w:h="16838"/>
          <w:pgMar w:top="1418" w:right="1588" w:bottom="1418" w:left="1588" w:header="851" w:footer="851" w:gutter="0"/>
          <w:pgNumType w:fmt="numberInDash"/>
          <w:cols w:space="0" w:num="1"/>
          <w:docGrid w:linePitch="579" w:charSpace="-842"/>
        </w:sectPr>
      </w:pPr>
      <w:bookmarkStart w:id="0" w:name="_GoBack"/>
      <w:bookmarkEnd w:id="0"/>
    </w:p>
    <w:p>
      <w:pPr>
        <w:rPr>
          <w:rFonts w:ascii="Times New Roman" w:hAnsi="Times New Roman" w:eastAsia="方正仿宋_GBK"/>
          <w:sz w:val="32"/>
        </w:rPr>
      </w:pPr>
    </w:p>
    <w:sectPr>
      <w:pgSz w:w="11906" w:h="16838"/>
      <w:pgMar w:top="1418" w:right="1588" w:bottom="1418" w:left="1588" w:header="851" w:footer="851" w:gutter="0"/>
      <w:pgNumType w:fmt="numberInDash"/>
      <w:cols w:space="0" w:num="1"/>
      <w:docGrid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ind w:right="420" w:firstLine="210" w:firstLineChars="100"/>
      <w:jc w:val="right"/>
      <w:rPr>
        <w:rFonts w:ascii="方正仿宋_GBK" w:hAnsi="方正仿宋_GBK" w:eastAsia="方正仿宋_GBK" w:cs="方正仿宋_GBK"/>
        <w:sz w:val="32"/>
        <w:szCs w:val="32"/>
      </w:rPr>
    </w:pPr>
    <w:r>
      <w:pict>
        <v:shape id="_x0000_s2050" o:spid="_x0000_s2050"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Times New Roman" w:hAnsi="Times New Roman"/>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210" w:firstLineChars="100"/>
      <w:rPr>
        <w:rFonts w:ascii="Times New Roman" w:hAnsi="Times New Roman" w:eastAsia="方正仿宋_GBK"/>
        <w:sz w:val="28"/>
        <w:szCs w:val="28"/>
      </w:rPr>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Times New Roman" w:hAnsi="Times New Roman"/>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84725BF"/>
    <w:rsid w:val="00017D4E"/>
    <w:rsid w:val="00086D3C"/>
    <w:rsid w:val="000E33DF"/>
    <w:rsid w:val="000E46A5"/>
    <w:rsid w:val="00102D4E"/>
    <w:rsid w:val="00125BDC"/>
    <w:rsid w:val="001400D2"/>
    <w:rsid w:val="0014460D"/>
    <w:rsid w:val="00145F26"/>
    <w:rsid w:val="00175FBE"/>
    <w:rsid w:val="0017742D"/>
    <w:rsid w:val="00184FC1"/>
    <w:rsid w:val="00193B79"/>
    <w:rsid w:val="001D174B"/>
    <w:rsid w:val="001F3AFD"/>
    <w:rsid w:val="00201D25"/>
    <w:rsid w:val="00207267"/>
    <w:rsid w:val="002078FC"/>
    <w:rsid w:val="00233C88"/>
    <w:rsid w:val="002503D5"/>
    <w:rsid w:val="00256EA6"/>
    <w:rsid w:val="002604DA"/>
    <w:rsid w:val="0028307F"/>
    <w:rsid w:val="00296BF5"/>
    <w:rsid w:val="002A425C"/>
    <w:rsid w:val="002C57DF"/>
    <w:rsid w:val="002D571C"/>
    <w:rsid w:val="002D6511"/>
    <w:rsid w:val="002F21B8"/>
    <w:rsid w:val="00314EE9"/>
    <w:rsid w:val="00321777"/>
    <w:rsid w:val="00361EC6"/>
    <w:rsid w:val="00367753"/>
    <w:rsid w:val="00381027"/>
    <w:rsid w:val="003D1FFD"/>
    <w:rsid w:val="003E0FFF"/>
    <w:rsid w:val="00400C16"/>
    <w:rsid w:val="004138BA"/>
    <w:rsid w:val="004254B9"/>
    <w:rsid w:val="004261CF"/>
    <w:rsid w:val="00431D3D"/>
    <w:rsid w:val="00440070"/>
    <w:rsid w:val="0044509D"/>
    <w:rsid w:val="00453A9F"/>
    <w:rsid w:val="00495C36"/>
    <w:rsid w:val="004C4CF1"/>
    <w:rsid w:val="00517666"/>
    <w:rsid w:val="00527029"/>
    <w:rsid w:val="0052790B"/>
    <w:rsid w:val="005355CB"/>
    <w:rsid w:val="00551EC6"/>
    <w:rsid w:val="00562C10"/>
    <w:rsid w:val="00563C72"/>
    <w:rsid w:val="005A518E"/>
    <w:rsid w:val="005D1BC4"/>
    <w:rsid w:val="005E2652"/>
    <w:rsid w:val="00605AB1"/>
    <w:rsid w:val="00634997"/>
    <w:rsid w:val="00647DD9"/>
    <w:rsid w:val="00650B5A"/>
    <w:rsid w:val="006614A2"/>
    <w:rsid w:val="006D236F"/>
    <w:rsid w:val="00714808"/>
    <w:rsid w:val="00734144"/>
    <w:rsid w:val="0073718B"/>
    <w:rsid w:val="0074494C"/>
    <w:rsid w:val="00756133"/>
    <w:rsid w:val="0078308C"/>
    <w:rsid w:val="007B5F4A"/>
    <w:rsid w:val="007D3252"/>
    <w:rsid w:val="00812698"/>
    <w:rsid w:val="0082109E"/>
    <w:rsid w:val="00833344"/>
    <w:rsid w:val="00855834"/>
    <w:rsid w:val="008667D9"/>
    <w:rsid w:val="008D7C59"/>
    <w:rsid w:val="008E3C2D"/>
    <w:rsid w:val="008E6327"/>
    <w:rsid w:val="00903FBB"/>
    <w:rsid w:val="009406BF"/>
    <w:rsid w:val="00947F43"/>
    <w:rsid w:val="00953200"/>
    <w:rsid w:val="00985A7D"/>
    <w:rsid w:val="00994375"/>
    <w:rsid w:val="009E7A46"/>
    <w:rsid w:val="00A0500F"/>
    <w:rsid w:val="00A3484A"/>
    <w:rsid w:val="00A5488D"/>
    <w:rsid w:val="00A778E3"/>
    <w:rsid w:val="00A9256F"/>
    <w:rsid w:val="00AA141E"/>
    <w:rsid w:val="00AD2210"/>
    <w:rsid w:val="00B027CF"/>
    <w:rsid w:val="00B1057E"/>
    <w:rsid w:val="00B220C4"/>
    <w:rsid w:val="00B30340"/>
    <w:rsid w:val="00B336D8"/>
    <w:rsid w:val="00B53207"/>
    <w:rsid w:val="00B80273"/>
    <w:rsid w:val="00BA0399"/>
    <w:rsid w:val="00BC111A"/>
    <w:rsid w:val="00BC560B"/>
    <w:rsid w:val="00BE0F14"/>
    <w:rsid w:val="00BE3819"/>
    <w:rsid w:val="00C07567"/>
    <w:rsid w:val="00C12001"/>
    <w:rsid w:val="00C12314"/>
    <w:rsid w:val="00C127D0"/>
    <w:rsid w:val="00C14475"/>
    <w:rsid w:val="00C4439B"/>
    <w:rsid w:val="00C448A6"/>
    <w:rsid w:val="00C504B0"/>
    <w:rsid w:val="00C55514"/>
    <w:rsid w:val="00C60A13"/>
    <w:rsid w:val="00C96081"/>
    <w:rsid w:val="00CA4EBC"/>
    <w:rsid w:val="00CC3B88"/>
    <w:rsid w:val="00CF423D"/>
    <w:rsid w:val="00D01EAC"/>
    <w:rsid w:val="00D174FA"/>
    <w:rsid w:val="00D251CE"/>
    <w:rsid w:val="00D26D2E"/>
    <w:rsid w:val="00D3527F"/>
    <w:rsid w:val="00D448F8"/>
    <w:rsid w:val="00D613A5"/>
    <w:rsid w:val="00D8737A"/>
    <w:rsid w:val="00DC0A46"/>
    <w:rsid w:val="00DE0D3D"/>
    <w:rsid w:val="00DE32D3"/>
    <w:rsid w:val="00E9715A"/>
    <w:rsid w:val="00EA580F"/>
    <w:rsid w:val="00EB3ACE"/>
    <w:rsid w:val="00EE78E7"/>
    <w:rsid w:val="00F339B5"/>
    <w:rsid w:val="00F3718F"/>
    <w:rsid w:val="00F56D96"/>
    <w:rsid w:val="01FD2EF6"/>
    <w:rsid w:val="02607C56"/>
    <w:rsid w:val="02B44266"/>
    <w:rsid w:val="037E05FE"/>
    <w:rsid w:val="061F1CDA"/>
    <w:rsid w:val="06E027DE"/>
    <w:rsid w:val="07B93EC6"/>
    <w:rsid w:val="07EE0D08"/>
    <w:rsid w:val="086674BF"/>
    <w:rsid w:val="088A4C36"/>
    <w:rsid w:val="08C06EEC"/>
    <w:rsid w:val="0A2F13CD"/>
    <w:rsid w:val="0A4E748F"/>
    <w:rsid w:val="0B623631"/>
    <w:rsid w:val="0C254F9A"/>
    <w:rsid w:val="0C7146B2"/>
    <w:rsid w:val="0D9366E4"/>
    <w:rsid w:val="0DF846AD"/>
    <w:rsid w:val="0FB51FDF"/>
    <w:rsid w:val="111E13FD"/>
    <w:rsid w:val="11586ABE"/>
    <w:rsid w:val="12223ADE"/>
    <w:rsid w:val="168A4FBB"/>
    <w:rsid w:val="17283095"/>
    <w:rsid w:val="18923694"/>
    <w:rsid w:val="1A971EB0"/>
    <w:rsid w:val="1AB8520B"/>
    <w:rsid w:val="1AB86208"/>
    <w:rsid w:val="1C3E7039"/>
    <w:rsid w:val="1C8074B6"/>
    <w:rsid w:val="1D9A55EC"/>
    <w:rsid w:val="1DB96CB9"/>
    <w:rsid w:val="1E362ECF"/>
    <w:rsid w:val="1F551FDC"/>
    <w:rsid w:val="22FD5DC5"/>
    <w:rsid w:val="26CB0F66"/>
    <w:rsid w:val="27CB6533"/>
    <w:rsid w:val="2A392C05"/>
    <w:rsid w:val="2B4D1CED"/>
    <w:rsid w:val="2BBF2B8D"/>
    <w:rsid w:val="2D467736"/>
    <w:rsid w:val="2E1A0FDF"/>
    <w:rsid w:val="324E0727"/>
    <w:rsid w:val="328752EB"/>
    <w:rsid w:val="336478A9"/>
    <w:rsid w:val="34E53A99"/>
    <w:rsid w:val="390228CC"/>
    <w:rsid w:val="3AAD014E"/>
    <w:rsid w:val="3B366F70"/>
    <w:rsid w:val="3C8F4825"/>
    <w:rsid w:val="3D011D6B"/>
    <w:rsid w:val="3ECF043F"/>
    <w:rsid w:val="3F132EDC"/>
    <w:rsid w:val="3F592C22"/>
    <w:rsid w:val="3FD3701F"/>
    <w:rsid w:val="412F7A08"/>
    <w:rsid w:val="42926AE3"/>
    <w:rsid w:val="439C54C9"/>
    <w:rsid w:val="442925A1"/>
    <w:rsid w:val="4609396E"/>
    <w:rsid w:val="46BC1F82"/>
    <w:rsid w:val="479B5B43"/>
    <w:rsid w:val="47D610AB"/>
    <w:rsid w:val="48462DA6"/>
    <w:rsid w:val="49181CAF"/>
    <w:rsid w:val="49EC28D6"/>
    <w:rsid w:val="4AF6087E"/>
    <w:rsid w:val="4B9C4BD6"/>
    <w:rsid w:val="4C906721"/>
    <w:rsid w:val="4CD061C0"/>
    <w:rsid w:val="4D494A62"/>
    <w:rsid w:val="4D51013F"/>
    <w:rsid w:val="4E78045F"/>
    <w:rsid w:val="50441BF6"/>
    <w:rsid w:val="509178E7"/>
    <w:rsid w:val="51C42645"/>
    <w:rsid w:val="526E5422"/>
    <w:rsid w:val="53855580"/>
    <w:rsid w:val="55204AB8"/>
    <w:rsid w:val="55BE7BC2"/>
    <w:rsid w:val="560D3FAA"/>
    <w:rsid w:val="58262F38"/>
    <w:rsid w:val="59267338"/>
    <w:rsid w:val="5A9152BA"/>
    <w:rsid w:val="5B4A6F80"/>
    <w:rsid w:val="5E725378"/>
    <w:rsid w:val="5F8A1A1B"/>
    <w:rsid w:val="612564BC"/>
    <w:rsid w:val="61682973"/>
    <w:rsid w:val="61B060D1"/>
    <w:rsid w:val="64207C70"/>
    <w:rsid w:val="65164742"/>
    <w:rsid w:val="65735F6A"/>
    <w:rsid w:val="65C820D0"/>
    <w:rsid w:val="66E34AB0"/>
    <w:rsid w:val="674C0041"/>
    <w:rsid w:val="67867035"/>
    <w:rsid w:val="684725BF"/>
    <w:rsid w:val="6BAD1EB3"/>
    <w:rsid w:val="6BC6610A"/>
    <w:rsid w:val="6C6F5566"/>
    <w:rsid w:val="6DB10F61"/>
    <w:rsid w:val="6FDC5FB3"/>
    <w:rsid w:val="6FE500BA"/>
    <w:rsid w:val="70AB6839"/>
    <w:rsid w:val="70D77AE2"/>
    <w:rsid w:val="711358CF"/>
    <w:rsid w:val="72501B71"/>
    <w:rsid w:val="7283781F"/>
    <w:rsid w:val="7549366C"/>
    <w:rsid w:val="766A6C40"/>
    <w:rsid w:val="77D04716"/>
    <w:rsid w:val="79265A14"/>
    <w:rsid w:val="7A0A08A9"/>
    <w:rsid w:val="7D063684"/>
    <w:rsid w:val="7F9A73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link w:val="7"/>
    <w:qFormat/>
    <w:uiPriority w:val="99"/>
    <w:pPr>
      <w:tabs>
        <w:tab w:val="center" w:pos="4153"/>
        <w:tab w:val="right" w:pos="8306"/>
      </w:tabs>
      <w:snapToGrid w:val="0"/>
    </w:pPr>
    <w:rPr>
      <w:sz w:val="18"/>
      <w:szCs w:val="20"/>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semiHidden/>
    <w:qFormat/>
    <w:locked/>
    <w:uiPriority w:val="99"/>
    <w:rPr>
      <w:rFonts w:ascii="Calibri" w:hAnsi="Calibri" w:cs="Times New Roman"/>
      <w:sz w:val="18"/>
      <w:szCs w:val="18"/>
    </w:rPr>
  </w:style>
  <w:style w:type="character" w:customStyle="1" w:styleId="8">
    <w:name w:val="页眉 Char"/>
    <w:basedOn w:val="6"/>
    <w:link w:val="4"/>
    <w:semiHidden/>
    <w:locked/>
    <w:uiPriority w:val="99"/>
    <w:rPr>
      <w:rFonts w:ascii="Calibri" w:hAnsi="Calibri" w:cs="Times New Roman"/>
      <w:sz w:val="18"/>
      <w:szCs w:val="18"/>
    </w:rPr>
  </w:style>
  <w:style w:type="character" w:customStyle="1" w:styleId="9">
    <w:name w:val="font101"/>
    <w:basedOn w:val="6"/>
    <w:qFormat/>
    <w:uiPriority w:val="99"/>
    <w:rPr>
      <w:rFonts w:ascii="方正仿宋_GBK" w:hAnsi="方正仿宋_GBK" w:eastAsia="方正仿宋_GBK" w:cs="方正仿宋_GBK"/>
      <w:color w:val="000000"/>
      <w:sz w:val="24"/>
      <w:szCs w:val="24"/>
      <w:u w:val="none"/>
    </w:rPr>
  </w:style>
  <w:style w:type="character" w:customStyle="1" w:styleId="10">
    <w:name w:val="font21"/>
    <w:basedOn w:val="6"/>
    <w:qFormat/>
    <w:uiPriority w:val="99"/>
    <w:rPr>
      <w:rFonts w:ascii="方正仿宋_GBK" w:hAnsi="方正仿宋_GBK" w:eastAsia="方正仿宋_GBK" w:cs="方正仿宋_GBK"/>
      <w:color w:val="000000"/>
      <w:sz w:val="24"/>
      <w:szCs w:val="24"/>
      <w:u w:val="none"/>
    </w:rPr>
  </w:style>
  <w:style w:type="character" w:customStyle="1" w:styleId="11">
    <w:name w:val="font112"/>
    <w:basedOn w:val="6"/>
    <w:uiPriority w:val="99"/>
    <w:rPr>
      <w:rFonts w:ascii="Times New Roman" w:hAnsi="Times New Roman" w:cs="Times New Roman"/>
      <w:color w:val="000000"/>
      <w:sz w:val="24"/>
      <w:szCs w:val="24"/>
      <w:u w:val="none"/>
    </w:rPr>
  </w:style>
  <w:style w:type="character" w:customStyle="1" w:styleId="12">
    <w:name w:val="font71"/>
    <w:basedOn w:val="6"/>
    <w:uiPriority w:val="99"/>
    <w:rPr>
      <w:rFonts w:ascii="方正仿宋_GBK" w:hAnsi="方正仿宋_GBK" w:eastAsia="方正仿宋_GBK" w:cs="方正仿宋_GBK"/>
      <w:color w:val="000000"/>
      <w:sz w:val="24"/>
      <w:szCs w:val="24"/>
      <w:u w:val="none"/>
    </w:rPr>
  </w:style>
  <w:style w:type="character" w:customStyle="1" w:styleId="13">
    <w:name w:val="font01"/>
    <w:basedOn w:val="6"/>
    <w:uiPriority w:val="99"/>
    <w:rPr>
      <w:rFonts w:ascii="Times New Roman" w:hAnsi="Times New Roman" w:cs="Times New Roman"/>
      <w:color w:val="000000"/>
      <w:sz w:val="24"/>
      <w:szCs w:val="24"/>
      <w:u w:val="none"/>
    </w:rPr>
  </w:style>
  <w:style w:type="character" w:customStyle="1" w:styleId="14">
    <w:name w:val="font31"/>
    <w:basedOn w:val="6"/>
    <w:uiPriority w:val="99"/>
    <w:rPr>
      <w:rFonts w:ascii="方正仿宋_GBK" w:hAnsi="方正仿宋_GBK" w:eastAsia="方正仿宋_GBK" w:cs="方正仿宋_GBK"/>
      <w:color w:val="000000"/>
      <w:sz w:val="24"/>
      <w:szCs w:val="24"/>
      <w:u w:val="none"/>
    </w:rPr>
  </w:style>
  <w:style w:type="character" w:customStyle="1" w:styleId="15">
    <w:name w:val="font11"/>
    <w:basedOn w:val="6"/>
    <w:qFormat/>
    <w:uiPriority w:val="99"/>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74F90-2B2C-41E9-95F3-8D1F3FD3B805}">
  <ds:schemaRefs/>
</ds:datastoreItem>
</file>

<file path=docProps/app.xml><?xml version="1.0" encoding="utf-8"?>
<Properties xmlns="http://schemas.openxmlformats.org/officeDocument/2006/extended-properties" xmlns:vt="http://schemas.openxmlformats.org/officeDocument/2006/docPropsVTypes">
  <Template>Normal</Template>
  <Pages>11</Pages>
  <Words>1019</Words>
  <Characters>5814</Characters>
  <Lines>48</Lines>
  <Paragraphs>13</Paragraphs>
  <TotalTime>197</TotalTime>
  <ScaleCrop>false</ScaleCrop>
  <LinksUpToDate>false</LinksUpToDate>
  <CharactersWithSpaces>6820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2020-07-03T08:02:00Z</dcterms:created>
  <dc:creator>Andy</dc:creator>
  <cp:lastModifiedBy>USER</cp:lastModifiedBy>
  <cp:lastPrinted>2020-07-27T09:25:00Z</cp:lastPrinted>
  <dcterms:modified xsi:type="dcterms:W3CDTF">2020-07-28T06:34:29Z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