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C56" w:rsidRPr="00386682" w:rsidRDefault="009E1C56" w:rsidP="00202BB3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86682">
        <w:rPr>
          <w:rFonts w:ascii="Times New Roman" w:hAnsi="Times New Roman" w:cs="Times New Roman"/>
          <w:b/>
          <w:sz w:val="30"/>
          <w:szCs w:val="30"/>
        </w:rPr>
        <w:t>2019</w:t>
      </w:r>
      <w:r w:rsidRPr="00386682">
        <w:rPr>
          <w:rFonts w:ascii="Times New Roman" w:hAnsi="Times New Roman" w:cs="Times New Roman"/>
          <w:b/>
          <w:sz w:val="30"/>
          <w:szCs w:val="30"/>
        </w:rPr>
        <w:t>年度渝中区曾家岩临崖步道（一期）项目绩效评价</w:t>
      </w:r>
    </w:p>
    <w:p w:rsidR="000934BE" w:rsidRPr="00386682" w:rsidRDefault="00202BB3" w:rsidP="00202BB3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86682">
        <w:rPr>
          <w:rFonts w:ascii="Times New Roman" w:hAnsi="Times New Roman" w:cs="Times New Roman"/>
          <w:b/>
          <w:sz w:val="30"/>
          <w:szCs w:val="30"/>
        </w:rPr>
        <w:t>自评报告</w:t>
      </w:r>
    </w:p>
    <w:p w:rsidR="000934BE" w:rsidRPr="00386682" w:rsidRDefault="000934BE" w:rsidP="000934BE">
      <w:pPr>
        <w:pStyle w:val="1"/>
        <w:rPr>
          <w:rFonts w:ascii="Times New Roman" w:hAnsi="Times New Roman" w:cs="Times New Roman"/>
        </w:rPr>
      </w:pPr>
      <w:r w:rsidRPr="00386682">
        <w:rPr>
          <w:rFonts w:ascii="Times New Roman" w:hAnsi="Times New Roman" w:cs="Times New Roman"/>
          <w:b w:val="0"/>
          <w:bCs w:val="0"/>
        </w:rPr>
        <w:t>一、</w:t>
      </w:r>
      <w:r w:rsidRPr="00386682">
        <w:rPr>
          <w:rFonts w:ascii="Times New Roman" w:hAnsi="Times New Roman" w:cs="Times New Roman"/>
        </w:rPr>
        <w:t>基本情况</w:t>
      </w:r>
    </w:p>
    <w:p w:rsidR="00202BB3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（一）项目概况</w:t>
      </w:r>
    </w:p>
    <w:p w:rsidR="009E1C56" w:rsidRPr="00386682" w:rsidRDefault="009E1C56" w:rsidP="009E1C56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（</w:t>
      </w:r>
      <w:r w:rsidRPr="00386682">
        <w:rPr>
          <w:rFonts w:ascii="Times New Roman" w:hAnsi="Times New Roman" w:cs="Times New Roman"/>
          <w:sz w:val="28"/>
          <w:szCs w:val="28"/>
        </w:rPr>
        <w:t>1</w:t>
      </w:r>
      <w:r w:rsidRPr="00386682">
        <w:rPr>
          <w:rFonts w:ascii="Times New Roman" w:hAnsi="Times New Roman" w:cs="Times New Roman"/>
          <w:sz w:val="28"/>
          <w:szCs w:val="28"/>
        </w:rPr>
        <w:t>）项目建设地点：上清寺嘉陵桥东村西北侧；</w:t>
      </w:r>
    </w:p>
    <w:p w:rsidR="009E1C56" w:rsidRPr="00386682" w:rsidRDefault="009E1C56" w:rsidP="009E1C56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（</w:t>
      </w:r>
      <w:r w:rsidRPr="00386682">
        <w:rPr>
          <w:rFonts w:ascii="Times New Roman" w:hAnsi="Times New Roman" w:cs="Times New Roman"/>
          <w:sz w:val="28"/>
          <w:szCs w:val="28"/>
        </w:rPr>
        <w:t>2</w:t>
      </w:r>
      <w:r w:rsidRPr="00386682">
        <w:rPr>
          <w:rFonts w:ascii="Times New Roman" w:hAnsi="Times New Roman" w:cs="Times New Roman"/>
          <w:sz w:val="28"/>
          <w:szCs w:val="28"/>
        </w:rPr>
        <w:t>）工程内容：场地铺装、道路、绿化、厕所、景观平台、排水、照明等。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（二）项目绩效目标</w:t>
      </w:r>
    </w:p>
    <w:p w:rsidR="000934BE" w:rsidRPr="00386682" w:rsidRDefault="00202BB3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考核项目</w:t>
      </w:r>
      <w:r w:rsidRPr="00386682">
        <w:rPr>
          <w:rFonts w:ascii="Times New Roman" w:hAnsi="Times New Roman" w:cs="Times New Roman"/>
          <w:sz w:val="28"/>
          <w:szCs w:val="28"/>
        </w:rPr>
        <w:t>2019</w:t>
      </w:r>
      <w:r w:rsidRPr="00386682">
        <w:rPr>
          <w:rFonts w:ascii="Times New Roman" w:hAnsi="Times New Roman" w:cs="Times New Roman"/>
          <w:sz w:val="28"/>
          <w:szCs w:val="28"/>
        </w:rPr>
        <w:t>年度项目产出</w:t>
      </w:r>
      <w:r w:rsidR="00C656CB" w:rsidRPr="00386682">
        <w:rPr>
          <w:rFonts w:ascii="Times New Roman" w:hAnsi="Times New Roman" w:cs="Times New Roman"/>
          <w:sz w:val="28"/>
          <w:szCs w:val="28"/>
        </w:rPr>
        <w:t>与项目管理各项指标实际完成</w:t>
      </w:r>
      <w:r w:rsidRPr="00386682">
        <w:rPr>
          <w:rFonts w:ascii="Times New Roman" w:hAnsi="Times New Roman" w:cs="Times New Roman"/>
          <w:sz w:val="28"/>
          <w:szCs w:val="28"/>
        </w:rPr>
        <w:t>情况以及同计划的差异程度。</w:t>
      </w:r>
    </w:p>
    <w:p w:rsidR="000934BE" w:rsidRPr="00386682" w:rsidRDefault="000934BE" w:rsidP="000934BE">
      <w:pPr>
        <w:pStyle w:val="1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二、</w:t>
      </w:r>
      <w:r w:rsidRPr="00386682">
        <w:rPr>
          <w:rFonts w:ascii="Times New Roman" w:hAnsi="Times New Roman" w:cs="Times New Roman"/>
        </w:rPr>
        <w:t>绩效评价</w:t>
      </w:r>
      <w:r w:rsidRPr="00386682">
        <w:rPr>
          <w:rFonts w:ascii="Times New Roman" w:hAnsi="Times New Roman" w:cs="Times New Roman"/>
          <w:sz w:val="28"/>
          <w:szCs w:val="28"/>
        </w:rPr>
        <w:t>工作情况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（一）绩效评价目的</w:t>
      </w:r>
    </w:p>
    <w:p w:rsidR="000934BE" w:rsidRPr="00386682" w:rsidRDefault="000934BE" w:rsidP="000934B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通过开展项目绩效评价，促进</w:t>
      </w:r>
      <w:r w:rsidR="00202BB3" w:rsidRPr="00386682">
        <w:rPr>
          <w:rFonts w:ascii="Times New Roman" w:hAnsi="Times New Roman" w:cs="Times New Roman"/>
          <w:sz w:val="28"/>
          <w:szCs w:val="28"/>
        </w:rPr>
        <w:t>项目</w:t>
      </w:r>
      <w:r w:rsidRPr="00386682">
        <w:rPr>
          <w:rFonts w:ascii="Times New Roman" w:hAnsi="Times New Roman" w:cs="Times New Roman"/>
          <w:sz w:val="28"/>
          <w:szCs w:val="28"/>
        </w:rPr>
        <w:t>整体上提升预算绩效管理工作水平，强化支出责任，规范资金管理行为，提高财政资金使用效益，保障部门更好地履行职责。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（二）绩效评价原则、评价指标体系、评价方法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（</w:t>
      </w:r>
      <w:r w:rsidRPr="00386682">
        <w:rPr>
          <w:rFonts w:ascii="Times New Roman" w:hAnsi="Times New Roman" w:cs="Times New Roman"/>
          <w:sz w:val="28"/>
          <w:szCs w:val="28"/>
        </w:rPr>
        <w:t>1</w:t>
      </w:r>
      <w:r w:rsidRPr="00386682">
        <w:rPr>
          <w:rFonts w:ascii="Times New Roman" w:hAnsi="Times New Roman" w:cs="Times New Roman"/>
          <w:sz w:val="28"/>
          <w:szCs w:val="28"/>
        </w:rPr>
        <w:t>）</w:t>
      </w:r>
      <w:hyperlink r:id="rId6" w:tgtFrame="_blank" w:history="1">
        <w:r w:rsidRPr="00386682">
          <w:rPr>
            <w:rFonts w:ascii="Times New Roman" w:hAnsi="Times New Roman" w:cs="Times New Roman"/>
            <w:sz w:val="28"/>
            <w:szCs w:val="28"/>
          </w:rPr>
          <w:t>科学规范原则</w:t>
        </w:r>
      </w:hyperlink>
      <w:r w:rsidRPr="00386682">
        <w:rPr>
          <w:rFonts w:ascii="Times New Roman" w:hAnsi="Times New Roman" w:cs="Times New Roman"/>
          <w:sz w:val="28"/>
          <w:szCs w:val="28"/>
        </w:rPr>
        <w:t>。绩效评价应当严格执行规定的程序，按照科学可行的要求，采用定量与定性分析相结合的方法。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（</w:t>
      </w:r>
      <w:r w:rsidRPr="00386682">
        <w:rPr>
          <w:rFonts w:ascii="Times New Roman" w:hAnsi="Times New Roman" w:cs="Times New Roman"/>
          <w:sz w:val="28"/>
          <w:szCs w:val="28"/>
        </w:rPr>
        <w:t>2</w:t>
      </w:r>
      <w:r w:rsidRPr="00386682">
        <w:rPr>
          <w:rFonts w:ascii="Times New Roman" w:hAnsi="Times New Roman" w:cs="Times New Roman"/>
          <w:sz w:val="28"/>
          <w:szCs w:val="28"/>
        </w:rPr>
        <w:t>）公正公开原则。绩效评价应当符合真实、客观、公正的要求，依法公开并接受监督。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（</w:t>
      </w:r>
      <w:r w:rsidRPr="00386682">
        <w:rPr>
          <w:rFonts w:ascii="Times New Roman" w:hAnsi="Times New Roman" w:cs="Times New Roman"/>
          <w:sz w:val="28"/>
          <w:szCs w:val="28"/>
        </w:rPr>
        <w:t>3</w:t>
      </w:r>
      <w:r w:rsidRPr="00386682">
        <w:rPr>
          <w:rFonts w:ascii="Times New Roman" w:hAnsi="Times New Roman" w:cs="Times New Roman"/>
          <w:sz w:val="28"/>
          <w:szCs w:val="28"/>
        </w:rPr>
        <w:t>）分级分类原则。绩效评价由各级财政部门、各预算部门根据评价对象的特点分类组织实施。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lastRenderedPageBreak/>
        <w:t>（</w:t>
      </w:r>
      <w:r w:rsidRPr="00386682">
        <w:rPr>
          <w:rFonts w:ascii="Times New Roman" w:hAnsi="Times New Roman" w:cs="Times New Roman"/>
          <w:sz w:val="28"/>
          <w:szCs w:val="28"/>
        </w:rPr>
        <w:t>4</w:t>
      </w:r>
      <w:r w:rsidRPr="00386682">
        <w:rPr>
          <w:rFonts w:ascii="Times New Roman" w:hAnsi="Times New Roman" w:cs="Times New Roman"/>
          <w:sz w:val="28"/>
          <w:szCs w:val="28"/>
        </w:rPr>
        <w:t>）绩效相关原则。绩效评价应当针对具体支出及其产出绩效进行，评价结果应当清晰反映支出和产出绩效之间的紧密对应关系。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（三）绩效评价工作</w:t>
      </w:r>
      <w:r w:rsidR="00202BB3" w:rsidRPr="00386682">
        <w:rPr>
          <w:rFonts w:ascii="Times New Roman" w:hAnsi="Times New Roman" w:cs="Times New Roman"/>
          <w:sz w:val="28"/>
          <w:szCs w:val="28"/>
        </w:rPr>
        <w:t>过程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按照绩效评价规定要求成立评价小组，组织实施和分析评价，采取座谈等方式听取情况，检查基本支出、项目支出有关账目，收集整理支出相关资料，并根据各部门报送的绩效自评材料进行分析，形成评价结论。</w:t>
      </w:r>
    </w:p>
    <w:p w:rsidR="000934BE" w:rsidRPr="00386682" w:rsidRDefault="000934BE" w:rsidP="000934BE">
      <w:pPr>
        <w:pStyle w:val="1"/>
        <w:rPr>
          <w:rFonts w:ascii="Times New Roman" w:hAnsi="Times New Roman" w:cs="Times New Roman"/>
        </w:rPr>
      </w:pPr>
      <w:r w:rsidRPr="00386682">
        <w:rPr>
          <w:rFonts w:ascii="Times New Roman" w:hAnsi="Times New Roman" w:cs="Times New Roman"/>
        </w:rPr>
        <w:t>三、综合评价情况及评价结论</w:t>
      </w:r>
    </w:p>
    <w:p w:rsidR="004D0E42" w:rsidRPr="00386682" w:rsidRDefault="004D0E42" w:rsidP="004D0E42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通过自评，项目总体得分情况见下表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22"/>
        <w:gridCol w:w="1223"/>
        <w:gridCol w:w="1946"/>
        <w:gridCol w:w="2431"/>
        <w:gridCol w:w="737"/>
        <w:gridCol w:w="737"/>
      </w:tblGrid>
      <w:tr w:rsidR="004D0E42" w:rsidRPr="00386682" w:rsidTr="000A1F53">
        <w:trPr>
          <w:cantSplit/>
          <w:trHeight w:val="20"/>
        </w:trPr>
        <w:tc>
          <w:tcPr>
            <w:tcW w:w="737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37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73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明细指标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得分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 w:val="restart"/>
            <w:textDirection w:val="tbRlV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产出</w:t>
            </w:r>
          </w:p>
        </w:tc>
        <w:tc>
          <w:tcPr>
            <w:tcW w:w="737" w:type="pct"/>
            <w:vMerge w:val="restar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项目产出</w:t>
            </w:r>
          </w:p>
        </w:tc>
        <w:tc>
          <w:tcPr>
            <w:tcW w:w="1173" w:type="pct"/>
            <w:vMerge w:val="restar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实际完成率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完成年度投资额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2.9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65" w:type="pct"/>
            <w:vMerge w:val="restar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完成年度建设内容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65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65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实施进度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完成及时率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完成及时率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10.7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成本偏离度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成本偏离度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9.5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Merge w:val="restar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质量达标率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验收通过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质量优良度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5.4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375" w:type="pct"/>
            <w:gridSpan w:val="3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小</w:t>
            </w: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计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67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64.5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 w:val="restart"/>
            <w:textDirection w:val="tbRlV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737" w:type="pct"/>
            <w:vMerge w:val="restart"/>
            <w:vAlign w:val="center"/>
            <w:hideMark/>
          </w:tcPr>
          <w:p w:rsidR="004D0E42" w:rsidRPr="00386682" w:rsidRDefault="004D0E42" w:rsidP="000A1F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决策管理</w:t>
            </w:r>
          </w:p>
        </w:tc>
        <w:tc>
          <w:tcPr>
            <w:tcW w:w="1173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立项规范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立项规范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Merge w:val="restar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立项依据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立项必要性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项目可行性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 w:val="restar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资金管理</w:t>
            </w:r>
          </w:p>
        </w:tc>
        <w:tc>
          <w:tcPr>
            <w:tcW w:w="1173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财务制度健全性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财务制度健全性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资金使用合规性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资金使用合规性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财务监控有效性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财务监控有效性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 w:val="restar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业务管理</w:t>
            </w:r>
          </w:p>
        </w:tc>
        <w:tc>
          <w:tcPr>
            <w:tcW w:w="1173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管理制度健全性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管理制度健全性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9601C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Merge w:val="restar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制度执行有效性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招投标及标后管理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安全管理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合同及工程资料管理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项目质量可控性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项目质量可控性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73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跟踪管理</w:t>
            </w:r>
          </w:p>
        </w:tc>
        <w:tc>
          <w:tcPr>
            <w:tcW w:w="1465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跟踪管理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737" w:type="pct"/>
            <w:vMerge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375" w:type="pct"/>
            <w:gridSpan w:val="3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小</w:t>
            </w: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计</w:t>
            </w:r>
          </w:p>
        </w:tc>
        <w:tc>
          <w:tcPr>
            <w:tcW w:w="444" w:type="pct"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33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  <w:r w:rsidR="00B06871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0.5</w:t>
            </w:r>
          </w:p>
        </w:tc>
      </w:tr>
      <w:tr w:rsidR="004D0E42" w:rsidRPr="00386682" w:rsidTr="000A1F53">
        <w:trPr>
          <w:cantSplit/>
          <w:trHeight w:val="20"/>
        </w:trPr>
        <w:tc>
          <w:tcPr>
            <w:tcW w:w="4112" w:type="pct"/>
            <w:gridSpan w:val="4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合</w:t>
            </w: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计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D0E42" w:rsidP="004D0E4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44" w:type="pct"/>
            <w:noWrap/>
            <w:vAlign w:val="center"/>
            <w:hideMark/>
          </w:tcPr>
          <w:p w:rsidR="004D0E42" w:rsidRPr="00386682" w:rsidRDefault="0049601C" w:rsidP="00B0687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3866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</w:t>
            </w:r>
          </w:p>
        </w:tc>
      </w:tr>
    </w:tbl>
    <w:p w:rsidR="004D0E42" w:rsidRPr="00386682" w:rsidRDefault="004D0E42" w:rsidP="004D0E42">
      <w:pPr>
        <w:ind w:firstLineChars="200" w:firstLine="560"/>
        <w:rPr>
          <w:rFonts w:ascii="Times New Roman" w:hAnsi="Times New Roman" w:cs="Times New Roman"/>
          <w:noProof/>
        </w:rPr>
      </w:pPr>
      <w:r w:rsidRPr="00386682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386682">
        <w:rPr>
          <w:rFonts w:ascii="Times New Roman" w:hAnsi="Times New Roman" w:cs="Times New Roman"/>
          <w:sz w:val="28"/>
          <w:szCs w:val="28"/>
        </w:rPr>
        <w:t>、</w:t>
      </w:r>
      <w:r w:rsidR="0049601C" w:rsidRPr="00386682">
        <w:rPr>
          <w:rFonts w:ascii="Times New Roman" w:hAnsi="Times New Roman" w:cs="Times New Roman"/>
          <w:sz w:val="28"/>
          <w:szCs w:val="28"/>
        </w:rPr>
        <w:t>完成年度投资额：</w:t>
      </w:r>
      <w:r w:rsidRPr="00386682">
        <w:rPr>
          <w:rFonts w:ascii="Times New Roman" w:hAnsi="Times New Roman" w:cs="Times New Roman"/>
          <w:sz w:val="28"/>
          <w:szCs w:val="28"/>
        </w:rPr>
        <w:t>计划投资</w:t>
      </w:r>
      <w:r w:rsidRPr="00386682">
        <w:rPr>
          <w:rFonts w:ascii="Times New Roman" w:hAnsi="Times New Roman" w:cs="Times New Roman"/>
          <w:sz w:val="28"/>
          <w:szCs w:val="28"/>
        </w:rPr>
        <w:t>1000</w:t>
      </w:r>
      <w:r w:rsidRPr="00386682">
        <w:rPr>
          <w:rFonts w:ascii="Times New Roman" w:hAnsi="Times New Roman" w:cs="Times New Roman"/>
          <w:sz w:val="28"/>
          <w:szCs w:val="28"/>
        </w:rPr>
        <w:t>万元，实际</w:t>
      </w:r>
      <w:r w:rsidR="00D44E27" w:rsidRPr="00386682">
        <w:rPr>
          <w:rFonts w:ascii="Times New Roman" w:hAnsi="Times New Roman" w:cs="Times New Roman"/>
          <w:sz w:val="28"/>
          <w:szCs w:val="28"/>
        </w:rPr>
        <w:t>完成投资</w:t>
      </w:r>
      <w:r w:rsidRPr="00386682">
        <w:rPr>
          <w:rFonts w:ascii="Times New Roman" w:hAnsi="Times New Roman" w:cs="Times New Roman"/>
          <w:sz w:val="28"/>
          <w:szCs w:val="28"/>
        </w:rPr>
        <w:t>9513066.65</w:t>
      </w:r>
      <w:r w:rsidRPr="00386682">
        <w:rPr>
          <w:rFonts w:ascii="Times New Roman" w:hAnsi="Times New Roman" w:cs="Times New Roman"/>
          <w:sz w:val="28"/>
          <w:szCs w:val="28"/>
        </w:rPr>
        <w:t>元，扣</w:t>
      </w:r>
      <w:r w:rsidRPr="00386682">
        <w:rPr>
          <w:rFonts w:ascii="Times New Roman" w:hAnsi="Times New Roman" w:cs="Times New Roman"/>
          <w:sz w:val="28"/>
          <w:szCs w:val="28"/>
        </w:rPr>
        <w:t>0.1</w:t>
      </w:r>
      <w:r w:rsidRPr="00386682">
        <w:rPr>
          <w:rFonts w:ascii="Times New Roman" w:hAnsi="Times New Roman" w:cs="Times New Roman"/>
          <w:sz w:val="28"/>
          <w:szCs w:val="28"/>
        </w:rPr>
        <w:t>分，得</w:t>
      </w:r>
      <w:r w:rsidRPr="00386682">
        <w:rPr>
          <w:rFonts w:ascii="Times New Roman" w:hAnsi="Times New Roman" w:cs="Times New Roman"/>
          <w:sz w:val="28"/>
          <w:szCs w:val="28"/>
        </w:rPr>
        <w:t>2.9</w:t>
      </w:r>
      <w:r w:rsidRPr="00386682">
        <w:rPr>
          <w:rFonts w:ascii="Times New Roman" w:hAnsi="Times New Roman" w:cs="Times New Roman"/>
          <w:noProof/>
        </w:rPr>
        <w:t>分；</w:t>
      </w:r>
    </w:p>
    <w:p w:rsidR="004D0E42" w:rsidRPr="00386682" w:rsidRDefault="004D0E42" w:rsidP="004D0E42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2</w:t>
      </w:r>
      <w:r w:rsidRPr="00386682">
        <w:rPr>
          <w:rFonts w:ascii="Times New Roman" w:hAnsi="Times New Roman" w:cs="Times New Roman"/>
          <w:sz w:val="28"/>
          <w:szCs w:val="28"/>
        </w:rPr>
        <w:t>、</w:t>
      </w:r>
      <w:r w:rsidR="0049601C" w:rsidRPr="00386682">
        <w:rPr>
          <w:rFonts w:ascii="Times New Roman" w:hAnsi="Times New Roman" w:cs="Times New Roman"/>
          <w:sz w:val="28"/>
          <w:szCs w:val="28"/>
        </w:rPr>
        <w:t>完成及时率：</w:t>
      </w:r>
      <w:r w:rsidRPr="00386682">
        <w:rPr>
          <w:rFonts w:ascii="Times New Roman" w:hAnsi="Times New Roman" w:cs="Times New Roman"/>
          <w:sz w:val="28"/>
          <w:szCs w:val="28"/>
        </w:rPr>
        <w:t>项目计划工期</w:t>
      </w:r>
      <w:r w:rsidRPr="00386682">
        <w:rPr>
          <w:rFonts w:ascii="Times New Roman" w:hAnsi="Times New Roman" w:cs="Times New Roman"/>
          <w:sz w:val="28"/>
          <w:szCs w:val="28"/>
        </w:rPr>
        <w:t>6</w:t>
      </w:r>
      <w:r w:rsidRPr="00386682">
        <w:rPr>
          <w:rFonts w:ascii="Times New Roman" w:hAnsi="Times New Roman" w:cs="Times New Roman"/>
          <w:sz w:val="28"/>
          <w:szCs w:val="28"/>
        </w:rPr>
        <w:t>个月，实际工期</w:t>
      </w:r>
      <w:r w:rsidRPr="00386682">
        <w:rPr>
          <w:rFonts w:ascii="Times New Roman" w:hAnsi="Times New Roman" w:cs="Times New Roman"/>
          <w:sz w:val="28"/>
          <w:szCs w:val="28"/>
        </w:rPr>
        <w:t>7</w:t>
      </w:r>
      <w:r w:rsidRPr="00386682">
        <w:rPr>
          <w:rFonts w:ascii="Times New Roman" w:hAnsi="Times New Roman" w:cs="Times New Roman"/>
          <w:sz w:val="28"/>
          <w:szCs w:val="28"/>
        </w:rPr>
        <w:t>个月，扣</w:t>
      </w:r>
      <w:r w:rsidRPr="00386682">
        <w:rPr>
          <w:rFonts w:ascii="Times New Roman" w:hAnsi="Times New Roman" w:cs="Times New Roman"/>
          <w:sz w:val="28"/>
          <w:szCs w:val="28"/>
        </w:rPr>
        <w:t>1.3</w:t>
      </w:r>
      <w:r w:rsidRPr="00386682">
        <w:rPr>
          <w:rFonts w:ascii="Times New Roman" w:hAnsi="Times New Roman" w:cs="Times New Roman"/>
          <w:sz w:val="28"/>
          <w:szCs w:val="28"/>
        </w:rPr>
        <w:t>分，得</w:t>
      </w:r>
      <w:r w:rsidRPr="00386682">
        <w:rPr>
          <w:rFonts w:ascii="Times New Roman" w:hAnsi="Times New Roman" w:cs="Times New Roman"/>
          <w:sz w:val="28"/>
          <w:szCs w:val="28"/>
        </w:rPr>
        <w:t>10.7</w:t>
      </w:r>
      <w:r w:rsidRPr="00386682">
        <w:rPr>
          <w:rFonts w:ascii="Times New Roman" w:hAnsi="Times New Roman" w:cs="Times New Roman"/>
          <w:sz w:val="28"/>
          <w:szCs w:val="28"/>
        </w:rPr>
        <w:t>分；</w:t>
      </w:r>
    </w:p>
    <w:p w:rsidR="004D0E42" w:rsidRPr="00386682" w:rsidRDefault="004D0E42" w:rsidP="004D0E42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3</w:t>
      </w:r>
      <w:r w:rsidRPr="00386682">
        <w:rPr>
          <w:rFonts w:ascii="Times New Roman" w:hAnsi="Times New Roman" w:cs="Times New Roman"/>
          <w:sz w:val="28"/>
          <w:szCs w:val="28"/>
        </w:rPr>
        <w:t>、</w:t>
      </w:r>
      <w:r w:rsidR="0049601C" w:rsidRPr="00386682">
        <w:rPr>
          <w:rFonts w:ascii="Times New Roman" w:hAnsi="Times New Roman" w:cs="Times New Roman"/>
          <w:sz w:val="28"/>
          <w:szCs w:val="28"/>
        </w:rPr>
        <w:t>成本偏离度：</w:t>
      </w:r>
      <w:r w:rsidRPr="00386682">
        <w:rPr>
          <w:rFonts w:ascii="Times New Roman" w:hAnsi="Times New Roman" w:cs="Times New Roman"/>
          <w:sz w:val="28"/>
          <w:szCs w:val="28"/>
        </w:rPr>
        <w:t>计划投资</w:t>
      </w:r>
      <w:r w:rsidRPr="00386682">
        <w:rPr>
          <w:rFonts w:ascii="Times New Roman" w:hAnsi="Times New Roman" w:cs="Times New Roman"/>
          <w:sz w:val="28"/>
          <w:szCs w:val="28"/>
        </w:rPr>
        <w:t>1000</w:t>
      </w:r>
      <w:r w:rsidRPr="00386682">
        <w:rPr>
          <w:rFonts w:ascii="Times New Roman" w:hAnsi="Times New Roman" w:cs="Times New Roman"/>
          <w:sz w:val="28"/>
          <w:szCs w:val="28"/>
        </w:rPr>
        <w:t>万元，实际</w:t>
      </w:r>
      <w:r w:rsidR="00D44E27" w:rsidRPr="00386682">
        <w:rPr>
          <w:rFonts w:ascii="Times New Roman" w:hAnsi="Times New Roman" w:cs="Times New Roman"/>
          <w:sz w:val="28"/>
          <w:szCs w:val="28"/>
        </w:rPr>
        <w:t>完成投资</w:t>
      </w:r>
      <w:r w:rsidRPr="00386682">
        <w:rPr>
          <w:rFonts w:ascii="Times New Roman" w:hAnsi="Times New Roman" w:cs="Times New Roman"/>
          <w:sz w:val="28"/>
          <w:szCs w:val="28"/>
        </w:rPr>
        <w:t>9513066.65</w:t>
      </w:r>
      <w:r w:rsidRPr="00386682">
        <w:rPr>
          <w:rFonts w:ascii="Times New Roman" w:hAnsi="Times New Roman" w:cs="Times New Roman"/>
          <w:sz w:val="28"/>
          <w:szCs w:val="28"/>
        </w:rPr>
        <w:t>万元，扣</w:t>
      </w:r>
      <w:r w:rsidRPr="00386682">
        <w:rPr>
          <w:rFonts w:ascii="Times New Roman" w:hAnsi="Times New Roman" w:cs="Times New Roman"/>
          <w:sz w:val="28"/>
          <w:szCs w:val="28"/>
        </w:rPr>
        <w:t>0.5</w:t>
      </w:r>
      <w:r w:rsidRPr="00386682">
        <w:rPr>
          <w:rFonts w:ascii="Times New Roman" w:hAnsi="Times New Roman" w:cs="Times New Roman"/>
          <w:sz w:val="28"/>
          <w:szCs w:val="28"/>
        </w:rPr>
        <w:t>分，得</w:t>
      </w:r>
      <w:r w:rsidRPr="00386682">
        <w:rPr>
          <w:rFonts w:ascii="Times New Roman" w:hAnsi="Times New Roman" w:cs="Times New Roman"/>
          <w:sz w:val="28"/>
          <w:szCs w:val="28"/>
        </w:rPr>
        <w:t>9.5</w:t>
      </w:r>
      <w:r w:rsidRPr="00386682">
        <w:rPr>
          <w:rFonts w:ascii="Times New Roman" w:hAnsi="Times New Roman" w:cs="Times New Roman"/>
          <w:sz w:val="28"/>
          <w:szCs w:val="28"/>
        </w:rPr>
        <w:t>分；</w:t>
      </w:r>
    </w:p>
    <w:p w:rsidR="000934BE" w:rsidRPr="00386682" w:rsidRDefault="004D0E42" w:rsidP="004D0E42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4</w:t>
      </w:r>
      <w:r w:rsidRPr="00386682">
        <w:rPr>
          <w:rFonts w:ascii="Times New Roman" w:hAnsi="Times New Roman" w:cs="Times New Roman"/>
          <w:sz w:val="28"/>
          <w:szCs w:val="28"/>
        </w:rPr>
        <w:t>、项目验收为质量合格，扣</w:t>
      </w:r>
      <w:r w:rsidRPr="00386682">
        <w:rPr>
          <w:rFonts w:ascii="Times New Roman" w:hAnsi="Times New Roman" w:cs="Times New Roman"/>
          <w:sz w:val="28"/>
          <w:szCs w:val="28"/>
        </w:rPr>
        <w:t>0.6</w:t>
      </w:r>
      <w:r w:rsidRPr="00386682">
        <w:rPr>
          <w:rFonts w:ascii="Times New Roman" w:hAnsi="Times New Roman" w:cs="Times New Roman"/>
          <w:sz w:val="28"/>
          <w:szCs w:val="28"/>
        </w:rPr>
        <w:t>分，得</w:t>
      </w:r>
      <w:r w:rsidRPr="00386682">
        <w:rPr>
          <w:rFonts w:ascii="Times New Roman" w:hAnsi="Times New Roman" w:cs="Times New Roman"/>
          <w:sz w:val="28"/>
          <w:szCs w:val="28"/>
        </w:rPr>
        <w:t>5.4</w:t>
      </w:r>
      <w:r w:rsidRPr="00386682">
        <w:rPr>
          <w:rFonts w:ascii="Times New Roman" w:hAnsi="Times New Roman" w:cs="Times New Roman"/>
          <w:sz w:val="28"/>
          <w:szCs w:val="28"/>
        </w:rPr>
        <w:t>分；</w:t>
      </w:r>
    </w:p>
    <w:p w:rsidR="00F4030A" w:rsidRPr="00386682" w:rsidRDefault="00F4030A" w:rsidP="004D0E42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5</w:t>
      </w:r>
      <w:r w:rsidRPr="00386682">
        <w:rPr>
          <w:rFonts w:ascii="Times New Roman" w:hAnsi="Times New Roman" w:cs="Times New Roman"/>
          <w:sz w:val="28"/>
          <w:szCs w:val="28"/>
        </w:rPr>
        <w:t>、</w:t>
      </w:r>
      <w:r w:rsidR="0049601C" w:rsidRPr="00386682">
        <w:rPr>
          <w:rFonts w:ascii="Times New Roman" w:hAnsi="Times New Roman" w:cs="Times New Roman"/>
          <w:sz w:val="28"/>
          <w:szCs w:val="28"/>
        </w:rPr>
        <w:t>管理制度健全：</w:t>
      </w:r>
      <w:r w:rsidRPr="00386682">
        <w:rPr>
          <w:rFonts w:ascii="Times New Roman" w:hAnsi="Times New Roman" w:cs="Times New Roman"/>
          <w:sz w:val="28"/>
          <w:szCs w:val="28"/>
        </w:rPr>
        <w:t>制定了项目申报管理制度、检查验收制度、档案管理制度，但执行存在不到位，档案资料不齐全等情况，扣</w:t>
      </w:r>
      <w:r w:rsidRPr="00386682">
        <w:rPr>
          <w:rFonts w:ascii="Times New Roman" w:hAnsi="Times New Roman" w:cs="Times New Roman"/>
          <w:sz w:val="28"/>
          <w:szCs w:val="28"/>
        </w:rPr>
        <w:t>0.5</w:t>
      </w:r>
      <w:r w:rsidRPr="00386682">
        <w:rPr>
          <w:rFonts w:ascii="Times New Roman" w:hAnsi="Times New Roman" w:cs="Times New Roman"/>
          <w:sz w:val="28"/>
          <w:szCs w:val="28"/>
        </w:rPr>
        <w:t>分，得</w:t>
      </w:r>
      <w:r w:rsidRPr="00386682">
        <w:rPr>
          <w:rFonts w:ascii="Times New Roman" w:hAnsi="Times New Roman" w:cs="Times New Roman"/>
          <w:sz w:val="28"/>
          <w:szCs w:val="28"/>
        </w:rPr>
        <w:t>1.5</w:t>
      </w:r>
      <w:r w:rsidRPr="00386682">
        <w:rPr>
          <w:rFonts w:ascii="Times New Roman" w:hAnsi="Times New Roman" w:cs="Times New Roman"/>
          <w:sz w:val="28"/>
          <w:szCs w:val="28"/>
        </w:rPr>
        <w:t>分；</w:t>
      </w:r>
    </w:p>
    <w:p w:rsidR="004D0E42" w:rsidRPr="00386682" w:rsidRDefault="00F4030A" w:rsidP="004D0E42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6</w:t>
      </w:r>
      <w:r w:rsidR="004D0E42" w:rsidRPr="00386682">
        <w:rPr>
          <w:rFonts w:ascii="Times New Roman" w:hAnsi="Times New Roman" w:cs="Times New Roman"/>
          <w:sz w:val="28"/>
          <w:szCs w:val="28"/>
        </w:rPr>
        <w:t>、</w:t>
      </w:r>
      <w:r w:rsidR="0049601C" w:rsidRPr="00386682">
        <w:rPr>
          <w:rFonts w:ascii="Times New Roman" w:hAnsi="Times New Roman" w:cs="Times New Roman"/>
          <w:sz w:val="28"/>
          <w:szCs w:val="28"/>
        </w:rPr>
        <w:t>项目质量可控性：</w:t>
      </w:r>
      <w:r w:rsidR="004D0E42" w:rsidRPr="00386682">
        <w:rPr>
          <w:rFonts w:ascii="Times New Roman" w:hAnsi="Times New Roman" w:cs="Times New Roman"/>
          <w:sz w:val="28"/>
          <w:szCs w:val="28"/>
        </w:rPr>
        <w:t>项目质量控制工作基本到位，酌情扣</w:t>
      </w:r>
      <w:r w:rsidR="004D0E42" w:rsidRPr="00386682">
        <w:rPr>
          <w:rFonts w:ascii="Times New Roman" w:hAnsi="Times New Roman" w:cs="Times New Roman"/>
          <w:sz w:val="28"/>
          <w:szCs w:val="28"/>
        </w:rPr>
        <w:t>1</w:t>
      </w:r>
      <w:r w:rsidR="004D0E42" w:rsidRPr="00386682">
        <w:rPr>
          <w:rFonts w:ascii="Times New Roman" w:hAnsi="Times New Roman" w:cs="Times New Roman"/>
          <w:sz w:val="28"/>
          <w:szCs w:val="28"/>
        </w:rPr>
        <w:t>分，得</w:t>
      </w:r>
      <w:r w:rsidR="004D0E42" w:rsidRPr="00386682">
        <w:rPr>
          <w:rFonts w:ascii="Times New Roman" w:hAnsi="Times New Roman" w:cs="Times New Roman"/>
          <w:sz w:val="28"/>
          <w:szCs w:val="28"/>
        </w:rPr>
        <w:t>3</w:t>
      </w:r>
      <w:r w:rsidR="004D0E42" w:rsidRPr="00386682">
        <w:rPr>
          <w:rFonts w:ascii="Times New Roman" w:hAnsi="Times New Roman" w:cs="Times New Roman"/>
          <w:sz w:val="28"/>
          <w:szCs w:val="28"/>
        </w:rPr>
        <w:t>分；</w:t>
      </w:r>
    </w:p>
    <w:p w:rsidR="004D0E42" w:rsidRPr="00386682" w:rsidRDefault="00F4030A" w:rsidP="004D0E42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7</w:t>
      </w:r>
      <w:r w:rsidR="004D0E42" w:rsidRPr="00386682">
        <w:rPr>
          <w:rFonts w:ascii="Times New Roman" w:hAnsi="Times New Roman" w:cs="Times New Roman"/>
          <w:sz w:val="28"/>
          <w:szCs w:val="28"/>
        </w:rPr>
        <w:t>、</w:t>
      </w:r>
      <w:r w:rsidR="0049601C" w:rsidRPr="00386682">
        <w:rPr>
          <w:rFonts w:ascii="Times New Roman" w:hAnsi="Times New Roman" w:cs="Times New Roman"/>
          <w:sz w:val="28"/>
          <w:szCs w:val="28"/>
        </w:rPr>
        <w:t>跟踪管理：</w:t>
      </w:r>
      <w:r w:rsidR="004D0E42" w:rsidRPr="00386682">
        <w:rPr>
          <w:rFonts w:ascii="Times New Roman" w:hAnsi="Times New Roman" w:cs="Times New Roman"/>
          <w:sz w:val="28"/>
          <w:szCs w:val="28"/>
        </w:rPr>
        <w:t>项目有专人跟踪管理，</w:t>
      </w:r>
      <w:r w:rsidRPr="00386682">
        <w:rPr>
          <w:rFonts w:ascii="Times New Roman" w:hAnsi="Times New Roman" w:cs="Times New Roman"/>
          <w:sz w:val="28"/>
          <w:szCs w:val="28"/>
        </w:rPr>
        <w:t>有跟踪记录，但不完整，扣</w:t>
      </w:r>
      <w:r w:rsidRPr="00386682">
        <w:rPr>
          <w:rFonts w:ascii="Times New Roman" w:hAnsi="Times New Roman" w:cs="Times New Roman"/>
          <w:sz w:val="28"/>
          <w:szCs w:val="28"/>
        </w:rPr>
        <w:t>1</w:t>
      </w:r>
      <w:r w:rsidRPr="00386682">
        <w:rPr>
          <w:rFonts w:ascii="Times New Roman" w:hAnsi="Times New Roman" w:cs="Times New Roman"/>
          <w:sz w:val="28"/>
          <w:szCs w:val="28"/>
        </w:rPr>
        <w:t>分，得</w:t>
      </w:r>
      <w:r w:rsidRPr="00386682">
        <w:rPr>
          <w:rFonts w:ascii="Times New Roman" w:hAnsi="Times New Roman" w:cs="Times New Roman"/>
          <w:sz w:val="28"/>
          <w:szCs w:val="28"/>
        </w:rPr>
        <w:t>3</w:t>
      </w:r>
      <w:r w:rsidRPr="00386682">
        <w:rPr>
          <w:rFonts w:ascii="Times New Roman" w:hAnsi="Times New Roman" w:cs="Times New Roman"/>
          <w:sz w:val="28"/>
          <w:szCs w:val="28"/>
        </w:rPr>
        <w:t>分；</w:t>
      </w:r>
    </w:p>
    <w:p w:rsidR="00F4030A" w:rsidRPr="00386682" w:rsidRDefault="00F4030A" w:rsidP="004D0E42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合计得分：</w:t>
      </w:r>
      <w:r w:rsidRPr="00386682">
        <w:rPr>
          <w:rFonts w:ascii="Times New Roman" w:hAnsi="Times New Roman" w:cs="Times New Roman"/>
          <w:sz w:val="28"/>
          <w:szCs w:val="28"/>
        </w:rPr>
        <w:t>95</w:t>
      </w:r>
      <w:r w:rsidRPr="00386682">
        <w:rPr>
          <w:rFonts w:ascii="Times New Roman" w:hAnsi="Times New Roman" w:cs="Times New Roman"/>
          <w:sz w:val="28"/>
          <w:szCs w:val="28"/>
        </w:rPr>
        <w:t>分。</w:t>
      </w:r>
    </w:p>
    <w:p w:rsidR="000934BE" w:rsidRPr="00386682" w:rsidRDefault="000934BE" w:rsidP="000934BE">
      <w:pPr>
        <w:pStyle w:val="1"/>
        <w:rPr>
          <w:rFonts w:ascii="Times New Roman" w:hAnsi="Times New Roman" w:cs="Times New Roman"/>
        </w:rPr>
      </w:pPr>
      <w:r w:rsidRPr="00386682">
        <w:rPr>
          <w:rFonts w:ascii="Times New Roman" w:hAnsi="Times New Roman" w:cs="Times New Roman"/>
        </w:rPr>
        <w:t>四、项目资金和组织管理情况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（一）项目资金情况分析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1</w:t>
      </w:r>
      <w:r w:rsidRPr="00386682">
        <w:rPr>
          <w:rFonts w:ascii="Times New Roman" w:hAnsi="Times New Roman" w:cs="Times New Roman"/>
          <w:sz w:val="28"/>
          <w:szCs w:val="28"/>
        </w:rPr>
        <w:t>、项目资金安排落实、总投资等情况分析</w:t>
      </w:r>
    </w:p>
    <w:p w:rsidR="00F4030A" w:rsidRPr="00386682" w:rsidRDefault="00F4030A" w:rsidP="00F4030A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项目资金由渝中区财政局进行预算批复，实际完成投资额</w:t>
      </w:r>
      <w:r w:rsidRPr="00386682">
        <w:rPr>
          <w:rFonts w:ascii="Times New Roman" w:hAnsi="Times New Roman" w:cs="Times New Roman"/>
          <w:sz w:val="28"/>
          <w:szCs w:val="28"/>
        </w:rPr>
        <w:t>9513066.65</w:t>
      </w:r>
      <w:r w:rsidRPr="00386682">
        <w:rPr>
          <w:rFonts w:ascii="Times New Roman" w:hAnsi="Times New Roman" w:cs="Times New Roman"/>
          <w:sz w:val="28"/>
          <w:szCs w:val="28"/>
        </w:rPr>
        <w:t>元。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2</w:t>
      </w:r>
      <w:r w:rsidRPr="00386682">
        <w:rPr>
          <w:rFonts w:ascii="Times New Roman" w:hAnsi="Times New Roman" w:cs="Times New Roman"/>
          <w:sz w:val="28"/>
          <w:szCs w:val="28"/>
        </w:rPr>
        <w:t>、项目资金实际</w:t>
      </w:r>
      <w:r w:rsidR="009E1C56" w:rsidRPr="00386682">
        <w:rPr>
          <w:rFonts w:ascii="Times New Roman" w:hAnsi="Times New Roman" w:cs="Times New Roman"/>
          <w:sz w:val="28"/>
          <w:szCs w:val="28"/>
        </w:rPr>
        <w:t>使用情况分析</w:t>
      </w:r>
    </w:p>
    <w:p w:rsidR="000934BE" w:rsidRPr="00386682" w:rsidRDefault="009E1C56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项目资金按原计划使用，不存在挤占挪用等情况。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386682">
        <w:rPr>
          <w:rFonts w:ascii="Times New Roman" w:hAnsi="Times New Roman" w:cs="Times New Roman"/>
          <w:sz w:val="28"/>
          <w:szCs w:val="28"/>
        </w:rPr>
        <w:t>、项目资金管理情况。</w:t>
      </w:r>
    </w:p>
    <w:p w:rsidR="000934BE" w:rsidRPr="00386682" w:rsidRDefault="009E1C56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项目资金使用符合相关的财务管理制度规定，资金支出真实，不存在截留、挤占、虚列支出等情况。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（二）项目组织情况分析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1</w:t>
      </w:r>
      <w:r w:rsidRPr="00386682">
        <w:rPr>
          <w:rFonts w:ascii="Times New Roman" w:hAnsi="Times New Roman" w:cs="Times New Roman"/>
          <w:sz w:val="28"/>
          <w:szCs w:val="28"/>
        </w:rPr>
        <w:t>、项目组织情况</w:t>
      </w:r>
    </w:p>
    <w:p w:rsidR="009E1C56" w:rsidRPr="00386682" w:rsidRDefault="009E1C56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项目按基本建设制度和程序开展，街道成立领导小组，社区抽调专门人员负责项目实施，定期汇报，及时纠偏，确保项目按计划实施。</w:t>
      </w:r>
    </w:p>
    <w:p w:rsidR="000934BE" w:rsidRPr="00386682" w:rsidRDefault="000934BE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2</w:t>
      </w:r>
      <w:r w:rsidRPr="00386682">
        <w:rPr>
          <w:rFonts w:ascii="Times New Roman" w:hAnsi="Times New Roman" w:cs="Times New Roman"/>
          <w:sz w:val="28"/>
          <w:szCs w:val="28"/>
        </w:rPr>
        <w:t>、项目管理情况</w:t>
      </w:r>
    </w:p>
    <w:p w:rsidR="009E1C56" w:rsidRPr="00386682" w:rsidRDefault="009E1C56" w:rsidP="000934BE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86682">
        <w:rPr>
          <w:rFonts w:ascii="Times New Roman" w:hAnsi="Times New Roman" w:cs="Times New Roman"/>
          <w:sz w:val="28"/>
          <w:szCs w:val="28"/>
        </w:rPr>
        <w:t>项目严格实行进度管理、质量管理和资金预算管理，严格实行招投标，及时跟踪，管理到位。</w:t>
      </w:r>
    </w:p>
    <w:p w:rsidR="000934BE" w:rsidRPr="00386682" w:rsidRDefault="000934BE" w:rsidP="000934BE">
      <w:pPr>
        <w:pStyle w:val="1"/>
        <w:rPr>
          <w:rFonts w:ascii="Times New Roman" w:hAnsi="Times New Roman" w:cs="Times New Roman"/>
        </w:rPr>
      </w:pPr>
      <w:r w:rsidRPr="00386682">
        <w:rPr>
          <w:rFonts w:ascii="Times New Roman" w:hAnsi="Times New Roman" w:cs="Times New Roman"/>
        </w:rPr>
        <w:t>五、主要经验及做法、存在的问题和建议</w:t>
      </w:r>
    </w:p>
    <w:p w:rsidR="00632060" w:rsidRPr="00632060" w:rsidRDefault="00632060" w:rsidP="00632060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632060">
        <w:rPr>
          <w:rFonts w:ascii="Times New Roman" w:hAnsi="Times New Roman" w:cs="Times New Roman" w:hint="eastAsia"/>
          <w:sz w:val="28"/>
          <w:szCs w:val="28"/>
        </w:rPr>
        <w:t>主要经验及做法</w:t>
      </w:r>
    </w:p>
    <w:p w:rsidR="00632060" w:rsidRPr="00632060" w:rsidRDefault="00632060" w:rsidP="00632060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632060">
        <w:rPr>
          <w:rFonts w:ascii="Times New Roman" w:hAnsi="Times New Roman" w:cs="Times New Roman" w:hint="eastAsia"/>
          <w:sz w:val="28"/>
          <w:szCs w:val="28"/>
        </w:rPr>
        <w:t>严格按照投资项目管理办法开展项目的实施和监督管理工作，制定相关制度、加强资金管理、组织领导班子、落实责任人员、定期检查、及时反馈、确保项目按计划实施。</w:t>
      </w:r>
    </w:p>
    <w:p w:rsidR="00632060" w:rsidRPr="00632060" w:rsidRDefault="00632060" w:rsidP="00632060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632060">
        <w:rPr>
          <w:rFonts w:ascii="Times New Roman" w:hAnsi="Times New Roman" w:cs="Times New Roman" w:hint="eastAsia"/>
          <w:sz w:val="28"/>
          <w:szCs w:val="28"/>
        </w:rPr>
        <w:t>存在的问题</w:t>
      </w:r>
    </w:p>
    <w:p w:rsidR="000934BE" w:rsidRPr="00632060" w:rsidRDefault="00632060" w:rsidP="00632060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632060">
        <w:rPr>
          <w:rFonts w:ascii="Times New Roman" w:hAnsi="Times New Roman" w:cs="Times New Roman" w:hint="eastAsia"/>
          <w:sz w:val="28"/>
          <w:szCs w:val="28"/>
        </w:rPr>
        <w:t>在项目实施过程中，我们由于人员、精力和时间的限制，还存在资料归档不及时、档案装订不规范、规范和制度不完整</w:t>
      </w:r>
      <w:r w:rsidR="00B06871">
        <w:rPr>
          <w:rFonts w:ascii="Times New Roman" w:hAnsi="Times New Roman" w:cs="Times New Roman" w:hint="eastAsia"/>
          <w:sz w:val="28"/>
          <w:szCs w:val="28"/>
        </w:rPr>
        <w:t>、</w:t>
      </w:r>
      <w:r w:rsidR="00B06871">
        <w:rPr>
          <w:rFonts w:ascii="Times New Roman" w:hAnsi="Times New Roman" w:cs="Times New Roman"/>
          <w:sz w:val="28"/>
          <w:szCs w:val="28"/>
        </w:rPr>
        <w:t>跟踪记录不完整</w:t>
      </w:r>
      <w:r w:rsidRPr="00632060">
        <w:rPr>
          <w:rFonts w:ascii="Times New Roman" w:hAnsi="Times New Roman" w:cs="Times New Roman" w:hint="eastAsia"/>
          <w:sz w:val="28"/>
          <w:szCs w:val="28"/>
        </w:rPr>
        <w:t>等问题，我们将在以后工作中逐步规范和完善，让项目管理工作更上一层楼。</w:t>
      </w:r>
    </w:p>
    <w:p w:rsidR="000934BE" w:rsidRPr="00386682" w:rsidRDefault="000934BE" w:rsidP="000934BE">
      <w:pPr>
        <w:pStyle w:val="1"/>
        <w:rPr>
          <w:rFonts w:ascii="Times New Roman" w:hAnsi="Times New Roman" w:cs="Times New Roman"/>
        </w:rPr>
      </w:pPr>
      <w:r w:rsidRPr="00386682">
        <w:rPr>
          <w:rFonts w:ascii="Times New Roman" w:hAnsi="Times New Roman" w:cs="Times New Roman"/>
        </w:rPr>
        <w:t>六、其它需说明的问题</w:t>
      </w:r>
      <w:bookmarkStart w:id="0" w:name="_GoBack"/>
      <w:bookmarkEnd w:id="0"/>
    </w:p>
    <w:p w:rsidR="0043663C" w:rsidRPr="00386682" w:rsidRDefault="0043663C" w:rsidP="007201AC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sectPr w:rsidR="0043663C" w:rsidRPr="003866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5BB" w:rsidRDefault="003905BB" w:rsidP="00C40D1D">
      <w:r>
        <w:separator/>
      </w:r>
    </w:p>
  </w:endnote>
  <w:endnote w:type="continuationSeparator" w:id="0">
    <w:p w:rsidR="003905BB" w:rsidRDefault="003905BB" w:rsidP="00C4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5BB" w:rsidRDefault="003905BB" w:rsidP="00C40D1D">
      <w:r>
        <w:separator/>
      </w:r>
    </w:p>
  </w:footnote>
  <w:footnote w:type="continuationSeparator" w:id="0">
    <w:p w:rsidR="003905BB" w:rsidRDefault="003905BB" w:rsidP="00C40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3A"/>
    <w:rsid w:val="000934BE"/>
    <w:rsid w:val="000A1F53"/>
    <w:rsid w:val="00202BB3"/>
    <w:rsid w:val="00386682"/>
    <w:rsid w:val="003905BB"/>
    <w:rsid w:val="0043663C"/>
    <w:rsid w:val="00470D0A"/>
    <w:rsid w:val="0049601C"/>
    <w:rsid w:val="004D0E42"/>
    <w:rsid w:val="00557CCF"/>
    <w:rsid w:val="00567F86"/>
    <w:rsid w:val="00632060"/>
    <w:rsid w:val="006F223A"/>
    <w:rsid w:val="007201AC"/>
    <w:rsid w:val="00843EA5"/>
    <w:rsid w:val="009E1C56"/>
    <w:rsid w:val="00B06871"/>
    <w:rsid w:val="00C40D1D"/>
    <w:rsid w:val="00C656CB"/>
    <w:rsid w:val="00D44E27"/>
    <w:rsid w:val="00D63AFE"/>
    <w:rsid w:val="00F4030A"/>
    <w:rsid w:val="00FB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074BD5-1FF4-4FAB-AD46-D260D305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4B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934BE"/>
    <w:pPr>
      <w:keepNext/>
      <w:keepLines/>
      <w:jc w:val="left"/>
      <w:outlineLvl w:val="0"/>
    </w:pPr>
    <w:rPr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934BE"/>
    <w:rPr>
      <w:b/>
      <w:bCs/>
      <w:kern w:val="44"/>
      <w:sz w:val="30"/>
      <w:szCs w:val="44"/>
    </w:rPr>
  </w:style>
  <w:style w:type="table" w:styleId="a3">
    <w:name w:val="Table Grid"/>
    <w:basedOn w:val="a1"/>
    <w:uiPriority w:val="39"/>
    <w:rsid w:val="004D0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40D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40D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40D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40D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sogou.com/lemma/ShowInnerLink.htm?lemmaId=72701396&amp;ss_c=ssc.citiao.lin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305</Words>
  <Characters>1741</Characters>
  <Application>Microsoft Office Word</Application>
  <DocSecurity>0</DocSecurity>
  <Lines>14</Lines>
  <Paragraphs>4</Paragraphs>
  <ScaleCrop>false</ScaleCrop>
  <Company>Home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10</cp:revision>
  <dcterms:created xsi:type="dcterms:W3CDTF">2020-04-15T07:11:00Z</dcterms:created>
  <dcterms:modified xsi:type="dcterms:W3CDTF">2020-04-16T07:46:00Z</dcterms:modified>
</cp:coreProperties>
</file>