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95657">
      <w:pPr>
        <w:pStyle w:val="1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0" w:name="_top"/>
      <w:bookmarkEnd w:id="0"/>
      <w:bookmarkStart w:id="1" w:name="_Hlk37239649"/>
      <w:bookmarkEnd w:id="1"/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1</w:t>
      </w:r>
      <w:bookmarkStart w:id="2" w:name="_GoBack"/>
      <w:bookmarkEnd w:id="2"/>
    </w:p>
    <w:p w14:paraId="3B4E9E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firstLine="2503" w:firstLineChars="569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u w:val="none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u w:val="none"/>
        </w:rPr>
        <w:t>渝中区202</w:t>
      </w:r>
      <w:r>
        <w:rPr>
          <w:rFonts w:hint="eastAsia" w:ascii="Times New Roman" w:hAnsi="Times New Roman" w:eastAsia="方正小标宋_GBK" w:cs="Times New Roman"/>
          <w:sz w:val="44"/>
          <w:szCs w:val="44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u w:val="none"/>
        </w:rPr>
        <w:t>年一般公共预算收支调整预算表</w:t>
      </w:r>
    </w:p>
    <w:p w14:paraId="111E3C8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40" w:firstLineChars="100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  <w:lang w:val="en-US" w:eastAsia="zh-CN"/>
        </w:rPr>
        <w:t xml:space="preserve">                                                     </w:t>
      </w:r>
      <w:r>
        <w:rPr>
          <w:rFonts w:hint="eastAsia" w:ascii="方正小标宋_GBK" w:hAnsi="方正小标宋_GBK" w:eastAsia="方正小标宋_GBK" w:cs="方正小标宋_GBK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4"/>
          <w:szCs w:val="24"/>
          <w:u w:val="none"/>
          <w:lang w:val="en-US" w:eastAsia="zh-CN"/>
        </w:rPr>
        <w:t xml:space="preserve">   单位：万元</w:t>
      </w:r>
    </w:p>
    <w:tbl>
      <w:tblPr>
        <w:tblStyle w:val="14"/>
        <w:tblW w:w="14750" w:type="dxa"/>
        <w:tblInd w:w="-4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1637"/>
        <w:gridCol w:w="1438"/>
        <w:gridCol w:w="1462"/>
        <w:gridCol w:w="3125"/>
        <w:gridCol w:w="1625"/>
        <w:gridCol w:w="1488"/>
        <w:gridCol w:w="1600"/>
      </w:tblGrid>
      <w:tr w14:paraId="6D136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23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C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  入</w:t>
            </w: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C5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6F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增减额</w:t>
            </w:r>
          </w:p>
        </w:tc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2D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</w:t>
            </w:r>
          </w:p>
          <w:p w14:paraId="0AAB7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3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F0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  出</w:t>
            </w:r>
          </w:p>
        </w:tc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C8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F3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增减额</w:t>
            </w:r>
          </w:p>
        </w:tc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08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</w:t>
            </w:r>
          </w:p>
          <w:p w14:paraId="06371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</w:tr>
      <w:tr w14:paraId="7DBE1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FE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88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6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B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74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A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9F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2F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38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7E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  计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6D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1,044,684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BA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 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DF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1,062,684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94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  计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34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1,044,684 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43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 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29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1,062,684 </w:t>
            </w:r>
          </w:p>
        </w:tc>
      </w:tr>
      <w:tr w14:paraId="4E28D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4E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本级收入合计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F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541,000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B1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7C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541,000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B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本级支出合计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BC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948,004 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07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E3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948,004 </w:t>
            </w:r>
          </w:p>
        </w:tc>
      </w:tr>
      <w:tr w14:paraId="57FB1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D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一、税收收入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A8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341,000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47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AE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341,000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A5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一般公共服务支出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77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92,504 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0F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A0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92,504 </w:t>
            </w:r>
          </w:p>
        </w:tc>
      </w:tr>
      <w:tr w14:paraId="7C1D9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CA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增值税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CA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108,500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68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E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108,500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C2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二、国防支出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8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8,341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3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8,341 </w:t>
            </w:r>
          </w:p>
        </w:tc>
      </w:tr>
      <w:tr w14:paraId="6127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11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企业所得税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88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48,700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F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E2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48,700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C4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三、公共安全支出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AE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88,858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0C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67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88,858 </w:t>
            </w:r>
          </w:p>
        </w:tc>
      </w:tr>
      <w:tr w14:paraId="4F65E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B9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个人所得税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8D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32,700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E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8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32,700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D9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四、教育支出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58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185,413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EA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60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185,413 </w:t>
            </w:r>
          </w:p>
        </w:tc>
      </w:tr>
      <w:tr w14:paraId="18229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F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城市维护建设税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C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17,900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7B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4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17,900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7B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五、科学技术支出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4B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5,132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03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43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5,132 </w:t>
            </w:r>
          </w:p>
        </w:tc>
      </w:tr>
      <w:tr w14:paraId="4300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00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房产税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C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30,600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8B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AE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30,600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8A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六、文化旅游体育与传媒支出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30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7,297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C5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FB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7,297 </w:t>
            </w:r>
          </w:p>
        </w:tc>
      </w:tr>
      <w:tr w14:paraId="3829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83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印花税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13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27,000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E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ED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53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七、社会保障和就业支出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15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194,124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50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5E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194,124 </w:t>
            </w:r>
          </w:p>
        </w:tc>
      </w:tr>
      <w:tr w14:paraId="5DCF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62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城镇土地使用税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F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5,400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A5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E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5,400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9B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八、卫生健康支出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C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60,167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B5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4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60,167 </w:t>
            </w:r>
          </w:p>
        </w:tc>
      </w:tr>
      <w:tr w14:paraId="3C87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60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土地增值税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E3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39,300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CF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19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39,300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8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九、节能环保支出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FD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4,464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87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6F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4,464 </w:t>
            </w:r>
          </w:p>
        </w:tc>
      </w:tr>
      <w:tr w14:paraId="5605C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6F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契</w:t>
            </w:r>
            <w:r>
              <w:rPr>
                <w:rStyle w:val="33"/>
                <w:rFonts w:hint="default" w:ascii="Times New Roman" w:hAnsi="Times New Roman" w:cs="Times New Roman"/>
                <w:spacing w:val="-6"/>
                <w:sz w:val="21"/>
                <w:lang w:val="en-US" w:eastAsia="zh-CN" w:bidi="ar"/>
              </w:rPr>
              <w:t>税及其他税收收入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1C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30,900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64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6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30,900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5C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十、城乡社区支出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DA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194,335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0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C1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194,335 </w:t>
            </w:r>
          </w:p>
        </w:tc>
      </w:tr>
      <w:tr w14:paraId="2B9D8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D6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二、非税收入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6C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200,000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BD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C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200,000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A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十一、农林水支出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8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328 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01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9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328 </w:t>
            </w:r>
          </w:p>
        </w:tc>
      </w:tr>
      <w:tr w14:paraId="1E2BA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E6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教育费附加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17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16,000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5D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1E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十二、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交通运输支出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AB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2,503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BD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2C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2,503 </w:t>
            </w:r>
          </w:p>
        </w:tc>
      </w:tr>
      <w:tr w14:paraId="71BB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5B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残疾人保障金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85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9,000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3E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9C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CC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十三、资源勘探工业信息等支出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B0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7,382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5F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B8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7,382 </w:t>
            </w:r>
          </w:p>
        </w:tc>
      </w:tr>
      <w:tr w14:paraId="4ED7F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AB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行</w:t>
            </w:r>
            <w:r>
              <w:rPr>
                <w:rStyle w:val="33"/>
                <w:rFonts w:hint="default" w:ascii="Times New Roman" w:hAnsi="Times New Roman" w:cs="Times New Roman"/>
                <w:spacing w:val="-6"/>
                <w:sz w:val="21"/>
                <w:lang w:val="en-US" w:eastAsia="zh-CN" w:bidi="ar"/>
              </w:rPr>
              <w:t>政事业性收费收入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FC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6F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D0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25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十四、商业服务业等支出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1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22,972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0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9D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22,972 </w:t>
            </w:r>
          </w:p>
        </w:tc>
      </w:tr>
      <w:tr w14:paraId="47C85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9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罚没收入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BE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16,000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0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AE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E9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十五、自然资源海洋气象等支出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6C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6E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E6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84C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DE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国有资源（资产）有偿使用收入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33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158,300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98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6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158,300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5E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十六、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住房保障支出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78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35,417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8E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B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35,417 </w:t>
            </w:r>
          </w:p>
        </w:tc>
      </w:tr>
      <w:tr w14:paraId="16F25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3E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捐</w:t>
            </w:r>
            <w:r>
              <w:rPr>
                <w:rStyle w:val="33"/>
                <w:rFonts w:hint="default" w:ascii="Times New Roman" w:hAnsi="Times New Roman" w:cs="Times New Roman"/>
                <w:spacing w:val="-6"/>
                <w:sz w:val="21"/>
                <w:lang w:val="en-US" w:eastAsia="zh-CN" w:bidi="ar"/>
              </w:rPr>
              <w:t>赠收入及其他收入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30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200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19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AD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25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十七、粮油物资储备支出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2F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81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6C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179 </w:t>
            </w:r>
          </w:p>
        </w:tc>
      </w:tr>
      <w:tr w14:paraId="69CF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7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转移性收入合计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3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503,684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44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 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83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521,684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51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十八、灾害防治及应急管理支出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5C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8,588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6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D1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8,588 </w:t>
            </w:r>
          </w:p>
        </w:tc>
      </w:tr>
      <w:tr w14:paraId="6AEEB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93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一、上级补助收入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D0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319,760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12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11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319,760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F1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十九、预备费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97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10,000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12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CC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10,000 </w:t>
            </w:r>
          </w:p>
        </w:tc>
      </w:tr>
      <w:tr w14:paraId="3B6EB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42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二、动用预算稳定调节基金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0A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9,926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68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3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9,926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F8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二十、其他支出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3A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C1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19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2E7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AB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三、调入资金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57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135,000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E1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4C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135,000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D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二十一、债务付息支出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35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20,000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87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EC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20,000 </w:t>
            </w:r>
          </w:p>
        </w:tc>
      </w:tr>
      <w:tr w14:paraId="2CF38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0B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四、地方政府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一般债务转贷收入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B2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AC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 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22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48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二十二、债务发行费用支出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AE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A3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E3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740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0B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地方政府一般债券转贷收入（新增）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A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7A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84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E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转移性支出合计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EB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96,680 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BC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7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114,680 </w:t>
            </w:r>
          </w:p>
        </w:tc>
      </w:tr>
      <w:tr w14:paraId="5F480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14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地方政府一般债券转贷收入（再融资）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9F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7F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 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A3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18,000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4A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一、上解支出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50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94,680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ED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A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94,680 </w:t>
            </w:r>
          </w:p>
        </w:tc>
      </w:tr>
      <w:tr w14:paraId="1C786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1B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地方政府外债借款收入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DA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A4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E7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78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二、债务还本支出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24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2,000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81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5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20,000 </w:t>
            </w:r>
          </w:p>
        </w:tc>
      </w:tr>
      <w:tr w14:paraId="7B95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58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B0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91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C0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7E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地方政府一般债券还本支出（本级安排）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B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2,000 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06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08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2,000 </w:t>
            </w:r>
          </w:p>
        </w:tc>
      </w:tr>
      <w:tr w14:paraId="1669C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5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五、上年结转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7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38,998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F2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38,998 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29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地方政府一般</w:t>
            </w:r>
            <w:r>
              <w:rPr>
                <w:rStyle w:val="33"/>
                <w:rFonts w:hint="default" w:ascii="Times New Roman" w:hAnsi="Times New Roman" w:cs="Times New Roman"/>
                <w:lang w:val="en-US" w:eastAsia="zh-CN" w:bidi="ar"/>
              </w:rPr>
              <w:t>债券还本支出（再融资）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5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28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18,000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F9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18,000</w:t>
            </w:r>
          </w:p>
        </w:tc>
      </w:tr>
    </w:tbl>
    <w:p w14:paraId="6C4809B2">
      <w:pPr>
        <w:pStyle w:val="12"/>
        <w:rPr>
          <w:rFonts w:hint="default"/>
        </w:rPr>
        <w:sectPr>
          <w:footerReference r:id="rId3" w:type="default"/>
          <w:footerReference r:id="rId4" w:type="even"/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1E150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olor w:val="000000"/>
          <w:sz w:val="32"/>
          <w:szCs w:val="32"/>
          <w:u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i w:val="0"/>
          <w:iCs w:val="0"/>
          <w:color w:val="000000"/>
          <w:sz w:val="32"/>
          <w:szCs w:val="32"/>
          <w:u w:val="none"/>
          <w:lang w:val="en-US" w:eastAsia="zh-CN"/>
        </w:rPr>
        <w:t>2</w:t>
      </w:r>
    </w:p>
    <w:p w14:paraId="28DC76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center"/>
        <w:rPr>
          <w:rFonts w:hint="default" w:ascii="Times New Roman" w:hAnsi="Times New Roman" w:eastAsia="方正小标宋_GBK" w:cs="Times New Roman"/>
          <w:i w:val="0"/>
          <w:iCs w:val="0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000000"/>
          <w:sz w:val="44"/>
          <w:szCs w:val="44"/>
          <w:u w:val="none"/>
        </w:rPr>
        <w:t>202</w:t>
      </w:r>
      <w:r>
        <w:rPr>
          <w:rFonts w:hint="default" w:ascii="Times New Roman" w:hAnsi="Times New Roman" w:eastAsia="方正小标宋_GBK" w:cs="Times New Roman"/>
          <w:i w:val="0"/>
          <w:iCs w:val="0"/>
          <w:color w:val="000000"/>
          <w:sz w:val="44"/>
          <w:szCs w:val="44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olor w:val="000000"/>
          <w:sz w:val="44"/>
          <w:szCs w:val="44"/>
          <w:u w:val="none"/>
        </w:rPr>
        <w:t>年渝中区政府性基金预算收支预算调整表</w:t>
      </w:r>
    </w:p>
    <w:p w14:paraId="5C306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eastAsia="方正仿宋_GBK" w:cs="Times New Roman"/>
          <w:sz w:val="21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1"/>
          <w:szCs w:val="24"/>
          <w:lang w:val="en-US" w:eastAsia="zh-CN"/>
        </w:rPr>
        <w:t xml:space="preserve"> 单位：万元</w:t>
      </w:r>
    </w:p>
    <w:tbl>
      <w:tblPr>
        <w:tblStyle w:val="15"/>
        <w:tblW w:w="14805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4"/>
        <w:gridCol w:w="1035"/>
        <w:gridCol w:w="931"/>
        <w:gridCol w:w="1275"/>
        <w:gridCol w:w="3915"/>
        <w:gridCol w:w="1185"/>
        <w:gridCol w:w="1065"/>
        <w:gridCol w:w="1395"/>
      </w:tblGrid>
      <w:tr w14:paraId="3EAA4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36716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        入</w:t>
            </w:r>
          </w:p>
        </w:tc>
        <w:tc>
          <w:tcPr>
            <w:tcW w:w="1035" w:type="dxa"/>
            <w:vAlign w:val="center"/>
          </w:tcPr>
          <w:p w14:paraId="142E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预算数</w:t>
            </w:r>
          </w:p>
        </w:tc>
        <w:tc>
          <w:tcPr>
            <w:tcW w:w="931" w:type="dxa"/>
            <w:vAlign w:val="center"/>
          </w:tcPr>
          <w:p w14:paraId="78229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增减额</w:t>
            </w:r>
          </w:p>
        </w:tc>
        <w:tc>
          <w:tcPr>
            <w:tcW w:w="1275" w:type="dxa"/>
            <w:vAlign w:val="center"/>
          </w:tcPr>
          <w:p w14:paraId="6C8B8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调整预算数</w:t>
            </w:r>
          </w:p>
        </w:tc>
        <w:tc>
          <w:tcPr>
            <w:tcW w:w="3915" w:type="dxa"/>
            <w:vAlign w:val="center"/>
          </w:tcPr>
          <w:p w14:paraId="166A5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        出</w:t>
            </w:r>
          </w:p>
        </w:tc>
        <w:tc>
          <w:tcPr>
            <w:tcW w:w="1185" w:type="dxa"/>
            <w:vAlign w:val="center"/>
          </w:tcPr>
          <w:p w14:paraId="4C7F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065" w:type="dxa"/>
            <w:vAlign w:val="center"/>
          </w:tcPr>
          <w:p w14:paraId="1A1F0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增减额</w:t>
            </w:r>
          </w:p>
        </w:tc>
        <w:tc>
          <w:tcPr>
            <w:tcW w:w="1395" w:type="dxa"/>
            <w:vAlign w:val="center"/>
          </w:tcPr>
          <w:p w14:paraId="5098D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调整预算数</w:t>
            </w:r>
          </w:p>
        </w:tc>
      </w:tr>
      <w:tr w14:paraId="2CD3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004" w:type="dxa"/>
            <w:vAlign w:val="center"/>
          </w:tcPr>
          <w:p w14:paraId="344B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  计</w:t>
            </w:r>
          </w:p>
        </w:tc>
        <w:tc>
          <w:tcPr>
            <w:tcW w:w="1035" w:type="dxa"/>
            <w:vAlign w:val="center"/>
          </w:tcPr>
          <w:p w14:paraId="75A0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267,25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31" w:type="dxa"/>
            <w:vAlign w:val="center"/>
          </w:tcPr>
          <w:p w14:paraId="1BD0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,200</w:t>
            </w:r>
          </w:p>
        </w:tc>
        <w:tc>
          <w:tcPr>
            <w:tcW w:w="1275" w:type="dxa"/>
            <w:vAlign w:val="center"/>
          </w:tcPr>
          <w:p w14:paraId="70619D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15" w:type="dxa"/>
            <w:vAlign w:val="center"/>
          </w:tcPr>
          <w:p w14:paraId="254A0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  计</w:t>
            </w:r>
          </w:p>
        </w:tc>
        <w:tc>
          <w:tcPr>
            <w:tcW w:w="1185" w:type="dxa"/>
            <w:vAlign w:val="center"/>
          </w:tcPr>
          <w:p w14:paraId="1D2494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267,25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68D526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,200 </w:t>
            </w:r>
          </w:p>
        </w:tc>
        <w:tc>
          <w:tcPr>
            <w:tcW w:w="1395" w:type="dxa"/>
            <w:vAlign w:val="center"/>
          </w:tcPr>
          <w:p w14:paraId="61209D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0851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23A0C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本级收入合计</w:t>
            </w:r>
          </w:p>
        </w:tc>
        <w:tc>
          <w:tcPr>
            <w:tcW w:w="1035" w:type="dxa"/>
            <w:vAlign w:val="center"/>
          </w:tcPr>
          <w:p w14:paraId="3680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230,000</w:t>
            </w:r>
          </w:p>
        </w:tc>
        <w:tc>
          <w:tcPr>
            <w:tcW w:w="931" w:type="dxa"/>
            <w:vAlign w:val="center"/>
          </w:tcPr>
          <w:p w14:paraId="1EADA79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438B7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230,000</w:t>
            </w:r>
          </w:p>
        </w:tc>
        <w:tc>
          <w:tcPr>
            <w:tcW w:w="3915" w:type="dxa"/>
            <w:vAlign w:val="center"/>
          </w:tcPr>
          <w:p w14:paraId="3C32B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本级支出合计</w:t>
            </w:r>
          </w:p>
        </w:tc>
        <w:tc>
          <w:tcPr>
            <w:tcW w:w="1185" w:type="dxa"/>
            <w:vAlign w:val="center"/>
          </w:tcPr>
          <w:p w14:paraId="33C40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129,38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166694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,000 </w:t>
            </w:r>
          </w:p>
        </w:tc>
        <w:tc>
          <w:tcPr>
            <w:tcW w:w="1395" w:type="dxa"/>
            <w:vAlign w:val="center"/>
          </w:tcPr>
          <w:p w14:paraId="3E52A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1C84D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5831D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一、农网还贷资金收入</w:t>
            </w:r>
          </w:p>
        </w:tc>
        <w:tc>
          <w:tcPr>
            <w:tcW w:w="1035" w:type="dxa"/>
            <w:vAlign w:val="center"/>
          </w:tcPr>
          <w:p w14:paraId="1214479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07628A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51D03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1DE3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一、文化旅游体育与传媒支出</w:t>
            </w:r>
          </w:p>
        </w:tc>
        <w:tc>
          <w:tcPr>
            <w:tcW w:w="1185" w:type="dxa"/>
            <w:vAlign w:val="center"/>
          </w:tcPr>
          <w:p w14:paraId="1A681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065" w:type="dxa"/>
            <w:vAlign w:val="center"/>
          </w:tcPr>
          <w:p w14:paraId="535145B3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49F78B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121 </w:t>
            </w:r>
          </w:p>
        </w:tc>
      </w:tr>
      <w:tr w14:paraId="162B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6BB9D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二、国家电影事业发展专项资金</w:t>
            </w:r>
          </w:p>
        </w:tc>
        <w:tc>
          <w:tcPr>
            <w:tcW w:w="1035" w:type="dxa"/>
            <w:vAlign w:val="center"/>
          </w:tcPr>
          <w:p w14:paraId="50FDF53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0055B46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2231D6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09DF3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节能环保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</w:t>
            </w:r>
          </w:p>
        </w:tc>
        <w:tc>
          <w:tcPr>
            <w:tcW w:w="1185" w:type="dxa"/>
            <w:vAlign w:val="center"/>
          </w:tcPr>
          <w:p w14:paraId="378770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5,631</w:t>
            </w:r>
          </w:p>
        </w:tc>
        <w:tc>
          <w:tcPr>
            <w:tcW w:w="1065" w:type="dxa"/>
            <w:vAlign w:val="center"/>
          </w:tcPr>
          <w:p w14:paraId="06C46002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7CDAC0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5,631 </w:t>
            </w:r>
          </w:p>
        </w:tc>
      </w:tr>
      <w:tr w14:paraId="263F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2914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三、国有土地收益基金收入</w:t>
            </w:r>
          </w:p>
        </w:tc>
        <w:tc>
          <w:tcPr>
            <w:tcW w:w="1035" w:type="dxa"/>
            <w:vAlign w:val="center"/>
          </w:tcPr>
          <w:p w14:paraId="1698451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4BD74A4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F32C0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5D081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三、城乡社区支出</w:t>
            </w:r>
          </w:p>
        </w:tc>
        <w:tc>
          <w:tcPr>
            <w:tcW w:w="1185" w:type="dxa"/>
            <w:vAlign w:val="center"/>
          </w:tcPr>
          <w:p w14:paraId="1EFDC9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56,81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vAlign w:val="center"/>
          </w:tcPr>
          <w:p w14:paraId="37188FED">
            <w:pPr>
              <w:ind w:firstLine="210" w:firstLineChars="10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</w:t>
            </w:r>
          </w:p>
        </w:tc>
        <w:tc>
          <w:tcPr>
            <w:tcW w:w="1395" w:type="dxa"/>
            <w:vAlign w:val="center"/>
          </w:tcPr>
          <w:p w14:paraId="47A7A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 w14:paraId="47A64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64E72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四、农业土地开发资金收入</w:t>
            </w:r>
          </w:p>
        </w:tc>
        <w:tc>
          <w:tcPr>
            <w:tcW w:w="1035" w:type="dxa"/>
            <w:vAlign w:val="center"/>
          </w:tcPr>
          <w:p w14:paraId="4057A19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44E9DF4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CE3F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698F8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四、农林水支出</w:t>
            </w:r>
          </w:p>
        </w:tc>
        <w:tc>
          <w:tcPr>
            <w:tcW w:w="1185" w:type="dxa"/>
            <w:vAlign w:val="center"/>
          </w:tcPr>
          <w:p w14:paraId="7B498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vAlign w:val="center"/>
          </w:tcPr>
          <w:p w14:paraId="4AF16D71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6C3B48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 </w:t>
            </w:r>
          </w:p>
        </w:tc>
      </w:tr>
      <w:tr w14:paraId="291E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3822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五、国有土地使用权出让收入</w:t>
            </w:r>
          </w:p>
        </w:tc>
        <w:tc>
          <w:tcPr>
            <w:tcW w:w="1035" w:type="dxa"/>
            <w:vAlign w:val="center"/>
          </w:tcPr>
          <w:p w14:paraId="6586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200,000</w:t>
            </w:r>
          </w:p>
        </w:tc>
        <w:tc>
          <w:tcPr>
            <w:tcW w:w="931" w:type="dxa"/>
            <w:vAlign w:val="center"/>
          </w:tcPr>
          <w:p w14:paraId="2ABF964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4E0234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200,000</w:t>
            </w:r>
          </w:p>
        </w:tc>
        <w:tc>
          <w:tcPr>
            <w:tcW w:w="3915" w:type="dxa"/>
            <w:vAlign w:val="center"/>
          </w:tcPr>
          <w:p w14:paraId="54988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五、交通运输支出</w:t>
            </w:r>
          </w:p>
        </w:tc>
        <w:tc>
          <w:tcPr>
            <w:tcW w:w="1185" w:type="dxa"/>
            <w:vAlign w:val="center"/>
          </w:tcPr>
          <w:p w14:paraId="5B087B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1,309</w:t>
            </w:r>
          </w:p>
        </w:tc>
        <w:tc>
          <w:tcPr>
            <w:tcW w:w="1065" w:type="dxa"/>
            <w:vAlign w:val="center"/>
          </w:tcPr>
          <w:p w14:paraId="0083F0C7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7632D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1,309 </w:t>
            </w:r>
          </w:p>
        </w:tc>
      </w:tr>
      <w:tr w14:paraId="6AD0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66BB2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六、大中型水库库区基金收入</w:t>
            </w:r>
          </w:p>
        </w:tc>
        <w:tc>
          <w:tcPr>
            <w:tcW w:w="1035" w:type="dxa"/>
            <w:vAlign w:val="center"/>
          </w:tcPr>
          <w:p w14:paraId="609EB7C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6FC63D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40C51F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6F797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</w:t>
            </w:r>
          </w:p>
        </w:tc>
        <w:tc>
          <w:tcPr>
            <w:tcW w:w="1185" w:type="dxa"/>
            <w:vAlign w:val="center"/>
          </w:tcPr>
          <w:p w14:paraId="417057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065" w:type="dxa"/>
            <w:vAlign w:val="center"/>
          </w:tcPr>
          <w:p w14:paraId="4FBFA26B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374FA2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435 </w:t>
            </w:r>
          </w:p>
        </w:tc>
      </w:tr>
      <w:tr w14:paraId="4AF3E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28AA9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七、彩票公益金收入</w:t>
            </w:r>
          </w:p>
        </w:tc>
        <w:tc>
          <w:tcPr>
            <w:tcW w:w="1035" w:type="dxa"/>
            <w:vAlign w:val="center"/>
          </w:tcPr>
          <w:p w14:paraId="764CBD4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13933D9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43CC6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7C5BD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</w:t>
            </w:r>
          </w:p>
        </w:tc>
        <w:tc>
          <w:tcPr>
            <w:tcW w:w="1185" w:type="dxa"/>
            <w:vAlign w:val="center"/>
          </w:tcPr>
          <w:p w14:paraId="4E264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5,063</w:t>
            </w:r>
          </w:p>
        </w:tc>
        <w:tc>
          <w:tcPr>
            <w:tcW w:w="1065" w:type="dxa"/>
            <w:vAlign w:val="center"/>
          </w:tcPr>
          <w:p w14:paraId="758446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188,000 </w:t>
            </w:r>
          </w:p>
        </w:tc>
        <w:tc>
          <w:tcPr>
            <w:tcW w:w="1395" w:type="dxa"/>
            <w:vAlign w:val="center"/>
          </w:tcPr>
          <w:p w14:paraId="35F061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193,063 </w:t>
            </w:r>
          </w:p>
        </w:tc>
      </w:tr>
      <w:tr w14:paraId="462A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40989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八、小型水库移民扶助基金收入</w:t>
            </w:r>
          </w:p>
        </w:tc>
        <w:tc>
          <w:tcPr>
            <w:tcW w:w="1035" w:type="dxa"/>
            <w:vAlign w:val="center"/>
          </w:tcPr>
          <w:p w14:paraId="243A0D0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24A490C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211F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6DEE5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八、债务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</w:t>
            </w:r>
          </w:p>
        </w:tc>
        <w:tc>
          <w:tcPr>
            <w:tcW w:w="1185" w:type="dxa"/>
            <w:vAlign w:val="center"/>
          </w:tcPr>
          <w:p w14:paraId="17441B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</w:t>
            </w:r>
          </w:p>
        </w:tc>
        <w:tc>
          <w:tcPr>
            <w:tcW w:w="1065" w:type="dxa"/>
            <w:vAlign w:val="center"/>
          </w:tcPr>
          <w:p w14:paraId="249316C7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1AE7D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60,000 </w:t>
            </w:r>
          </w:p>
        </w:tc>
      </w:tr>
      <w:tr w14:paraId="111B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004" w:type="dxa"/>
            <w:vAlign w:val="center"/>
          </w:tcPr>
          <w:p w14:paraId="216C3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九、污水处理费收入</w:t>
            </w:r>
          </w:p>
        </w:tc>
        <w:tc>
          <w:tcPr>
            <w:tcW w:w="1035" w:type="dxa"/>
            <w:vAlign w:val="center"/>
          </w:tcPr>
          <w:p w14:paraId="7F76252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0526E2E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619C32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915" w:type="dxa"/>
            <w:vAlign w:val="center"/>
          </w:tcPr>
          <w:p w14:paraId="7574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32BE9EB6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AF65ABE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1F00AF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-   </w:t>
            </w:r>
          </w:p>
        </w:tc>
      </w:tr>
      <w:tr w14:paraId="150A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05FAA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十、专项债务对应项目专项收入</w:t>
            </w:r>
          </w:p>
        </w:tc>
        <w:tc>
          <w:tcPr>
            <w:tcW w:w="1035" w:type="dxa"/>
            <w:vAlign w:val="center"/>
          </w:tcPr>
          <w:p w14:paraId="26A5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30,000</w:t>
            </w:r>
          </w:p>
        </w:tc>
        <w:tc>
          <w:tcPr>
            <w:tcW w:w="931" w:type="dxa"/>
            <w:vAlign w:val="center"/>
          </w:tcPr>
          <w:p w14:paraId="5A0F6E5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3ADCF6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30,000</w:t>
            </w:r>
          </w:p>
        </w:tc>
        <w:tc>
          <w:tcPr>
            <w:tcW w:w="3915" w:type="dxa"/>
            <w:vAlign w:val="center"/>
          </w:tcPr>
          <w:p w14:paraId="4199A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141CE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824E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37EFF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3163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280F1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转移性收入合计</w:t>
            </w:r>
          </w:p>
        </w:tc>
        <w:tc>
          <w:tcPr>
            <w:tcW w:w="1035" w:type="dxa"/>
            <w:vAlign w:val="center"/>
          </w:tcPr>
          <w:p w14:paraId="104D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37,25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31" w:type="dxa"/>
            <w:vAlign w:val="center"/>
          </w:tcPr>
          <w:p w14:paraId="3639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,200</w:t>
            </w:r>
          </w:p>
        </w:tc>
        <w:tc>
          <w:tcPr>
            <w:tcW w:w="1275" w:type="dxa"/>
            <w:vAlign w:val="center"/>
          </w:tcPr>
          <w:p w14:paraId="6FE59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15" w:type="dxa"/>
            <w:vAlign w:val="center"/>
          </w:tcPr>
          <w:p w14:paraId="7DD03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转移性支出合计</w:t>
            </w:r>
          </w:p>
        </w:tc>
        <w:tc>
          <w:tcPr>
            <w:tcW w:w="1185" w:type="dxa"/>
            <w:vAlign w:val="center"/>
          </w:tcPr>
          <w:p w14:paraId="6F2EEA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137,870 </w:t>
            </w:r>
          </w:p>
        </w:tc>
        <w:tc>
          <w:tcPr>
            <w:tcW w:w="1065" w:type="dxa"/>
            <w:vAlign w:val="center"/>
          </w:tcPr>
          <w:p w14:paraId="0A0C9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122,200 </w:t>
            </w:r>
          </w:p>
        </w:tc>
        <w:tc>
          <w:tcPr>
            <w:tcW w:w="1395" w:type="dxa"/>
            <w:vAlign w:val="center"/>
          </w:tcPr>
          <w:p w14:paraId="21A49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260,070 </w:t>
            </w:r>
          </w:p>
        </w:tc>
      </w:tr>
      <w:tr w14:paraId="2ED06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4CB00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一、上级补助收入</w:t>
            </w:r>
          </w:p>
        </w:tc>
        <w:tc>
          <w:tcPr>
            <w:tcW w:w="1035" w:type="dxa"/>
            <w:vAlign w:val="center"/>
          </w:tcPr>
          <w:p w14:paraId="21EA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17,550</w:t>
            </w:r>
          </w:p>
        </w:tc>
        <w:tc>
          <w:tcPr>
            <w:tcW w:w="931" w:type="dxa"/>
            <w:vAlign w:val="center"/>
          </w:tcPr>
          <w:p w14:paraId="66A7643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ADA35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17,550</w:t>
            </w:r>
          </w:p>
        </w:tc>
        <w:tc>
          <w:tcPr>
            <w:tcW w:w="3915" w:type="dxa"/>
            <w:vAlign w:val="center"/>
          </w:tcPr>
          <w:p w14:paraId="02D07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一、上解支出</w:t>
            </w:r>
          </w:p>
        </w:tc>
        <w:tc>
          <w:tcPr>
            <w:tcW w:w="1185" w:type="dxa"/>
            <w:vAlign w:val="center"/>
          </w:tcPr>
          <w:p w14:paraId="5E5955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6,870</w:t>
            </w:r>
          </w:p>
        </w:tc>
        <w:tc>
          <w:tcPr>
            <w:tcW w:w="1065" w:type="dxa"/>
            <w:vAlign w:val="center"/>
          </w:tcPr>
          <w:p w14:paraId="6B2A36D9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395" w:type="dxa"/>
            <w:vAlign w:val="center"/>
          </w:tcPr>
          <w:p w14:paraId="383674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6,870 </w:t>
            </w:r>
          </w:p>
        </w:tc>
      </w:tr>
      <w:tr w14:paraId="07CE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237F6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二、债务转贷收入</w:t>
            </w:r>
          </w:p>
        </w:tc>
        <w:tc>
          <w:tcPr>
            <w:tcW w:w="1035" w:type="dxa"/>
            <w:vAlign w:val="center"/>
          </w:tcPr>
          <w:p w14:paraId="778809E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4A2F9C5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,200</w:t>
            </w:r>
          </w:p>
        </w:tc>
        <w:tc>
          <w:tcPr>
            <w:tcW w:w="1275" w:type="dxa"/>
            <w:vAlign w:val="center"/>
          </w:tcPr>
          <w:p w14:paraId="7FEC7A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,200-</w:t>
            </w:r>
          </w:p>
        </w:tc>
        <w:tc>
          <w:tcPr>
            <w:tcW w:w="3915" w:type="dxa"/>
            <w:vAlign w:val="center"/>
          </w:tcPr>
          <w:p w14:paraId="27610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二、调出资金</w:t>
            </w:r>
          </w:p>
        </w:tc>
        <w:tc>
          <w:tcPr>
            <w:tcW w:w="1185" w:type="dxa"/>
            <w:vAlign w:val="center"/>
          </w:tcPr>
          <w:p w14:paraId="7A2EA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130,000</w:t>
            </w:r>
          </w:p>
        </w:tc>
        <w:tc>
          <w:tcPr>
            <w:tcW w:w="1065" w:type="dxa"/>
            <w:vAlign w:val="center"/>
          </w:tcPr>
          <w:p w14:paraId="492031AB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395" w:type="dxa"/>
            <w:vAlign w:val="center"/>
          </w:tcPr>
          <w:p w14:paraId="1D470A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130,000 </w:t>
            </w:r>
          </w:p>
        </w:tc>
      </w:tr>
      <w:tr w14:paraId="5AE73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05055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地方政府专项债务转贷收入（新增）</w:t>
            </w:r>
          </w:p>
        </w:tc>
        <w:tc>
          <w:tcPr>
            <w:tcW w:w="1035" w:type="dxa"/>
            <w:vAlign w:val="center"/>
          </w:tcPr>
          <w:p w14:paraId="71E21B4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3676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,000</w:t>
            </w:r>
          </w:p>
        </w:tc>
        <w:tc>
          <w:tcPr>
            <w:tcW w:w="1275" w:type="dxa"/>
            <w:vAlign w:val="center"/>
          </w:tcPr>
          <w:p w14:paraId="20171C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,000</w:t>
            </w:r>
          </w:p>
        </w:tc>
        <w:tc>
          <w:tcPr>
            <w:tcW w:w="3915" w:type="dxa"/>
            <w:vAlign w:val="center"/>
          </w:tcPr>
          <w:p w14:paraId="3CCF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三、地方政府债务转贷支出</w:t>
            </w:r>
          </w:p>
        </w:tc>
        <w:tc>
          <w:tcPr>
            <w:tcW w:w="1185" w:type="dxa"/>
            <w:vAlign w:val="center"/>
          </w:tcPr>
          <w:p w14:paraId="5351C4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1,000</w:t>
            </w:r>
          </w:p>
        </w:tc>
        <w:tc>
          <w:tcPr>
            <w:tcW w:w="1065" w:type="dxa"/>
            <w:vAlign w:val="center"/>
          </w:tcPr>
          <w:p w14:paraId="46042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122,200 </w:t>
            </w:r>
          </w:p>
        </w:tc>
        <w:tc>
          <w:tcPr>
            <w:tcW w:w="1395" w:type="dxa"/>
            <w:vAlign w:val="center"/>
          </w:tcPr>
          <w:p w14:paraId="2A326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123,200 </w:t>
            </w:r>
          </w:p>
        </w:tc>
      </w:tr>
      <w:tr w14:paraId="76B1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44E17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地方政府专项债务转贷收入（再融资）</w:t>
            </w:r>
          </w:p>
        </w:tc>
        <w:tc>
          <w:tcPr>
            <w:tcW w:w="1035" w:type="dxa"/>
            <w:vAlign w:val="center"/>
          </w:tcPr>
          <w:p w14:paraId="54AC39A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1DF1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122,200</w:t>
            </w:r>
          </w:p>
        </w:tc>
        <w:tc>
          <w:tcPr>
            <w:tcW w:w="1275" w:type="dxa"/>
            <w:vAlign w:val="center"/>
          </w:tcPr>
          <w:p w14:paraId="571A5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122,200</w:t>
            </w:r>
          </w:p>
        </w:tc>
        <w:tc>
          <w:tcPr>
            <w:tcW w:w="3915" w:type="dxa"/>
            <w:vAlign w:val="center"/>
          </w:tcPr>
          <w:p w14:paraId="744C9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地方政府专项债务还本支出（本级）</w:t>
            </w:r>
          </w:p>
        </w:tc>
        <w:tc>
          <w:tcPr>
            <w:tcW w:w="1185" w:type="dxa"/>
            <w:vAlign w:val="center"/>
          </w:tcPr>
          <w:p w14:paraId="2540C5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1,000 </w:t>
            </w:r>
          </w:p>
        </w:tc>
        <w:tc>
          <w:tcPr>
            <w:tcW w:w="1065" w:type="dxa"/>
            <w:vAlign w:val="center"/>
          </w:tcPr>
          <w:p w14:paraId="38455DB9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395" w:type="dxa"/>
            <w:vAlign w:val="center"/>
          </w:tcPr>
          <w:p w14:paraId="5C0D34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1,000 </w:t>
            </w:r>
          </w:p>
        </w:tc>
      </w:tr>
      <w:tr w14:paraId="2409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184AB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39FB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vAlign w:val="center"/>
          </w:tcPr>
          <w:p w14:paraId="3D69717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53C25A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915" w:type="dxa"/>
            <w:vAlign w:val="center"/>
          </w:tcPr>
          <w:p w14:paraId="27743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地方政府专项债务还本支出（再融资）</w:t>
            </w:r>
          </w:p>
        </w:tc>
        <w:tc>
          <w:tcPr>
            <w:tcW w:w="1185" w:type="dxa"/>
            <w:vAlign w:val="center"/>
          </w:tcPr>
          <w:p w14:paraId="7753F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6243EC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50,000 </w:t>
            </w:r>
          </w:p>
        </w:tc>
        <w:tc>
          <w:tcPr>
            <w:tcW w:w="1395" w:type="dxa"/>
            <w:vAlign w:val="center"/>
          </w:tcPr>
          <w:p w14:paraId="54DB0E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50,000 </w:t>
            </w:r>
          </w:p>
        </w:tc>
      </w:tr>
      <w:tr w14:paraId="4C66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004" w:type="dxa"/>
            <w:vAlign w:val="center"/>
          </w:tcPr>
          <w:p w14:paraId="06328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三、上年结转</w:t>
            </w:r>
          </w:p>
        </w:tc>
        <w:tc>
          <w:tcPr>
            <w:tcW w:w="1035" w:type="dxa"/>
            <w:vAlign w:val="center"/>
          </w:tcPr>
          <w:p w14:paraId="6EB0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19,70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31" w:type="dxa"/>
            <w:vAlign w:val="center"/>
          </w:tcPr>
          <w:p w14:paraId="0C570992">
            <w:pPr>
              <w:jc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27F29D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19,70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15" w:type="dxa"/>
            <w:vAlign w:val="center"/>
          </w:tcPr>
          <w:p w14:paraId="32701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地方政府专项债务还本支出（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置换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185" w:type="dxa"/>
            <w:vAlign w:val="center"/>
          </w:tcPr>
          <w:p w14:paraId="1B56C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065" w:type="dxa"/>
            <w:vAlign w:val="center"/>
          </w:tcPr>
          <w:p w14:paraId="71E01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72,200 </w:t>
            </w:r>
          </w:p>
        </w:tc>
        <w:tc>
          <w:tcPr>
            <w:tcW w:w="1395" w:type="dxa"/>
            <w:vAlign w:val="center"/>
          </w:tcPr>
          <w:p w14:paraId="423998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72,200 </w:t>
            </w:r>
          </w:p>
        </w:tc>
      </w:tr>
    </w:tbl>
    <w:p w14:paraId="78E9C0F7">
      <w:pPr>
        <w:pStyle w:val="12"/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14"/>
        <w:tblW w:w="139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5102"/>
        <w:gridCol w:w="2033"/>
        <w:gridCol w:w="1356"/>
        <w:gridCol w:w="1288"/>
        <w:gridCol w:w="3533"/>
      </w:tblGrid>
      <w:tr w14:paraId="37DBD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</w:trPr>
        <w:tc>
          <w:tcPr>
            <w:tcW w:w="5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68DB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附件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99E0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C968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DB4C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042B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A504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3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FC3A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highlight w:val="none"/>
                <w:u w:val="none"/>
                <w:lang w:bidi="ar"/>
              </w:rPr>
              <w:t>渝中区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highlight w:val="none"/>
                <w:u w:val="none"/>
                <w:lang w:eastAsia="zh-CN" w:bidi="ar"/>
              </w:rPr>
              <w:t>202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highlight w:val="none"/>
                <w:u w:val="none"/>
                <w:lang w:bidi="ar"/>
              </w:rPr>
              <w:t>年新增政府专项债券资金使用建议表</w:t>
            </w:r>
          </w:p>
        </w:tc>
      </w:tr>
      <w:tr w14:paraId="7F8B3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3C84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36"/>
                <w:szCs w:val="36"/>
                <w:highlight w:val="none"/>
                <w:u w:val="none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C6BA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36"/>
                <w:szCs w:val="36"/>
                <w:highlight w:val="none"/>
                <w:u w:val="none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2D0B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36"/>
                <w:szCs w:val="36"/>
                <w:highlight w:val="none"/>
                <w:u w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71FA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F33A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822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u w:val="none"/>
                <w:lang w:bidi="ar"/>
              </w:rPr>
              <w:t>单位：万元</w:t>
            </w:r>
          </w:p>
        </w:tc>
      </w:tr>
      <w:tr w14:paraId="2C175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106F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序号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BF58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项目名称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5DB5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项目类型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9A0F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30"/>
                <w:rFonts w:hint="default" w:ascii="Times New Roman" w:hAnsi="Times New Roman" w:cs="Times New Roman"/>
                <w:sz w:val="22"/>
                <w:szCs w:val="22"/>
                <w:highlight w:val="none"/>
                <w:u w:val="none"/>
                <w:lang w:bidi="ar"/>
              </w:rPr>
              <w:t>项目类别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5B0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债券金额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2F99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项目内容</w:t>
            </w:r>
          </w:p>
        </w:tc>
      </w:tr>
      <w:tr w14:paraId="5ACA6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9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E47C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合计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C794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highlight w:val="none"/>
                <w:u w:val="none"/>
                <w:lang w:val="en-US" w:eastAsia="zh-CN" w:bidi="ar"/>
              </w:rPr>
              <w:t>213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highlight w:val="none"/>
                <w:u w:val="none"/>
                <w:lang w:val="en-US" w:eastAsia="zh-CN" w:bidi="ar"/>
              </w:rPr>
              <w:t>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34FA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u w:val="none"/>
              </w:rPr>
            </w:pPr>
          </w:p>
        </w:tc>
      </w:tr>
      <w:tr w14:paraId="17C7B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E0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before="0" w:beforeAutospacing="0" w:afterAutospacing="0" w:line="594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bidi="ar"/>
              </w:rPr>
              <w:t>1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E0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before="0" w:beforeAutospacing="0" w:afterAutospacing="0" w:line="594" w:lineRule="exact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老旧小区改造暨基础设施配套建设项目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二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E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城镇老旧小区改造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3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A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67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主要用于菜园坝东部片区老旧小区改造提升项目、人民路片区老旧小区改造提升项目等</w:t>
            </w:r>
          </w:p>
        </w:tc>
      </w:tr>
      <w:tr w14:paraId="7DAC1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E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17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老旧小区改造暨基础设施配套建设项目（三期）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B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城镇老旧小区改造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B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3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08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主要用于渝中彭家花园片区老旧小区配套便民公共服务设施项目、渝中金银湾片区老旧小区配套便民公共服务设施项目等</w:t>
            </w:r>
          </w:p>
        </w:tc>
      </w:tr>
      <w:tr w14:paraId="3D58F5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66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老旧小区改造暨基础设施配套建设项目（四期）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BA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城镇老旧小区改造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B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B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8A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主要用于解放东西路拓宽改造工程、雷家坡立交工程等</w:t>
            </w:r>
          </w:p>
        </w:tc>
      </w:tr>
      <w:tr w14:paraId="28A76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B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72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老旧小区改造暨基础设施配套建设项目（五期）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C1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城镇老旧小区改造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E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C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45,000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07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主要用于主城区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两江四岸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治理提升嘉陵江岸线贯通工程-嘉滨路化龙桥段、朝千路片区老旧小区改造提升项目等</w:t>
            </w:r>
          </w:p>
        </w:tc>
      </w:tr>
      <w:tr w14:paraId="11138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2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54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老旧小区改造提升项目（三期）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98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城镇老旧小区改造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0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8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1F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主要用于全民健身场馆、重庆市中医骨科医院化龙桥片区二期工程（渝中区）等</w:t>
            </w:r>
          </w:p>
        </w:tc>
      </w:tr>
      <w:tr w14:paraId="32672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C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96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城市更新项目（二期）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F3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城镇老旧小区改造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0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F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70,000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25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主要用于桂花园及周边片区老旧小区公共空间改造项目、嘉韵山水城南侧老旧小区公共空问改造项目等</w:t>
            </w:r>
          </w:p>
        </w:tc>
      </w:tr>
      <w:tr w14:paraId="2F5C2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7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B4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城市更新项目（四期）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8D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城镇老旧小区改造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C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3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42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主要用于解放碑地下连接通道三期及附属工程、嘉华大厦、圣地大厦等安全隐患整治及综合提升等</w:t>
            </w:r>
          </w:p>
        </w:tc>
      </w:tr>
      <w:tr w14:paraId="0AF809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6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33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环重医大健康医疗产业园项目（一期）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D7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产业园区基础设施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AB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续建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E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3,500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83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主要用于红云路及延伸段等</w:t>
            </w:r>
          </w:p>
        </w:tc>
      </w:tr>
      <w:tr w14:paraId="1C7DC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3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A3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before="0" w:beforeAutospacing="0" w:afterAutospacing="0" w:line="594" w:lineRule="exact"/>
              <w:ind w:left="0" w:leftChars="0" w:right="0" w:righ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pacing w:val="0"/>
                <w:sz w:val="24"/>
                <w:szCs w:val="24"/>
                <w:lang w:val="en-US" w:eastAsia="zh-CN" w:bidi="ar-SA"/>
              </w:rPr>
              <w:t>海客瀛洲项目（二期）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171A1D"/>
                <w:spacing w:val="0"/>
                <w:sz w:val="24"/>
                <w:szCs w:val="24"/>
                <w:shd w:val="clear" w:fill="FFFFFF"/>
              </w:rPr>
              <w:t>存量闲置土地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E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3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spacing w:before="0" w:beforeAutospacing="0" w:afterAutospacing="0" w:line="594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25,000</w:t>
            </w:r>
          </w:p>
        </w:tc>
        <w:tc>
          <w:tcPr>
            <w:tcW w:w="3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7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pacing w:val="0"/>
                <w:sz w:val="24"/>
                <w:szCs w:val="24"/>
                <w:lang w:val="en-US" w:eastAsia="zh-CN" w:bidi="ar-SA"/>
              </w:rPr>
              <w:t>海客瀛洲项目（二期）</w:t>
            </w:r>
          </w:p>
        </w:tc>
      </w:tr>
    </w:tbl>
    <w:p w14:paraId="0B540CE8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仿宋_GBK" w:cs="Times New Roman"/>
          <w:color w:val="000000"/>
          <w:sz w:val="24"/>
          <w:highlight w:val="none"/>
          <w:u w:val="none"/>
          <w:lang w:val="en-US" w:eastAsia="zh-CN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14"/>
        <w:tblW w:w="5038" w:type="pct"/>
        <w:tblInd w:w="-10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0"/>
        <w:gridCol w:w="1048"/>
        <w:gridCol w:w="1734"/>
        <w:gridCol w:w="1397"/>
        <w:gridCol w:w="922"/>
        <w:gridCol w:w="922"/>
        <w:gridCol w:w="922"/>
        <w:gridCol w:w="1400"/>
        <w:gridCol w:w="656"/>
        <w:gridCol w:w="1009"/>
        <w:gridCol w:w="326"/>
        <w:gridCol w:w="326"/>
        <w:gridCol w:w="326"/>
        <w:gridCol w:w="952"/>
      </w:tblGrid>
      <w:tr w14:paraId="36740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BD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DFA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00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FD7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C10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E85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65F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852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E5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87C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54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AFE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A5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7A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691D7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18A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渝中区老旧小区改造暨基础设施配套建设项目（二期）绩效目标表</w:t>
            </w:r>
          </w:p>
        </w:tc>
      </w:tr>
      <w:tr w14:paraId="0BDAB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044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9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0E9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F8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14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31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渝中区老旧小区改造暨基础设施配套建设项目（二期）</w:t>
            </w: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C1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A4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06-其他/01-其他</w:t>
            </w:r>
          </w:p>
        </w:tc>
      </w:tr>
      <w:tr w14:paraId="5172C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B50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9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1D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AE2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4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15F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D3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4A1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184810万元</w:t>
            </w:r>
          </w:p>
        </w:tc>
      </w:tr>
      <w:tr w14:paraId="17865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B4D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：</w:t>
            </w:r>
          </w:p>
        </w:tc>
        <w:tc>
          <w:tcPr>
            <w:tcW w:w="9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2A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02B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spacing w:val="-6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147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86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B4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其中：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28B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820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184810万元</w:t>
            </w:r>
          </w:p>
        </w:tc>
      </w:tr>
      <w:tr w14:paraId="7D4776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6D156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2953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45D97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项目主要建设内容包括房屋公共部分修缮，电梯改造，防水排涝（雨污分流）、供排水设施、雨水管道、污水管道、破损道路修补、环卫设施、消防、安防设施等基础类改造；违章建筑拆除无障碍设施、停车场、停车位改造，充电桩、智能快件箱，文化休闲设施、体育健身设施、卫生服务站、物业用房等完善类改造；幼儿园及适儿化改造、便民市场、快递末端综合服务站等改造；幼儿园及适儿化改造、便民市场、快递末端综合服务站、社区智慧管理系统等，是渝中区居民主要生产活动场所。高标准、高质量进行老旧小区改造工程建设，为渝中区居民打造舒适的生活娱乐场所，为渝中区、重庆市创造一个良好的生活氛围，助力渝中区打造产业新高地。</w:t>
            </w: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ED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A3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 </w:t>
            </w:r>
          </w:p>
        </w:tc>
      </w:tr>
      <w:tr w14:paraId="1EBF5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6CDE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9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3A0E0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D2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BD8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 </w:t>
            </w:r>
          </w:p>
        </w:tc>
      </w:tr>
      <w:tr w14:paraId="586D4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5D85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9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1F0A5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56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42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 </w:t>
            </w:r>
          </w:p>
        </w:tc>
      </w:tr>
      <w:tr w14:paraId="24A3B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44AFE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9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31139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C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6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52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 </w:t>
            </w:r>
          </w:p>
        </w:tc>
      </w:tr>
      <w:tr w14:paraId="7321F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CB7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E1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969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22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404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指标值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C3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12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ABE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EB4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18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A6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5D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596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8FC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07EA2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04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3B7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-11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A43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成本偏离度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921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869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855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BB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5D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2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3D8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A2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48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452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52E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0E38F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ECF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6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4D5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完成老旧小区改造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8CB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5B3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300000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2A9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平方米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128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2F1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8D0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00B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8C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7A2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6C3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71A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43975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2F4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3EB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24F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改造、新建管网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2C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33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C01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公里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E89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E3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C2B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96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B9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5E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0A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C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4A9DA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EB8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C8D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778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完成年度建设计划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B9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定性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9E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-11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按进度完成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F7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D77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6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4CA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项目预计建设工期48个月。预计2024年3月开工，2028年2月份竣工</w:t>
            </w:r>
          </w:p>
        </w:tc>
      </w:tr>
      <w:tr w14:paraId="6C4B5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48A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EEF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82E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项目设计方案变更率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CB8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FB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64B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CE0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4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378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F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CE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EC5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04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A2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7B39C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5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316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92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新增及改造停车位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C5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66B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931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4B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A63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FDF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030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35C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9A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942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2E9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26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189E3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3E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89F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816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新增机动车充电设施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EFE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6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790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F3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座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14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297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8D1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35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35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8A4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A6B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635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01335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FD3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07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DC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项目竣工验收达标率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247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8EA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0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B5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CB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31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A09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73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810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5D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CB3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22AEB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E6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E9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87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对象满意度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5A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446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59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F9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850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41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B3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3CA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417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4EE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FB8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0897F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9B4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8FE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经济效益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F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投资回收期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E6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E32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52A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BC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6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135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税前、不含建设期</w:t>
            </w:r>
          </w:p>
        </w:tc>
      </w:tr>
      <w:tr w14:paraId="391B9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11E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735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F6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-11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计算期内年均GDP贡献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361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38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15000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3E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万元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F7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6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30A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不含建设期</w:t>
            </w:r>
          </w:p>
        </w:tc>
      </w:tr>
    </w:tbl>
    <w:p w14:paraId="1F41A852">
      <w:pPr>
        <w:pStyle w:val="12"/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333DC3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附件5</w:t>
      </w:r>
    </w:p>
    <w:p w14:paraId="0E9CEF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firstLine="440" w:firstLineChars="1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u w:val="none"/>
          <w:lang w:val="en-US" w:eastAsia="zh-CN" w:bidi="ar-SA"/>
        </w:rPr>
        <w:t>渝中区老旧小区改造暨基础设施配套建设项目（三期）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  <w:t>绩效目标表</w:t>
      </w:r>
    </w:p>
    <w:p w14:paraId="57B27EA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10"/>
          <w:szCs w:val="13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  <w:u w:val="none"/>
          <w:lang w:val="en-US" w:eastAsia="zh-CN"/>
        </w:rPr>
        <w:t xml:space="preserve">         单位：元</w:t>
      </w:r>
    </w:p>
    <w:tbl>
      <w:tblPr>
        <w:tblStyle w:val="14"/>
        <w:tblW w:w="15571" w:type="dxa"/>
        <w:tblInd w:w="-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890"/>
        <w:gridCol w:w="2230"/>
        <w:gridCol w:w="1620"/>
        <w:gridCol w:w="1542"/>
        <w:gridCol w:w="1172"/>
        <w:gridCol w:w="2016"/>
        <w:gridCol w:w="730"/>
        <w:gridCol w:w="1070"/>
        <w:gridCol w:w="1540"/>
      </w:tblGrid>
      <w:tr w14:paraId="32C94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7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4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A3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8F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4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CA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渝中区老旧小区改造暨基础设施配套建设项目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三期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4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D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06-其他/01-其他</w:t>
            </w:r>
          </w:p>
        </w:tc>
      </w:tr>
      <w:tr w14:paraId="4028E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8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4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1B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A1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4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61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阳坤勇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6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7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2750158800</w:t>
            </w:r>
          </w:p>
        </w:tc>
      </w:tr>
      <w:tr w14:paraId="04379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</w:tc>
        <w:tc>
          <w:tcPr>
            <w:tcW w:w="4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8B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E0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4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FE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15922656383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F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F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7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2750158800 </w:t>
            </w:r>
          </w:p>
        </w:tc>
      </w:tr>
      <w:tr w14:paraId="2D1D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398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1047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455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提升老旧小区区域人居环境及区域整体环境，完善区域公共配套、提升服务水平，提升区域居民满意度。同时项目的实施可提升渝中区城市形象，改善投资环境，提升城市的综合竞争力，引导地区经济发展。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9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A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05BF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0FE08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CDB5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E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48D2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7A922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695E7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4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D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3DDE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A0FC3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F1933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1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3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72347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3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2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7F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B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7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9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A4A7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B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F1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成本偏离度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8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2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4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00B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AA5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E7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A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6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老旧小区改造提升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5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0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72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栋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3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209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A67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2B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8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A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综合管网改造及整治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2E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B5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B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1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E33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A82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9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2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4D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养老及医疗等公共服务</w:t>
            </w:r>
          </w:p>
          <w:p w14:paraId="2CBBD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改造提升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A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1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4C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7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3C0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CDD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A9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9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市政道路建设及整治修复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7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1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2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F17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A55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A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3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5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环境综合治理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9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AA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50000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B6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6C8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D5A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6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D8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D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完善城市配套设施，改善区域居住环境，降低居民对整体环境的投诉率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9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C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B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60B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D1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E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4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B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居民满意度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A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2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2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0E66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C6A4A96">
      <w:pPr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4E4CD79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6</w:t>
      </w:r>
    </w:p>
    <w:p w14:paraId="72EDF7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u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渝中区老旧小区改造暨基础设施配套建设项目（四期）</w:t>
      </w:r>
      <w:r>
        <w:rPr>
          <w:rFonts w:hint="default" w:ascii="Times New Roman" w:hAnsi="Times New Roman" w:eastAsia="方正小标宋_GBK" w:cs="Times New Roman"/>
          <w:sz w:val="44"/>
          <w:szCs w:val="44"/>
          <w:u w:val="none"/>
        </w:rPr>
        <w:t>绩效目标表</w:t>
      </w:r>
    </w:p>
    <w:p w14:paraId="6FB419F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u w:val="none"/>
          <w:lang w:val="en-US" w:eastAsia="zh-CN"/>
        </w:rPr>
        <w:t>单位：元</w:t>
      </w:r>
    </w:p>
    <w:tbl>
      <w:tblPr>
        <w:tblStyle w:val="14"/>
        <w:tblW w:w="15438" w:type="dxa"/>
        <w:tblInd w:w="-6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1559"/>
        <w:gridCol w:w="2320"/>
        <w:gridCol w:w="1760"/>
        <w:gridCol w:w="1140"/>
        <w:gridCol w:w="830"/>
        <w:gridCol w:w="950"/>
        <w:gridCol w:w="910"/>
        <w:gridCol w:w="580"/>
        <w:gridCol w:w="730"/>
        <w:gridCol w:w="1114"/>
        <w:gridCol w:w="1165"/>
      </w:tblGrid>
      <w:tr w14:paraId="4240A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C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0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E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4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C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渝中区老旧小区改造暨基础设施配套建设项目（四期）</w:t>
            </w: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4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D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06-其他/01-其他</w:t>
            </w:r>
          </w:p>
        </w:tc>
      </w:tr>
      <w:tr w14:paraId="73595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2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70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4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4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9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D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7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2468884900</w:t>
            </w:r>
          </w:p>
        </w:tc>
      </w:tr>
      <w:tr w14:paraId="2128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C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C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A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4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4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5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C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2468884900</w:t>
            </w:r>
          </w:p>
        </w:tc>
      </w:tr>
      <w:tr w14:paraId="16A6F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272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1004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D96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渝中区黄沙溪、李子坝、鹅岭、浮图关、虎头岩等片区的老旧小区配套基础设施改造，主要建设内容包括实施配套基础设施改造提升、历史文化遗产保护及生态环境整治提升，改善交通拥堵，保留历史任务环境记忆，改善居住环境，提升公共服务供给水平。项目的实施将推进老旧小区改造，改善居民生活质量，构建更健康、更安全、更宜居的居住环境。</w:t>
            </w: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C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4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3B1EA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883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7B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9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42763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F72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93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64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E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6AD2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9E4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49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7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5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449D3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7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C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0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D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历史参考值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2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94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B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2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A4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9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B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76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D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7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成本偏离度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5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8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B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6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B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0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4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9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5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D0A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3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84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C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外墙面整治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2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F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8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7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0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DB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5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7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6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57B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F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8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4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改造道路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6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7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2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D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0D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1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F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7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96A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0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5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电力电缆改造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6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9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D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9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7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2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7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C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88F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C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4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1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管网改造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8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8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F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C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2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F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1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1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3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D8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F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6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岸线治理提升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9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16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4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DA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62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6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8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B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43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F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2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F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步道改造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5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0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F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B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C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0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D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D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2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E7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20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5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9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文化休闲设施及隐患整治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7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9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4E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F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5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C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2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1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A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6B1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11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D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B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完善城市配套设施，改善区域居住环境，降低居民对整体环境的投诉率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79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9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86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F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0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C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5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B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B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0552B21">
      <w:pPr>
        <w:pStyle w:val="12"/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ECEB66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附件7</w:t>
      </w:r>
    </w:p>
    <w:p w14:paraId="07B20C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u w:val="none"/>
          <w:lang w:val="en-US" w:eastAsia="zh-CN" w:bidi="ar-SA"/>
        </w:rPr>
        <w:t>渝中区老旧小区改造暨基础设施配套建设项目（五期）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</w:rPr>
        <w:t>绩效目标表</w:t>
      </w:r>
    </w:p>
    <w:p w14:paraId="4CBC072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right"/>
        <w:textAlignment w:val="auto"/>
      </w:pPr>
      <w:r>
        <w:rPr>
          <w:rFonts w:hint="eastAsia" w:ascii="方正仿宋_GBK" w:hAnsi="方正仿宋_GBK" w:eastAsia="方正仿宋_GBK" w:cs="方正仿宋_GBK"/>
          <w:sz w:val="21"/>
          <w:szCs w:val="21"/>
          <w:u w:val="none"/>
          <w:lang w:val="en-US" w:eastAsia="zh-CN"/>
        </w:rPr>
        <w:t>单位：元</w:t>
      </w:r>
    </w:p>
    <w:tbl>
      <w:tblPr>
        <w:tblStyle w:val="14"/>
        <w:tblW w:w="15438" w:type="dxa"/>
        <w:tblInd w:w="-6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1559"/>
        <w:gridCol w:w="2320"/>
        <w:gridCol w:w="1760"/>
        <w:gridCol w:w="1140"/>
        <w:gridCol w:w="830"/>
        <w:gridCol w:w="950"/>
        <w:gridCol w:w="910"/>
        <w:gridCol w:w="580"/>
        <w:gridCol w:w="730"/>
        <w:gridCol w:w="1114"/>
        <w:gridCol w:w="1165"/>
      </w:tblGrid>
      <w:tr w14:paraId="386DA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6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15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E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4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4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渝中区老旧小区改造暨基础设施配套建设项目（五期）</w:t>
            </w: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D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A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06-其他/01-其他</w:t>
            </w:r>
          </w:p>
        </w:tc>
      </w:tr>
      <w:tr w14:paraId="5CC03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F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B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7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4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E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阳坤勇</w:t>
            </w: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737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FC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5078020000</w:t>
            </w:r>
          </w:p>
        </w:tc>
      </w:tr>
      <w:tr w14:paraId="3346D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5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CB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5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4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A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15922656383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0E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FA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4C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5078020000</w:t>
            </w:r>
          </w:p>
        </w:tc>
      </w:tr>
      <w:tr w14:paraId="2E1F6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FA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1004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CAC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渝中区黄沙溪、李子坝、鹅岭、浮图关、虎头岩等片区的老旧小区配套基础设施改造，主要建设内容包括实施配套基础设施改造提升、历史文化遗产保护及生态环境整治提升，改善交通拥堵，保留历史任务环境记忆，改善居住环境，提升公共服务供给水平。项目的实施将推进老旧小区改造，改善居民生活质量，构建更健康、更安全、更宜居的居住环境。</w:t>
            </w: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A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2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6879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60C42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93551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EC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6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6ED45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8C27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8DDFB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5A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8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5260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097A4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DE9A5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7B777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0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5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BE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A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2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历史参考值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3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5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28F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54E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B35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5C0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3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成本偏离度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5963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8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B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7B4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61D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ABE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590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19D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9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修建小区配套停车库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6BB9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7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A23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DDC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C04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5D8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FB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276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岸线治理提升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32D3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985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87C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D2C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BFC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3EB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37D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历史建筑修缮及设施改造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BBAA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0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处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D4AE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A883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66D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5F99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481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8B5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F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外墙面整治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528E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180900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50C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A69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E67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8DE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448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55F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电力电缆改造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F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9A84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61180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574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35D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95B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EF0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D1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0B3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排水管网改造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38AB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31030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CA3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04D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22B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16A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76E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A17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D135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EFA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621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70D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EE5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0B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8ED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步道改造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D4F3">
            <w:pP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24090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A4F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6BF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91A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5A3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86F4EB2">
      <w:pPr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0B064D0">
      <w:pPr>
        <w:pStyle w:val="1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8</w:t>
      </w:r>
    </w:p>
    <w:p w14:paraId="49036A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firstLine="2503" w:firstLineChars="569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u w:val="none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u w:val="none"/>
        </w:rPr>
        <w:t>渝中区老旧小区改造提升项目（三期）绩效目标表</w:t>
      </w:r>
    </w:p>
    <w:tbl>
      <w:tblPr>
        <w:tblStyle w:val="14"/>
        <w:tblW w:w="5442" w:type="pct"/>
        <w:tblInd w:w="-624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2"/>
        <w:gridCol w:w="1865"/>
        <w:gridCol w:w="2080"/>
        <w:gridCol w:w="1487"/>
        <w:gridCol w:w="679"/>
        <w:gridCol w:w="286"/>
        <w:gridCol w:w="760"/>
        <w:gridCol w:w="943"/>
        <w:gridCol w:w="1465"/>
        <w:gridCol w:w="614"/>
        <w:gridCol w:w="1040"/>
        <w:gridCol w:w="1692"/>
      </w:tblGrid>
      <w:tr w14:paraId="2EBCBF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82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华文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FC6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华文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3D9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E4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9A6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5C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3E3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56F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16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D5B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50E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AB6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华文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单位：元</w:t>
            </w:r>
          </w:p>
        </w:tc>
      </w:tr>
      <w:tr w14:paraId="6DBDC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C9B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29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8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7C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1354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E4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渝中区老旧小区改造提升项目（三期）</w:t>
            </w:r>
          </w:p>
        </w:tc>
        <w:tc>
          <w:tcPr>
            <w:tcW w:w="541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C58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55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495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06-其他/01-其他</w:t>
            </w:r>
          </w:p>
        </w:tc>
      </w:tr>
      <w:tr w14:paraId="77FA9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3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2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4E2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D9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35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B46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阳坤勇</w:t>
            </w:r>
          </w:p>
        </w:tc>
        <w:tc>
          <w:tcPr>
            <w:tcW w:w="5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DE4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19E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3844536800</w:t>
            </w:r>
          </w:p>
        </w:tc>
      </w:tr>
      <w:tr w14:paraId="5F4689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CC5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</w:tc>
        <w:tc>
          <w:tcPr>
            <w:tcW w:w="12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9A0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8C8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135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349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15922656383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A99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EA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72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3844536800 </w:t>
            </w:r>
          </w:p>
        </w:tc>
      </w:tr>
      <w:tr w14:paraId="131310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47EA9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3133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2D2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中区老旧小区改造提升项目（三期）主要涉及项目有人民村社区及人民路沿线老旧小区改造提升项目、煤建新村C片区老旧小区改造提升项目、彭家花园片区老旧小区改造提升项目、茶亭北路片区老旧小区改造提升项目、菜园坝西部-大坪浮图关片区老旧小区配套基础设施建设工程、解放碑大井巷片区老旧小区配套基础设施建设工程、上清寺桂花园片区老旧小区配套基础设施建设工程等项目，项目通过老旧小区改造提升（墙面改造修复、楼道照明提升、扶手栏杆改造等），老旧小区配套基础设施建设（市政道路建设及整治修复、环境优化及治理、综合管网改造及整治、养老及医疗等公共服务改造提升等），信息化智能提升改造等工程，提升老旧小区区域人居环境及区域整体环境，完善区域公共配套、提升服务水平，提升区域居民满意度。同时项目的实施可提升渝中区城市形象，改善投资环境，提升城市的综合竞争力，引导地区经济发展。</w:t>
            </w:r>
          </w:p>
        </w:tc>
        <w:tc>
          <w:tcPr>
            <w:tcW w:w="5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92A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8A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78E01B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158AC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133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DFB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09A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B4C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49CA4D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343E4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133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954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DAA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2C1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3DBBEB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1636C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133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198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993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A97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19FCCC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C6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23B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D7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1C2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3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CE5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5D5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98A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7593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685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3A5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2A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老旧小区改造提升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33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96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E56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栋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D89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DE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7436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AA6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2A5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17A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市政道路建设及整治修复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65A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2D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87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28D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86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F959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BD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E3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61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环境综合治理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B2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4A1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B61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3A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DDD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AA71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BC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357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6B5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综合管网改造及整治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A8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88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39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F4F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F21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9030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83B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759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6CD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养老及医疗等公共服务</w:t>
            </w:r>
          </w:p>
          <w:p w14:paraId="6D65B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改造提升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8B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D4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638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9A4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8F0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A713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1E5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6C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063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成本偏离度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8E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5D0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804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3C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97B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3737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A69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E8A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535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居民满意度指标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8B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A92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365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AF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CDC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79ED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70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A6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65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F1E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完善城市配套设施，改善区域居住环境，降低居民对整体环境的投诉率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319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3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9C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642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01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7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762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E3801FB">
      <w:pPr>
        <w:pStyle w:val="12"/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14"/>
        <w:tblW w:w="4987" w:type="pct"/>
        <w:tblInd w:w="-1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7"/>
        <w:gridCol w:w="1270"/>
        <w:gridCol w:w="1506"/>
        <w:gridCol w:w="1466"/>
        <w:gridCol w:w="753"/>
        <w:gridCol w:w="305"/>
        <w:gridCol w:w="862"/>
        <w:gridCol w:w="932"/>
        <w:gridCol w:w="1173"/>
        <w:gridCol w:w="1095"/>
        <w:gridCol w:w="1104"/>
        <w:gridCol w:w="907"/>
        <w:gridCol w:w="797"/>
      </w:tblGrid>
      <w:tr w14:paraId="1B10C5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F4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附件9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1D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19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DC9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69F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DCD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D34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910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E27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733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28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DF7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3F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05A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46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小标宋_GBK" w:cs="Times New Roman"/>
                <w:color w:val="auto"/>
                <w:kern w:val="0"/>
                <w:sz w:val="40"/>
                <w:szCs w:val="40"/>
                <w:highlight w:val="none"/>
                <w:lang w:val="en-US" w:eastAsia="zh-CN" w:bidi="ar"/>
              </w:rPr>
              <w:t>渝中区城市更新项目（二期）绩效目标表</w:t>
            </w:r>
          </w:p>
        </w:tc>
      </w:tr>
      <w:tr w14:paraId="7ADDB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F6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9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22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29D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14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C25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渝中区城市更新项目（二期）</w:t>
            </w:r>
          </w:p>
        </w:tc>
        <w:tc>
          <w:tcPr>
            <w:tcW w:w="7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DFB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BE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06-其他/01-其他</w:t>
            </w:r>
          </w:p>
        </w:tc>
      </w:tr>
      <w:tr w14:paraId="7ADA7EE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B2B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9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15E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9B5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4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A77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阳坤勇</w:t>
            </w:r>
          </w:p>
        </w:tc>
        <w:tc>
          <w:tcPr>
            <w:tcW w:w="7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51F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7B4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2813211100</w:t>
            </w:r>
          </w:p>
        </w:tc>
      </w:tr>
      <w:tr w14:paraId="2A0B37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D6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</w:tc>
        <w:tc>
          <w:tcPr>
            <w:tcW w:w="9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C7D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F83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14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B5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15922656383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E1B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3C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3D9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2813211100</w:t>
            </w:r>
          </w:p>
        </w:tc>
      </w:tr>
      <w:tr w14:paraId="251016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1367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2955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6B10F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完成项目老旧小区改造面积及相关户数整改，质量及效果满足前期规划要求</w:t>
            </w:r>
          </w:p>
        </w:tc>
        <w:tc>
          <w:tcPr>
            <w:tcW w:w="7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F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457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5F397F6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01603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5FFA8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48E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9F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1A9015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77372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5101D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5DB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219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6B5671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 w14:paraId="0D818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top"/>
          </w:tcPr>
          <w:p w14:paraId="56040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DBF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062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559E02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AF7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05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83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E6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2E5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历史参考值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D2A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BC0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70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BC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4F34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B40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28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6BB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环境问题投诉率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857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8B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999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5C2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AFC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B53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1E55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0B6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4E7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7B6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成本偏离度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D87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B54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8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03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310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5BF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FCD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6C3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23B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BB2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完成老旧小区改造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6B2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B33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6A9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35F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栋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2BD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E6F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1BE5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75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F5B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652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新增及改造停车位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80F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0D1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078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61D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DA7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653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D5A5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F7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270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0C3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环境综合整治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487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ACA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36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E6D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D28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8F8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FCC7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5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9D6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FA3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新增机动车充电设施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8C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CCD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75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F2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2F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0B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A6D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EC9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49E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8F4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综合管网改造及整治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27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782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4F8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DBA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B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B8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C673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CD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386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87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居民满意度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5C2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4DC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0C7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51A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028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BF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F81E900">
      <w:pPr>
        <w:pStyle w:val="12"/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0A86FD1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附件10</w:t>
      </w:r>
    </w:p>
    <w:p w14:paraId="5AA1B1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u w:val="none"/>
          <w:lang w:val="en-US" w:eastAsia="zh-CN" w:bidi="ar-SA"/>
        </w:rPr>
        <w:t>渝中区城市更新项目（四期）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  <w:t>绩效目标表</w:t>
      </w:r>
    </w:p>
    <w:p w14:paraId="4C752A9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right"/>
        <w:textAlignment w:val="auto"/>
      </w:pPr>
      <w:r>
        <w:rPr>
          <w:rFonts w:hint="eastAsia" w:ascii="方正仿宋_GBK" w:hAnsi="方正仿宋_GBK" w:eastAsia="方正仿宋_GBK" w:cs="方正仿宋_GBK"/>
          <w:sz w:val="21"/>
          <w:szCs w:val="21"/>
          <w:u w:val="none"/>
          <w:lang w:val="en-US" w:eastAsia="zh-CN"/>
        </w:rPr>
        <w:t>单位：元</w:t>
      </w:r>
    </w:p>
    <w:tbl>
      <w:tblPr>
        <w:tblStyle w:val="14"/>
        <w:tblW w:w="14970" w:type="dxa"/>
        <w:tblInd w:w="-2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650"/>
        <w:gridCol w:w="2630"/>
        <w:gridCol w:w="1710"/>
        <w:gridCol w:w="1165"/>
        <w:gridCol w:w="597"/>
        <w:gridCol w:w="723"/>
        <w:gridCol w:w="787"/>
        <w:gridCol w:w="459"/>
        <w:gridCol w:w="719"/>
        <w:gridCol w:w="1130"/>
        <w:gridCol w:w="630"/>
        <w:gridCol w:w="950"/>
      </w:tblGrid>
      <w:tr w14:paraId="100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A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8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1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0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重庆市渝中区城市更新项目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四期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5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2A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06-其他/01-其他</w:t>
            </w:r>
          </w:p>
        </w:tc>
      </w:tr>
      <w:tr w14:paraId="4868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A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6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2F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1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3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C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2480125500</w:t>
            </w:r>
          </w:p>
        </w:tc>
      </w:tr>
      <w:tr w14:paraId="17DD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B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</w:tc>
        <w:tc>
          <w:tcPr>
            <w:tcW w:w="4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4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E8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3C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8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2480125500</w:t>
            </w:r>
          </w:p>
        </w:tc>
      </w:tr>
      <w:tr w14:paraId="53E17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21F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9721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B82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解放碑-朝天门片区鹅岭片区、鹅岭-浮图关-虎头岩片区、黄沙溪片区、李子坝片区等进行城市基础设施更新改造，主要建设内容包括实施城市配套基础设施改造提升、历史文化遗产保护及生态环境整治提升，改善交通拥堵，保留历史任务环境记忆，改善居住环境，提升公共服务供给水平。项目的实施将全面推进城市更新改造，不断提升城市品质，改善居民生活质量，构建更健康、更安全、更宜居的居住环境。</w:t>
            </w:r>
          </w:p>
        </w:tc>
        <w:tc>
          <w:tcPr>
            <w:tcW w:w="1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F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E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6F8D6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8C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609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5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6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4C076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F1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35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2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7B729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A1E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17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D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 w14:paraId="2875E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C4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4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3F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A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历史参考值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E9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A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4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4B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D7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81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4C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48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567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9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8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6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成本偏离度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2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E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9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A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15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43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39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2B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46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7F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F2C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3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2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F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建筑外墙面隐患治理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0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8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5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52000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3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4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01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F7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14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DD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F2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5EC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0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3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9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修建小区配套停车库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E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7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9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C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50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61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C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61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2C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6BA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D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D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道路改造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6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5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2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E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2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4D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12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79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1B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89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3FD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0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3B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71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步道改造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1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5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A2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BE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3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95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59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86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C5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8A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3D0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4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E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2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岸线治理提升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EF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1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公里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CF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B2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D8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5C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28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E8C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3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3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D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文化休闲设施及隐患整治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5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C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CB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B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8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BD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FA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66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63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ED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C9F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F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CA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完善城市配套设施，改善区域居住环境，降低居民对整体</w:t>
            </w:r>
          </w:p>
          <w:p w14:paraId="718C9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环境的投诉率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C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6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E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B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D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32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F2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F3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25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60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ADB28F7">
      <w:pPr>
        <w:rPr>
          <w:rFonts w:hint="default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14"/>
        <w:tblW w:w="13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151"/>
        <w:gridCol w:w="2136"/>
        <w:gridCol w:w="1059"/>
        <w:gridCol w:w="1162"/>
        <w:gridCol w:w="872"/>
        <w:gridCol w:w="600"/>
        <w:gridCol w:w="722"/>
        <w:gridCol w:w="1238"/>
        <w:gridCol w:w="731"/>
        <w:gridCol w:w="1106"/>
        <w:gridCol w:w="387"/>
        <w:gridCol w:w="223"/>
        <w:gridCol w:w="223"/>
        <w:gridCol w:w="630"/>
      </w:tblGrid>
      <w:tr w14:paraId="24805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2D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C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7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E8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C8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D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0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D0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CC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2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B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A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E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5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7A9C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38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6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4"/>
                <w:szCs w:val="44"/>
                <w:lang w:val="en-US" w:eastAsia="zh-CN" w:bidi="ar"/>
              </w:rPr>
              <w:t>重庆市环重医大健康医疗产业园区（一期）项目绩效目标表</w:t>
            </w:r>
          </w:p>
          <w:p w14:paraId="54C77D9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right"/>
              <w:textAlignment w:val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单位：元</w:t>
            </w:r>
          </w:p>
        </w:tc>
      </w:tr>
      <w:tr w14:paraId="2426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0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单位信息：</w:t>
            </w:r>
          </w:p>
        </w:tc>
        <w:tc>
          <w:tcPr>
            <w:tcW w:w="3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080001-经建科代编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项目名称：</w:t>
            </w:r>
          </w:p>
        </w:tc>
        <w:tc>
          <w:tcPr>
            <w:tcW w:w="45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0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重庆市环重医大健康医疗产业园区（一期）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3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职能职责与活动：</w:t>
            </w:r>
          </w:p>
        </w:tc>
        <w:tc>
          <w:tcPr>
            <w:tcW w:w="1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4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06-其他/01-其他</w:t>
            </w:r>
          </w:p>
        </w:tc>
      </w:tr>
      <w:tr w14:paraId="5BDFB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E8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主管部门：</w:t>
            </w:r>
          </w:p>
        </w:tc>
        <w:tc>
          <w:tcPr>
            <w:tcW w:w="3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0C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080-经建科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B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项目经办人：</w:t>
            </w:r>
          </w:p>
        </w:tc>
        <w:tc>
          <w:tcPr>
            <w:tcW w:w="45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9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金明智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F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项目总额：</w:t>
            </w:r>
          </w:p>
        </w:tc>
        <w:tc>
          <w:tcPr>
            <w:tcW w:w="1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4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1,833,478,400元</w:t>
            </w:r>
          </w:p>
        </w:tc>
      </w:tr>
      <w:tr w14:paraId="6AADA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8D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预算执行率权重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：</w:t>
            </w:r>
          </w:p>
        </w:tc>
        <w:tc>
          <w:tcPr>
            <w:tcW w:w="3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0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项目经办人电话：</w:t>
            </w:r>
          </w:p>
        </w:tc>
        <w:tc>
          <w:tcPr>
            <w:tcW w:w="45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21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13983058790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A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其中：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E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财政资金：</w:t>
            </w:r>
          </w:p>
        </w:tc>
        <w:tc>
          <w:tcPr>
            <w:tcW w:w="1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B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1,833,478,400元</w:t>
            </w:r>
          </w:p>
        </w:tc>
      </w:tr>
      <w:tr w14:paraId="02601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74E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整体目标：</w:t>
            </w:r>
          </w:p>
        </w:tc>
        <w:tc>
          <w:tcPr>
            <w:tcW w:w="894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BB5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面积约 18亩，拟与重庆医科大学形成产业集合，作为医疗教育科研孵化基地建设，总建筑面积51438.54平方米。其中，地上建筑面积 44906.02 平方米，分别为研发中心 21406.02 平方米与孵化中心 23500平方米;地下建筑面积 6532.52平方米。建设内容包括地上建筑和地下车库的土建、机电工程，园区的道路、排水、照明绿化景观及附属设施工程。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D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财政专户管理资金：</w:t>
            </w:r>
          </w:p>
        </w:tc>
        <w:tc>
          <w:tcPr>
            <w:tcW w:w="1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6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 w14:paraId="4411E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FF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94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BB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单位资金：</w:t>
            </w:r>
          </w:p>
        </w:tc>
        <w:tc>
          <w:tcPr>
            <w:tcW w:w="1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D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 w14:paraId="27830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363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94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8C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D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社会投入资金：</w:t>
            </w:r>
          </w:p>
        </w:tc>
        <w:tc>
          <w:tcPr>
            <w:tcW w:w="1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0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 w14:paraId="03798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D4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94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8AB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F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银行贷款：</w:t>
            </w:r>
          </w:p>
        </w:tc>
        <w:tc>
          <w:tcPr>
            <w:tcW w:w="1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3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 w14:paraId="7B486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6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一级指标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C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二级指标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0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三级指标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指标性质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0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历史参考值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9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指标值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D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度量单位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D2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权重（%）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FA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4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4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3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8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A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D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DB60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9A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成本指标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4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17"/>
                <w:kern w:val="0"/>
                <w:sz w:val="18"/>
                <w:szCs w:val="18"/>
                <w:lang w:val="en-US" w:eastAsia="zh-CN" w:bidi="ar"/>
              </w:rPr>
              <w:t>经济成本指标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成本偏离度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D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≤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%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23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A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D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6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3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9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F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21D2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2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15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数量指标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45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完成新建道路建设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2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F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05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F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米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7E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0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24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2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1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7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D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87C6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3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数量指标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C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完成既有道路拓宽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3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E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3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800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8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米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F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9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15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2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7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5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6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3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095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4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6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数量指标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D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完成人行天桥建设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4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E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E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C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座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2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3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5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7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B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4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7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4938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E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C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时效指标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3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完成年度建设计划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9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定性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3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按进度完成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B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5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E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项目前期准备和建设工期共计60个月，计划项目前期工作为12个月，建设工期48个月</w:t>
            </w:r>
          </w:p>
        </w:tc>
      </w:tr>
      <w:tr w14:paraId="60E68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4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质量指标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5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项目设计方案变更率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E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≤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D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7F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2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%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2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F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7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E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5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C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D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E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8EC6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9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数量指标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D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综合管网改造及整治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5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0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39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千米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F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0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BF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0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6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6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49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2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13DE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9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产出指标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71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质量指标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C2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项目竣工验收达标率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B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3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C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6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%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4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3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2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2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6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9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B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3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9D17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3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满意度指标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F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满意度指标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A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对象满意度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E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E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3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C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%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0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7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A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4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D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5A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6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6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8AFB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2F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效益指标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社会效益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22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计算期内年均GDP贡献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BE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A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0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50000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7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万元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6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D1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不含建设期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C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BF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7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1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2D7EAA05">
      <w:pPr>
        <w:pStyle w:val="12"/>
        <w:jc w:val="left"/>
        <w:rPr>
          <w:rFonts w:hint="default"/>
          <w:lang w:val="en-US" w:eastAsia="zh-CN"/>
        </w:rPr>
        <w:sectPr>
          <w:footerReference r:id="rId5" w:type="default"/>
          <w:pgSz w:w="16838" w:h="11906" w:orient="landscape"/>
          <w:pgMar w:top="1417" w:right="1417" w:bottom="1417" w:left="1417" w:header="851" w:footer="992" w:gutter="0"/>
          <w:pgNumType w:fmt="decimal"/>
          <w:cols w:space="425" w:num="1"/>
          <w:docGrid w:type="lines" w:linePitch="312" w:charSpace="0"/>
        </w:sectPr>
      </w:pPr>
    </w:p>
    <w:p w14:paraId="51D94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lang w:val="en-US" w:eastAsia="zh-CN"/>
        </w:rPr>
      </w:pPr>
    </w:p>
    <w:sectPr>
      <w:footerReference r:id="rId6" w:type="default"/>
      <w:footerReference r:id="rId7" w:type="even"/>
      <w:pgSz w:w="11906" w:h="16838"/>
      <w:pgMar w:top="2098" w:right="1559" w:bottom="1984" w:left="1559" w:header="851" w:footer="1219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E6751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-208915</wp:posOffset>
              </wp:positionV>
              <wp:extent cx="979805" cy="3549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805" cy="354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FE41A">
                          <w:pPr>
                            <w:pStyle w:val="8"/>
                            <w:ind w:firstLine="280" w:firstLineChars="100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45pt;height:27.95pt;width:77.15pt;mso-position-horizontal:outside;mso-position-horizontal-relative:margin;z-index:251659264;mso-width-relative:page;mso-height-relative:page;" filled="f" stroked="f" coordsize="21600,21600" o:gfxdata="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qSYY9YAAAAHAQAADwAAAAAAAAABACAAAAAiAAAAZHJzL2Rvd25y&#10;ZXYueG1sUEsBAhQAFAAAAAgAh07iQFMkBWM5AgAAY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CCFE41A">
                    <w:pPr>
                      <w:pStyle w:val="8"/>
                      <w:ind w:firstLine="280" w:firstLineChars="100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701F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-123190</wp:posOffset>
              </wp:positionV>
              <wp:extent cx="1083310" cy="2692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310" cy="269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94A9DA">
                          <w:pPr>
                            <w:pStyle w:val="8"/>
                            <w:ind w:firstLine="280" w:firstLineChars="100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7pt;height:21.2pt;width:85.3pt;mso-position-horizontal:outside;mso-position-horizontal-relative:margin;z-index:251660288;mso-width-relative:page;mso-height-relative:page;" filled="f" stroked="f" coordsize="21600,21600" o:gfxdata="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3AqjfWAAAABwEAAA8AAAAAAAAAAQAgAAAAIgAAAGRycy9kb3ducmV2&#10;LnhtbFBLAQIUABQAAAAIAIdO4kBFdnhHNwIAAGI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F94A9DA">
                    <w:pPr>
                      <w:pStyle w:val="8"/>
                      <w:ind w:firstLine="280" w:firstLineChars="100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D5C6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-123190</wp:posOffset>
              </wp:positionV>
              <wp:extent cx="1018540" cy="2692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8540" cy="269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D7028D">
                          <w:pPr>
                            <w:pStyle w:val="8"/>
                            <w:ind w:firstLine="280" w:firstLineChars="100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7pt;height:21.2pt;width:80.2pt;mso-position-horizontal:outside;mso-position-horizontal-relative:margin;z-index:251661312;mso-width-relative:page;mso-height-relative:page;" filled="f" stroked="f" coordsize="21600,21600" o:gfxdata="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svtYnVAAAABwEAAA8AAAAAAAAAAQAgAAAAIgAAAGRycy9kb3ducmV2&#10;LnhtbFBLAQIUABQAAAAIAIdO4kAeMp5gOAIAAGI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2D7028D">
                    <w:pPr>
                      <w:pStyle w:val="8"/>
                      <w:ind w:firstLine="280" w:firstLineChars="100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B4C93"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1E9D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ZWE4OTIzMWQzNDZiNTg5OGY1YzEyYWE2YWY3NWYifQ=="/>
  </w:docVars>
  <w:rsids>
    <w:rsidRoot w:val="1D99774C"/>
    <w:rsid w:val="000C0710"/>
    <w:rsid w:val="00367F33"/>
    <w:rsid w:val="00677C8E"/>
    <w:rsid w:val="007F2D5E"/>
    <w:rsid w:val="00905140"/>
    <w:rsid w:val="00E936B2"/>
    <w:rsid w:val="02B41E8E"/>
    <w:rsid w:val="03466EAC"/>
    <w:rsid w:val="04702609"/>
    <w:rsid w:val="04A87243"/>
    <w:rsid w:val="05B506FC"/>
    <w:rsid w:val="06453226"/>
    <w:rsid w:val="08B06F59"/>
    <w:rsid w:val="093565B7"/>
    <w:rsid w:val="09811362"/>
    <w:rsid w:val="09824426"/>
    <w:rsid w:val="09BC59C8"/>
    <w:rsid w:val="09F91840"/>
    <w:rsid w:val="0A366B3D"/>
    <w:rsid w:val="0A4A03B5"/>
    <w:rsid w:val="0AA01CBB"/>
    <w:rsid w:val="0AA115CF"/>
    <w:rsid w:val="0AAB369D"/>
    <w:rsid w:val="0BB208BA"/>
    <w:rsid w:val="0BEB214B"/>
    <w:rsid w:val="0BEF2EFA"/>
    <w:rsid w:val="0C090B57"/>
    <w:rsid w:val="0C450A32"/>
    <w:rsid w:val="0C98211E"/>
    <w:rsid w:val="0CCC4A41"/>
    <w:rsid w:val="0CFF368C"/>
    <w:rsid w:val="0D043578"/>
    <w:rsid w:val="0D284D9E"/>
    <w:rsid w:val="0DFE5DD7"/>
    <w:rsid w:val="0E5042D5"/>
    <w:rsid w:val="0E71409B"/>
    <w:rsid w:val="0EC1722E"/>
    <w:rsid w:val="0F952A47"/>
    <w:rsid w:val="0F9E3017"/>
    <w:rsid w:val="102173FB"/>
    <w:rsid w:val="10D57E39"/>
    <w:rsid w:val="10D65F38"/>
    <w:rsid w:val="113D0264"/>
    <w:rsid w:val="11875F8D"/>
    <w:rsid w:val="11E16130"/>
    <w:rsid w:val="128671D5"/>
    <w:rsid w:val="12912563"/>
    <w:rsid w:val="13474CC3"/>
    <w:rsid w:val="14532803"/>
    <w:rsid w:val="14763ED7"/>
    <w:rsid w:val="15A27685"/>
    <w:rsid w:val="15A5287C"/>
    <w:rsid w:val="15B81536"/>
    <w:rsid w:val="160042CF"/>
    <w:rsid w:val="161171D6"/>
    <w:rsid w:val="163B14F6"/>
    <w:rsid w:val="18441777"/>
    <w:rsid w:val="184B028C"/>
    <w:rsid w:val="18966EF2"/>
    <w:rsid w:val="18C216A4"/>
    <w:rsid w:val="18F3622B"/>
    <w:rsid w:val="192C2D2A"/>
    <w:rsid w:val="19DD0836"/>
    <w:rsid w:val="1A8213DE"/>
    <w:rsid w:val="1ACA59D4"/>
    <w:rsid w:val="1B477F47"/>
    <w:rsid w:val="1B903759"/>
    <w:rsid w:val="1BB35991"/>
    <w:rsid w:val="1C0155CC"/>
    <w:rsid w:val="1C5377AC"/>
    <w:rsid w:val="1D1B37CD"/>
    <w:rsid w:val="1D272CBC"/>
    <w:rsid w:val="1D606609"/>
    <w:rsid w:val="1D99774C"/>
    <w:rsid w:val="1DB23AD2"/>
    <w:rsid w:val="1DEE205C"/>
    <w:rsid w:val="1E7352C5"/>
    <w:rsid w:val="1EFB7E1C"/>
    <w:rsid w:val="1F376152"/>
    <w:rsid w:val="2026404B"/>
    <w:rsid w:val="20490AAF"/>
    <w:rsid w:val="208E57D7"/>
    <w:rsid w:val="208F42EE"/>
    <w:rsid w:val="21277367"/>
    <w:rsid w:val="21513679"/>
    <w:rsid w:val="22073F64"/>
    <w:rsid w:val="22934188"/>
    <w:rsid w:val="22A06578"/>
    <w:rsid w:val="2347158B"/>
    <w:rsid w:val="235F0FAF"/>
    <w:rsid w:val="238012D7"/>
    <w:rsid w:val="2449339B"/>
    <w:rsid w:val="244F362F"/>
    <w:rsid w:val="246B2C9E"/>
    <w:rsid w:val="24BB6586"/>
    <w:rsid w:val="25867FD4"/>
    <w:rsid w:val="25CA09D6"/>
    <w:rsid w:val="262F006F"/>
    <w:rsid w:val="2671620A"/>
    <w:rsid w:val="269D3BA8"/>
    <w:rsid w:val="275037C5"/>
    <w:rsid w:val="278D1FC7"/>
    <w:rsid w:val="27FF2E59"/>
    <w:rsid w:val="280C1219"/>
    <w:rsid w:val="285A07CF"/>
    <w:rsid w:val="287639B7"/>
    <w:rsid w:val="28FF2F52"/>
    <w:rsid w:val="29047171"/>
    <w:rsid w:val="29C503F5"/>
    <w:rsid w:val="29FB06AA"/>
    <w:rsid w:val="2A380555"/>
    <w:rsid w:val="2A71191B"/>
    <w:rsid w:val="2AE10E77"/>
    <w:rsid w:val="2AFA4376"/>
    <w:rsid w:val="2CCA7587"/>
    <w:rsid w:val="2CD978E2"/>
    <w:rsid w:val="2CEC7037"/>
    <w:rsid w:val="2D8F777B"/>
    <w:rsid w:val="2DB939C5"/>
    <w:rsid w:val="2DC2742A"/>
    <w:rsid w:val="2DE22454"/>
    <w:rsid w:val="2EAE3554"/>
    <w:rsid w:val="2EE80A57"/>
    <w:rsid w:val="2F5A593B"/>
    <w:rsid w:val="2FBF3009"/>
    <w:rsid w:val="30986E0D"/>
    <w:rsid w:val="32457F5C"/>
    <w:rsid w:val="32932979"/>
    <w:rsid w:val="32BE0594"/>
    <w:rsid w:val="35E11C8A"/>
    <w:rsid w:val="38123C9C"/>
    <w:rsid w:val="38346282"/>
    <w:rsid w:val="38BD1497"/>
    <w:rsid w:val="38C369F1"/>
    <w:rsid w:val="390C190F"/>
    <w:rsid w:val="395D3C58"/>
    <w:rsid w:val="39C109CE"/>
    <w:rsid w:val="3A0E1EEE"/>
    <w:rsid w:val="3A1645EC"/>
    <w:rsid w:val="3A177B51"/>
    <w:rsid w:val="3A5D2658"/>
    <w:rsid w:val="3B043A1D"/>
    <w:rsid w:val="3B0C04F9"/>
    <w:rsid w:val="3B135323"/>
    <w:rsid w:val="3C5B55BC"/>
    <w:rsid w:val="3CC135E9"/>
    <w:rsid w:val="3D1259E5"/>
    <w:rsid w:val="3D931088"/>
    <w:rsid w:val="3DDE839E"/>
    <w:rsid w:val="3DE37444"/>
    <w:rsid w:val="3E483FA5"/>
    <w:rsid w:val="3E5E71E2"/>
    <w:rsid w:val="3F214472"/>
    <w:rsid w:val="3F7157B8"/>
    <w:rsid w:val="40381A73"/>
    <w:rsid w:val="4159347B"/>
    <w:rsid w:val="418A524F"/>
    <w:rsid w:val="41C07F72"/>
    <w:rsid w:val="41E06866"/>
    <w:rsid w:val="42224810"/>
    <w:rsid w:val="4226071D"/>
    <w:rsid w:val="42946E96"/>
    <w:rsid w:val="44093D5D"/>
    <w:rsid w:val="441D6639"/>
    <w:rsid w:val="44366B0D"/>
    <w:rsid w:val="45921CA3"/>
    <w:rsid w:val="46707A3A"/>
    <w:rsid w:val="46ED7A5B"/>
    <w:rsid w:val="47071753"/>
    <w:rsid w:val="47251A46"/>
    <w:rsid w:val="47CC5B4B"/>
    <w:rsid w:val="47FF2D7C"/>
    <w:rsid w:val="481D7ECC"/>
    <w:rsid w:val="48CD2A9E"/>
    <w:rsid w:val="49211C3E"/>
    <w:rsid w:val="49840F20"/>
    <w:rsid w:val="4AA70DAF"/>
    <w:rsid w:val="4BDE11F0"/>
    <w:rsid w:val="4C293BB4"/>
    <w:rsid w:val="4C43295D"/>
    <w:rsid w:val="4CE507DE"/>
    <w:rsid w:val="4CF5276D"/>
    <w:rsid w:val="4D285190"/>
    <w:rsid w:val="4E1F3ADA"/>
    <w:rsid w:val="4E3203BE"/>
    <w:rsid w:val="4E410375"/>
    <w:rsid w:val="4E492D9E"/>
    <w:rsid w:val="4EA72016"/>
    <w:rsid w:val="4EF35363"/>
    <w:rsid w:val="4F393DFF"/>
    <w:rsid w:val="4F5D2602"/>
    <w:rsid w:val="50074FD7"/>
    <w:rsid w:val="504F4827"/>
    <w:rsid w:val="516F06F6"/>
    <w:rsid w:val="518D55B1"/>
    <w:rsid w:val="51C74954"/>
    <w:rsid w:val="52195B6A"/>
    <w:rsid w:val="52AF02BB"/>
    <w:rsid w:val="52C15295"/>
    <w:rsid w:val="52E11B67"/>
    <w:rsid w:val="53280ECE"/>
    <w:rsid w:val="534260C2"/>
    <w:rsid w:val="53433B89"/>
    <w:rsid w:val="534D5047"/>
    <w:rsid w:val="539F3E8B"/>
    <w:rsid w:val="53D40738"/>
    <w:rsid w:val="54332825"/>
    <w:rsid w:val="55281985"/>
    <w:rsid w:val="554717DD"/>
    <w:rsid w:val="55DA2F67"/>
    <w:rsid w:val="565A0081"/>
    <w:rsid w:val="56D977E9"/>
    <w:rsid w:val="573D4071"/>
    <w:rsid w:val="57453416"/>
    <w:rsid w:val="575F5205"/>
    <w:rsid w:val="57BA4F51"/>
    <w:rsid w:val="58AD6BFE"/>
    <w:rsid w:val="58BC5608"/>
    <w:rsid w:val="58C4152D"/>
    <w:rsid w:val="58F7302B"/>
    <w:rsid w:val="593714C1"/>
    <w:rsid w:val="59861EBB"/>
    <w:rsid w:val="598A5F14"/>
    <w:rsid w:val="59A34AFE"/>
    <w:rsid w:val="5B5F51C1"/>
    <w:rsid w:val="5BB433CF"/>
    <w:rsid w:val="5C0A3EB4"/>
    <w:rsid w:val="5C6A3539"/>
    <w:rsid w:val="5C8C4ED1"/>
    <w:rsid w:val="5D964551"/>
    <w:rsid w:val="5DF20D30"/>
    <w:rsid w:val="5E0948B2"/>
    <w:rsid w:val="5E700981"/>
    <w:rsid w:val="5E8A11D8"/>
    <w:rsid w:val="5E9F68F0"/>
    <w:rsid w:val="5EE373EA"/>
    <w:rsid w:val="5F2A3FC9"/>
    <w:rsid w:val="5F4E3DF6"/>
    <w:rsid w:val="5F6E3D46"/>
    <w:rsid w:val="5F804BCD"/>
    <w:rsid w:val="5FA10F8B"/>
    <w:rsid w:val="5FF26453"/>
    <w:rsid w:val="60420FD1"/>
    <w:rsid w:val="60635BFA"/>
    <w:rsid w:val="60C96203"/>
    <w:rsid w:val="62472C9D"/>
    <w:rsid w:val="62481032"/>
    <w:rsid w:val="62B17737"/>
    <w:rsid w:val="637131E0"/>
    <w:rsid w:val="64715DE8"/>
    <w:rsid w:val="64ED3185"/>
    <w:rsid w:val="64FE56F7"/>
    <w:rsid w:val="653955CE"/>
    <w:rsid w:val="657856DA"/>
    <w:rsid w:val="65E666E9"/>
    <w:rsid w:val="662F2375"/>
    <w:rsid w:val="663849C4"/>
    <w:rsid w:val="66934B57"/>
    <w:rsid w:val="66CB4696"/>
    <w:rsid w:val="66EB2031"/>
    <w:rsid w:val="678F2249"/>
    <w:rsid w:val="67AE553A"/>
    <w:rsid w:val="67E66502"/>
    <w:rsid w:val="691737EF"/>
    <w:rsid w:val="695C3188"/>
    <w:rsid w:val="696B3ADA"/>
    <w:rsid w:val="69BA5EA6"/>
    <w:rsid w:val="69C52A82"/>
    <w:rsid w:val="6B082F76"/>
    <w:rsid w:val="6B9A29F3"/>
    <w:rsid w:val="6BB06034"/>
    <w:rsid w:val="6C1014FE"/>
    <w:rsid w:val="6C3021FF"/>
    <w:rsid w:val="6CCF0C65"/>
    <w:rsid w:val="6CD01D77"/>
    <w:rsid w:val="6CEE2844"/>
    <w:rsid w:val="6D095C27"/>
    <w:rsid w:val="6DE07461"/>
    <w:rsid w:val="6E5521E3"/>
    <w:rsid w:val="6EC21865"/>
    <w:rsid w:val="6EC87BA4"/>
    <w:rsid w:val="6FC976FC"/>
    <w:rsid w:val="71064B04"/>
    <w:rsid w:val="71792D55"/>
    <w:rsid w:val="718D585D"/>
    <w:rsid w:val="71EB5E14"/>
    <w:rsid w:val="724F7D34"/>
    <w:rsid w:val="73013AE7"/>
    <w:rsid w:val="73064502"/>
    <w:rsid w:val="7306762B"/>
    <w:rsid w:val="73370798"/>
    <w:rsid w:val="733B0845"/>
    <w:rsid w:val="740300C6"/>
    <w:rsid w:val="750F117A"/>
    <w:rsid w:val="75B74293"/>
    <w:rsid w:val="75F9779B"/>
    <w:rsid w:val="76233386"/>
    <w:rsid w:val="76D50680"/>
    <w:rsid w:val="77105C52"/>
    <w:rsid w:val="7725204A"/>
    <w:rsid w:val="77554CCB"/>
    <w:rsid w:val="77645B45"/>
    <w:rsid w:val="77695A80"/>
    <w:rsid w:val="77D25D2E"/>
    <w:rsid w:val="78023592"/>
    <w:rsid w:val="78083366"/>
    <w:rsid w:val="78302408"/>
    <w:rsid w:val="79196E3A"/>
    <w:rsid w:val="792B64BF"/>
    <w:rsid w:val="794D1458"/>
    <w:rsid w:val="79707752"/>
    <w:rsid w:val="79F0428C"/>
    <w:rsid w:val="7A064E26"/>
    <w:rsid w:val="7A3507F6"/>
    <w:rsid w:val="7A684F7D"/>
    <w:rsid w:val="7B0641CC"/>
    <w:rsid w:val="7B326CD8"/>
    <w:rsid w:val="7B3B2EDA"/>
    <w:rsid w:val="7BAB575B"/>
    <w:rsid w:val="7C0C05A4"/>
    <w:rsid w:val="7C462A6B"/>
    <w:rsid w:val="7D054D72"/>
    <w:rsid w:val="7D25331A"/>
    <w:rsid w:val="7D717C8B"/>
    <w:rsid w:val="7E105E68"/>
    <w:rsid w:val="7E2117BD"/>
    <w:rsid w:val="7E4F16AF"/>
    <w:rsid w:val="7EB96CF0"/>
    <w:rsid w:val="7EC93BCE"/>
    <w:rsid w:val="7EF56D7E"/>
    <w:rsid w:val="7F727F9A"/>
    <w:rsid w:val="7FF36094"/>
    <w:rsid w:val="7FF9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next w:val="1"/>
    <w:unhideWhenUsed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4">
    <w:name w:val="Body Text Indent"/>
    <w:basedOn w:val="1"/>
    <w:next w:val="1"/>
    <w:qFormat/>
    <w:uiPriority w:val="0"/>
    <w:pPr>
      <w:spacing w:line="440" w:lineRule="atLeast"/>
      <w:ind w:firstLine="640" w:firstLineChars="200"/>
    </w:pPr>
    <w:rPr>
      <w:rFonts w:eastAsia="仿宋_GB2312"/>
      <w:sz w:val="32"/>
    </w:r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方正仿宋_GBK"/>
      <w:sz w:val="32"/>
    </w:rPr>
  </w:style>
  <w:style w:type="paragraph" w:styleId="6">
    <w:name w:val="toc 3"/>
    <w:basedOn w:val="1"/>
    <w:next w:val="1"/>
    <w:unhideWhenUsed/>
    <w:qFormat/>
    <w:uiPriority w:val="39"/>
    <w:pPr>
      <w:ind w:left="840"/>
    </w:pPr>
  </w:style>
  <w:style w:type="paragraph" w:styleId="7">
    <w:name w:val="Balloon Text"/>
    <w:basedOn w:val="1"/>
    <w:link w:val="29"/>
    <w:qFormat/>
    <w:uiPriority w:val="0"/>
    <w:rPr>
      <w:sz w:val="18"/>
      <w:szCs w:val="18"/>
    </w:rPr>
  </w:style>
  <w:style w:type="paragraph" w:styleId="8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索引 51"/>
    <w:basedOn w:val="1"/>
    <w:next w:val="1"/>
    <w:qFormat/>
    <w:uiPriority w:val="0"/>
    <w:pPr>
      <w:ind w:left="168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</w:rPr>
  </w:style>
  <w:style w:type="paragraph" w:styleId="1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otnote reference"/>
    <w:basedOn w:val="16"/>
    <w:qFormat/>
    <w:uiPriority w:val="0"/>
    <w:rPr>
      <w:vertAlign w:val="superscript"/>
    </w:rPr>
  </w:style>
  <w:style w:type="paragraph" w:customStyle="1" w:styleId="18">
    <w:name w:val="列出段落1"/>
    <w:basedOn w:val="1"/>
    <w:qFormat/>
    <w:uiPriority w:val="99"/>
    <w:pPr>
      <w:ind w:firstLine="200" w:firstLineChars="200"/>
    </w:pPr>
  </w:style>
  <w:style w:type="paragraph" w:customStyle="1" w:styleId="19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20">
    <w:name w:val="Default"/>
    <w:next w:val="2"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21">
    <w:name w:val="UserStyle_0"/>
    <w:basedOn w:val="1"/>
    <w:qFormat/>
    <w:uiPriority w:val="0"/>
    <w:pPr>
      <w:textAlignment w:val="baseline"/>
    </w:pPr>
    <w:rPr>
      <w:rFonts w:ascii="Times New Roman" w:hAnsi="Times New Roman" w:eastAsia="宋体"/>
    </w:rPr>
  </w:style>
  <w:style w:type="paragraph" w:customStyle="1" w:styleId="22">
    <w:name w:val="NormalIndent"/>
    <w:basedOn w:val="1"/>
    <w:qFormat/>
    <w:uiPriority w:val="0"/>
    <w:rPr>
      <w:rFonts w:ascii="Times New Roman" w:hAnsi="Times New Roman" w:eastAsia="宋体" w:cs="Times New Roman"/>
    </w:rPr>
  </w:style>
  <w:style w:type="paragraph" w:customStyle="1" w:styleId="23">
    <w:name w:val="List Paragraph1"/>
    <w:basedOn w:val="1"/>
    <w:next w:val="8"/>
    <w:qFormat/>
    <w:uiPriority w:val="0"/>
    <w:pPr>
      <w:ind w:firstLine="200" w:firstLineChars="200"/>
    </w:pPr>
  </w:style>
  <w:style w:type="character" w:customStyle="1" w:styleId="24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7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6">
    <w:name w:val="font8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7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2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9">
    <w:name w:val="批注框文本 字符"/>
    <w:basedOn w:val="16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font11"/>
    <w:basedOn w:val="16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31">
    <w:name w:val="font41"/>
    <w:basedOn w:val="1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2">
    <w:name w:val="font6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31"/>
    <w:basedOn w:val="16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34">
    <w:name w:val="font91"/>
    <w:basedOn w:val="16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8306</Words>
  <Characters>10166</Characters>
  <Lines>55</Lines>
  <Paragraphs>15</Paragraphs>
  <TotalTime>1</TotalTime>
  <ScaleCrop>false</ScaleCrop>
  <LinksUpToDate>false</LinksUpToDate>
  <CharactersWithSpaces>10626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2024-04-25T15:31:00Z</dcterms:created>
  <dc:creator>用户名</dc:creator>
  <cp:lastModifiedBy>ASUS</cp:lastModifiedBy>
  <cp:lastPrinted>2026-07-21T04:07:00Z</cp:lastPrinted>
  <dcterms:modified xsi:type="dcterms:W3CDTF">2026-08-12T01:40:55Z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A03F16642B954B9D854F540F3E1E8E4D_13</vt:lpwstr>
  </property>
  <property fmtid="{D5CDD505-2E9C-101B-9397-08002B2CF9AE}" pid="4" name="KSOTemplateDocerSaveRecord">
    <vt:lpwstr>eyJoZGlkIjoiZDU1NWVkOWIyNDZjYmMwOWVkOTYyZTFmOTRmNTM4NzYiLCJ1c2VySWQiOiIxMDQ0NjUwNTU2In0=</vt:lpwstr>
  </property>
</Properties>
</file>