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7"/>
        <w:tblW w:w="10080" w:type="dxa"/>
        <w:tblInd w:w="-61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5"/>
        <w:gridCol w:w="1185"/>
        <w:gridCol w:w="1275"/>
        <w:gridCol w:w="1545"/>
        <w:gridCol w:w="1425"/>
        <w:gridCol w:w="1845"/>
      </w:tblGrid>
      <w:tr w14:paraId="752CAF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100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1B20E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640" w:firstLineChars="200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 w:color="auto"/>
              </w:rPr>
            </w:pPr>
            <w:bookmarkStart w:id="0" w:name="_Hlk37239649"/>
            <w:bookmarkEnd w:id="0"/>
            <w:bookmarkStart w:id="1" w:name="_top"/>
            <w:bookmarkEnd w:id="1"/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 w:color="auto"/>
                <w:lang w:val="en-US" w:eastAsia="zh-CN" w:bidi="ar"/>
              </w:rPr>
              <w:t>附件1</w:t>
            </w:r>
            <w:bookmarkStart w:id="2" w:name="_GoBack"/>
            <w:bookmarkEnd w:id="2"/>
          </w:p>
        </w:tc>
      </w:tr>
      <w:tr w14:paraId="4864B7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100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26EDF3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 w:color="auto"/>
              </w:rPr>
            </w:pPr>
            <w:r>
              <w:rPr>
                <w:rFonts w:hint="default" w:ascii="Times New Roman" w:hAnsi="Times New Roman" w:eastAsia="方正小标宋_GBK" w:cs="Times New Roman"/>
                <w:i w:val="0"/>
                <w:iCs w:val="0"/>
                <w:color w:val="auto"/>
                <w:kern w:val="0"/>
                <w:sz w:val="44"/>
                <w:szCs w:val="44"/>
                <w:highlight w:val="none"/>
                <w:u w:val="none" w:color="auto"/>
                <w:lang w:val="en-US" w:eastAsia="zh-CN" w:bidi="ar"/>
              </w:rPr>
              <w:t>渝中区2026年</w:t>
            </w:r>
            <w:r>
              <w:rPr>
                <w:rFonts w:hint="eastAsia" w:ascii="Times New Roman" w:hAnsi="Times New Roman" w:eastAsia="方正小标宋_GBK" w:cs="Times New Roman"/>
                <w:i w:val="0"/>
                <w:iCs w:val="0"/>
                <w:color w:val="auto"/>
                <w:kern w:val="0"/>
                <w:sz w:val="44"/>
                <w:szCs w:val="44"/>
                <w:highlight w:val="none"/>
                <w:u w:val="none" w:color="auto"/>
                <w:lang w:val="en-US" w:eastAsia="zh-CN" w:bidi="ar"/>
              </w:rPr>
              <w:t>上半年</w:t>
            </w:r>
            <w:r>
              <w:rPr>
                <w:rFonts w:hint="default" w:ascii="Times New Roman" w:hAnsi="Times New Roman" w:eastAsia="方正小标宋_GBK" w:cs="Times New Roman"/>
                <w:i w:val="0"/>
                <w:iCs w:val="0"/>
                <w:color w:val="auto"/>
                <w:kern w:val="0"/>
                <w:sz w:val="44"/>
                <w:szCs w:val="44"/>
                <w:highlight w:val="none"/>
                <w:u w:val="none" w:color="auto"/>
                <w:lang w:val="en-US" w:eastAsia="zh-CN" w:bidi="ar"/>
              </w:rPr>
              <w:t>财政收入执行情况表</w:t>
            </w:r>
          </w:p>
        </w:tc>
      </w:tr>
      <w:tr w14:paraId="319DA5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C09DAD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573E17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551B2B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3B8B1A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D5988A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tbl>
            <w:tblPr>
              <w:tblStyle w:val="17"/>
              <w:tblW w:w="2800" w:type="dxa"/>
              <w:tblInd w:w="-901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800"/>
            </w:tblGrid>
            <w:tr w14:paraId="1B6D0D60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79" w:hRule="atLeast"/>
              </w:trPr>
              <w:tc>
                <w:tcPr>
                  <w:tcW w:w="2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bottom"/>
                </w:tcPr>
                <w:p w14:paraId="3D0BC5E9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400" w:lineRule="exact"/>
                    <w:ind w:left="0" w:right="0"/>
                    <w:jc w:val="center"/>
                    <w:textAlignment w:val="bottom"/>
                    <w:rPr>
                      <w:rFonts w:hint="default" w:ascii="Times New Roman" w:hAnsi="Times New Roman" w:eastAsia="方正仿宋_GBK" w:cs="Times New Roman"/>
                      <w:i w:val="0"/>
                      <w:iCs w:val="0"/>
                      <w:color w:val="000000"/>
                      <w:sz w:val="24"/>
                      <w:szCs w:val="24"/>
                      <w:u w:val="none" w:color="auto"/>
                    </w:rPr>
                  </w:pPr>
                  <w:r>
                    <w:rPr>
                      <w:rFonts w:hint="eastAsia" w:ascii="Times New Roman" w:hAnsi="Times New Roman" w:eastAsia="方正仿宋_GBK" w:cs="Times New Roman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 w:color="auto"/>
                      <w:lang w:val="en-US" w:eastAsia="zh-CN" w:bidi="ar"/>
                    </w:rPr>
                    <w:t xml:space="preserve">         </w:t>
                  </w:r>
                  <w:r>
                    <w:rPr>
                      <w:rFonts w:hint="default" w:ascii="Times New Roman" w:hAnsi="Times New Roman" w:eastAsia="方正仿宋_GBK" w:cs="Times New Roman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 w:color="auto"/>
                      <w:lang w:val="en-US" w:eastAsia="zh-CN" w:bidi="ar"/>
                    </w:rPr>
                    <w:t>单位：万元</w:t>
                  </w:r>
                </w:p>
              </w:tc>
            </w:tr>
          </w:tbl>
          <w:p w14:paraId="75C2871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 w:color="auto"/>
              </w:rPr>
            </w:pPr>
          </w:p>
        </w:tc>
      </w:tr>
      <w:tr w14:paraId="751275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805" w:type="dxa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55ABFE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 w:themeColor="text1"/>
                <w:sz w:val="24"/>
                <w:szCs w:val="24"/>
                <w:u w:val="none" w:color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 w:color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收入项目</w:t>
            </w:r>
          </w:p>
        </w:tc>
        <w:tc>
          <w:tcPr>
            <w:tcW w:w="1185" w:type="dxa"/>
            <w:vMerge w:val="restart"/>
            <w:tcBorders>
              <w:top w:val="single" w:color="000000" w:sz="8" w:space="0"/>
              <w:left w:val="nil"/>
              <w:right w:val="single" w:color="000000" w:sz="8" w:space="0"/>
            </w:tcBorders>
            <w:shd w:val="clear" w:color="auto" w:fill="FFFFFF"/>
            <w:vAlign w:val="center"/>
          </w:tcPr>
          <w:p w14:paraId="0F9D17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 w:themeColor="text1"/>
                <w:sz w:val="24"/>
                <w:szCs w:val="24"/>
                <w:u w:val="none" w:color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 w:color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预算数</w:t>
            </w:r>
          </w:p>
        </w:tc>
        <w:tc>
          <w:tcPr>
            <w:tcW w:w="6090" w:type="dxa"/>
            <w:gridSpan w:val="4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499A10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 w:themeColor="text1"/>
                <w:sz w:val="24"/>
                <w:szCs w:val="24"/>
                <w:u w:val="none" w:color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 w:color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累 计 完 成 数</w:t>
            </w:r>
          </w:p>
        </w:tc>
      </w:tr>
      <w:tr w14:paraId="3525CD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805" w:type="dxa"/>
            <w:vMerge w:val="continue"/>
            <w:tcBorders>
              <w:left w:val="single" w:color="000000" w:sz="8" w:space="0"/>
              <w:bottom w:val="nil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1111D8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 w:themeColor="text1"/>
                <w:sz w:val="24"/>
                <w:szCs w:val="24"/>
                <w:u w:val="none" w:color="auto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5" w:type="dxa"/>
            <w:vMerge w:val="continue"/>
            <w:tcBorders>
              <w:left w:val="nil"/>
              <w:bottom w:val="nil"/>
              <w:right w:val="single" w:color="000000" w:sz="8" w:space="0"/>
            </w:tcBorders>
            <w:shd w:val="clear" w:color="auto" w:fill="FFFFFF"/>
            <w:vAlign w:val="center"/>
          </w:tcPr>
          <w:p w14:paraId="3B78E1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 w:themeColor="text1"/>
                <w:sz w:val="24"/>
                <w:szCs w:val="24"/>
                <w:u w:val="none" w:color="auto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 w14:paraId="325961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 w:themeColor="text1"/>
                <w:sz w:val="24"/>
                <w:szCs w:val="24"/>
                <w:u w:val="none" w:color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 w:color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7E2C22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 w:themeColor="text1"/>
                <w:sz w:val="24"/>
                <w:szCs w:val="24"/>
                <w:u w:val="none" w:color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 w:color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去年同期数</w:t>
            </w:r>
          </w:p>
        </w:tc>
        <w:tc>
          <w:tcPr>
            <w:tcW w:w="1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291D7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 w:themeColor="text1"/>
                <w:sz w:val="24"/>
                <w:szCs w:val="24"/>
                <w:u w:val="none" w:color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 w:color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为预算%</w:t>
            </w:r>
          </w:p>
        </w:tc>
        <w:tc>
          <w:tcPr>
            <w:tcW w:w="1845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22ED8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 w:themeColor="text1"/>
                <w:sz w:val="24"/>
                <w:szCs w:val="24"/>
                <w:u w:val="none" w:color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 w:color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比去年同期％</w:t>
            </w:r>
          </w:p>
        </w:tc>
      </w:tr>
      <w:tr w14:paraId="7CA979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8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29039D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 w:color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 w:color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一、一般公共预算收入</w:t>
            </w:r>
          </w:p>
        </w:tc>
        <w:tc>
          <w:tcPr>
            <w:tcW w:w="118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4C9AAC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 w:color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 w:color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541,000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7AFB61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 w:color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 w:color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221,401</w:t>
            </w:r>
          </w:p>
        </w:tc>
        <w:tc>
          <w:tcPr>
            <w:tcW w:w="1545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7D839B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 w:color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 w:color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220,908</w:t>
            </w:r>
          </w:p>
        </w:tc>
        <w:tc>
          <w:tcPr>
            <w:tcW w:w="1425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51C01C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 w:color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 w:color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40.92%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24A50F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 w:color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 w:color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0.22%</w:t>
            </w:r>
          </w:p>
        </w:tc>
      </w:tr>
      <w:tr w14:paraId="577735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80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0E753D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 w:color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 w:color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Style w:val="45"/>
                <w:rFonts w:hint="default" w:ascii="Times New Roman" w:hAnsi="Times New Roman" w:cs="Times New Roman"/>
                <w:color w:val="000000" w:themeColor="text1"/>
                <w:u w:val="none" w:color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税收收入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5A322B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 w:color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 w:color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341,000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0F93C9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 w:color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 w:color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174,707</w:t>
            </w:r>
          </w:p>
        </w:tc>
        <w:tc>
          <w:tcPr>
            <w:tcW w:w="15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689CB2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 w:color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 w:color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166,235</w:t>
            </w:r>
          </w:p>
        </w:tc>
        <w:tc>
          <w:tcPr>
            <w:tcW w:w="14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15ABF8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 w:color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 w:color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51.23%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2DB5FC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 w:color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 w:color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5.10%</w:t>
            </w:r>
          </w:p>
        </w:tc>
      </w:tr>
      <w:tr w14:paraId="01BF03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80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1BEA84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 w:color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 w:color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    </w:t>
            </w:r>
            <w:r>
              <w:rPr>
                <w:rStyle w:val="45"/>
                <w:rFonts w:hint="default" w:ascii="Times New Roman" w:hAnsi="Times New Roman" w:cs="Times New Roman"/>
                <w:color w:val="000000" w:themeColor="text1"/>
                <w:u w:val="none" w:color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增值税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58DADE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 w:color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 w:color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108,500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42BF26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 w:color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 w:color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51,000</w:t>
            </w:r>
          </w:p>
        </w:tc>
        <w:tc>
          <w:tcPr>
            <w:tcW w:w="15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34DA3F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 w:color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 w:color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49,984</w:t>
            </w:r>
          </w:p>
        </w:tc>
        <w:tc>
          <w:tcPr>
            <w:tcW w:w="14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0C8354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 w:color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 w:color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47.00%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299D68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 w:color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 w:color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2.03%</w:t>
            </w:r>
          </w:p>
        </w:tc>
      </w:tr>
      <w:tr w14:paraId="12FBAA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80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465AE2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 w:color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 w:color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    </w:t>
            </w:r>
            <w:r>
              <w:rPr>
                <w:rStyle w:val="45"/>
                <w:rFonts w:hint="default" w:ascii="Times New Roman" w:hAnsi="Times New Roman" w:cs="Times New Roman"/>
                <w:color w:val="000000" w:themeColor="text1"/>
                <w:u w:val="none" w:color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企业所得税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0B2BF7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 w:color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 w:color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48,700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323AB4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 w:color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 w:color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31,081</w:t>
            </w:r>
          </w:p>
        </w:tc>
        <w:tc>
          <w:tcPr>
            <w:tcW w:w="15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65569A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 w:color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 w:color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27,045</w:t>
            </w:r>
          </w:p>
        </w:tc>
        <w:tc>
          <w:tcPr>
            <w:tcW w:w="14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63B9FB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 w:color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 w:color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63.82%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14C80E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 w:color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 w:color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14.92%</w:t>
            </w:r>
          </w:p>
        </w:tc>
      </w:tr>
      <w:tr w14:paraId="6A9790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80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74531B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 w:color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 w:color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    </w:t>
            </w:r>
            <w:r>
              <w:rPr>
                <w:rStyle w:val="45"/>
                <w:rFonts w:hint="default" w:ascii="Times New Roman" w:hAnsi="Times New Roman" w:cs="Times New Roman"/>
                <w:color w:val="000000" w:themeColor="text1"/>
                <w:u w:val="none" w:color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个人所得税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6D0781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 w:color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 w:color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32,700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11EAE4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 w:color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 w:color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14,582</w:t>
            </w:r>
          </w:p>
        </w:tc>
        <w:tc>
          <w:tcPr>
            <w:tcW w:w="15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7E3BE7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 w:color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 w:color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14,787</w:t>
            </w:r>
          </w:p>
        </w:tc>
        <w:tc>
          <w:tcPr>
            <w:tcW w:w="14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503DB5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 w:color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 w:color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44.59%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666E84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 w:color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 w:color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-1.39%</w:t>
            </w:r>
          </w:p>
        </w:tc>
      </w:tr>
      <w:tr w14:paraId="529BEC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80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676A02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 w:color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 w:color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    </w:t>
            </w:r>
            <w:r>
              <w:rPr>
                <w:rStyle w:val="45"/>
                <w:rFonts w:hint="default" w:ascii="Times New Roman" w:hAnsi="Times New Roman" w:cs="Times New Roman"/>
                <w:color w:val="000000" w:themeColor="text1"/>
                <w:spacing w:val="-6"/>
                <w:sz w:val="24"/>
                <w:u w:val="none" w:color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城市维护建设税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531F2B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 w:color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 w:color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17,900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17ECE6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 w:color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 w:color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8,273</w:t>
            </w:r>
          </w:p>
        </w:tc>
        <w:tc>
          <w:tcPr>
            <w:tcW w:w="15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57B97B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 w:color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 w:color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7,608</w:t>
            </w:r>
          </w:p>
        </w:tc>
        <w:tc>
          <w:tcPr>
            <w:tcW w:w="14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779DD4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 w:color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 w:color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46.22%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5AA668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 w:color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 w:color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8.74%</w:t>
            </w:r>
          </w:p>
        </w:tc>
      </w:tr>
      <w:tr w14:paraId="038D84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80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6913B7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 w:color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 w:color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    </w:t>
            </w:r>
            <w:r>
              <w:rPr>
                <w:rStyle w:val="45"/>
                <w:rFonts w:hint="default" w:ascii="Times New Roman" w:hAnsi="Times New Roman" w:cs="Times New Roman"/>
                <w:color w:val="000000" w:themeColor="text1"/>
                <w:u w:val="none" w:color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房产税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29A412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 w:color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 w:color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30,600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153BC3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 w:color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 w:color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14,267</w:t>
            </w:r>
          </w:p>
        </w:tc>
        <w:tc>
          <w:tcPr>
            <w:tcW w:w="15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6CF4BF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 w:color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 w:color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14,672</w:t>
            </w:r>
          </w:p>
        </w:tc>
        <w:tc>
          <w:tcPr>
            <w:tcW w:w="14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76653A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 w:color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 w:color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46.62%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2BBFA4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 w:color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 w:color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-2.76%</w:t>
            </w:r>
          </w:p>
        </w:tc>
      </w:tr>
      <w:tr w14:paraId="0CD6C5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80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282FCD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 w:color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 w:color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    </w:t>
            </w:r>
            <w:r>
              <w:rPr>
                <w:rStyle w:val="45"/>
                <w:rFonts w:hint="default" w:ascii="Times New Roman" w:hAnsi="Times New Roman" w:cs="Times New Roman"/>
                <w:color w:val="000000" w:themeColor="text1"/>
                <w:u w:val="none" w:color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印花税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4380C9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 w:color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 w:color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27,000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62045B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 w:color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 w:color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16,158</w:t>
            </w:r>
          </w:p>
        </w:tc>
        <w:tc>
          <w:tcPr>
            <w:tcW w:w="15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77A6D7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 w:color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 w:color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13,516</w:t>
            </w:r>
          </w:p>
        </w:tc>
        <w:tc>
          <w:tcPr>
            <w:tcW w:w="14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351F6B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 w:color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 w:color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59.84%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2ECE84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 w:color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 w:color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19.55%</w:t>
            </w:r>
          </w:p>
        </w:tc>
      </w:tr>
      <w:tr w14:paraId="7ABB08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80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736C38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 w:color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 w:color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    </w:t>
            </w:r>
            <w:r>
              <w:rPr>
                <w:rStyle w:val="45"/>
                <w:rFonts w:hint="default" w:ascii="Times New Roman" w:hAnsi="Times New Roman" w:cs="Times New Roman"/>
                <w:color w:val="000000" w:themeColor="text1"/>
                <w:spacing w:val="-6"/>
                <w:sz w:val="24"/>
                <w:u w:val="none" w:color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城镇土地使用税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6761A4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 w:color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 w:color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5,400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2A117B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 w:color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 w:color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2,650</w:t>
            </w:r>
          </w:p>
        </w:tc>
        <w:tc>
          <w:tcPr>
            <w:tcW w:w="15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5942C4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 w:color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 w:color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2,233</w:t>
            </w:r>
          </w:p>
        </w:tc>
        <w:tc>
          <w:tcPr>
            <w:tcW w:w="14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780347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 w:color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 w:color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49.07%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34A434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 w:color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 w:color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18.67%</w:t>
            </w:r>
          </w:p>
        </w:tc>
      </w:tr>
      <w:tr w14:paraId="7A62E4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80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652048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 w:color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 w:color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    </w:t>
            </w:r>
            <w:r>
              <w:rPr>
                <w:rStyle w:val="45"/>
                <w:rFonts w:hint="default" w:ascii="Times New Roman" w:hAnsi="Times New Roman" w:cs="Times New Roman"/>
                <w:color w:val="000000" w:themeColor="text1"/>
                <w:u w:val="none" w:color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土地增值税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01FE03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 w:color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 w:color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39,300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4B054A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 w:color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 w:color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25,441</w:t>
            </w:r>
          </w:p>
        </w:tc>
        <w:tc>
          <w:tcPr>
            <w:tcW w:w="15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6AE343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 w:color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 w:color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20,390</w:t>
            </w:r>
          </w:p>
        </w:tc>
        <w:tc>
          <w:tcPr>
            <w:tcW w:w="14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720F48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 w:color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 w:color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64.74%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6593D2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 w:color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 w:color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24.77%</w:t>
            </w:r>
          </w:p>
        </w:tc>
      </w:tr>
      <w:tr w14:paraId="58234B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80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4E802A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 w:color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 w:color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    </w:t>
            </w:r>
            <w:r>
              <w:rPr>
                <w:rStyle w:val="45"/>
                <w:rFonts w:hint="default" w:ascii="Times New Roman" w:hAnsi="Times New Roman" w:cs="Times New Roman"/>
                <w:color w:val="000000" w:themeColor="text1"/>
                <w:u w:val="none" w:color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契税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146EB2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 w:color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 w:color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30,700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29EC79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 w:color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 w:color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11,143</w:t>
            </w:r>
          </w:p>
        </w:tc>
        <w:tc>
          <w:tcPr>
            <w:tcW w:w="15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5A04E6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 w:color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 w:color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15,904</w:t>
            </w:r>
          </w:p>
        </w:tc>
        <w:tc>
          <w:tcPr>
            <w:tcW w:w="14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3A1C6F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 w:color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 w:color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36.30%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73241D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 w:color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 w:color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-29.94%</w:t>
            </w:r>
          </w:p>
        </w:tc>
      </w:tr>
      <w:tr w14:paraId="0DF4E9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80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33D678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sz w:val="24"/>
                <w:szCs w:val="24"/>
                <w:u w:val="none" w:color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 w:color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 其他税收入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3BFCBB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 w:color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 w:color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246FFB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 w:color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 w:color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112</w:t>
            </w:r>
          </w:p>
        </w:tc>
        <w:tc>
          <w:tcPr>
            <w:tcW w:w="15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7F7BD7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 w:color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 w:color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96</w:t>
            </w:r>
          </w:p>
        </w:tc>
        <w:tc>
          <w:tcPr>
            <w:tcW w:w="14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2866B2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 w:color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 w:color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56.00%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360CC2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 w:color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 w:color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16.67%</w:t>
            </w:r>
          </w:p>
        </w:tc>
      </w:tr>
      <w:tr w14:paraId="0C4F25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80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345DC1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 w:color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 w:color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Style w:val="45"/>
                <w:rFonts w:hint="default" w:ascii="Times New Roman" w:hAnsi="Times New Roman" w:cs="Times New Roman"/>
                <w:color w:val="000000" w:themeColor="text1"/>
                <w:u w:val="none" w:color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非税收入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7E8CCC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 w:color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 w:color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7926CC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 w:color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 w:color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46,694</w:t>
            </w:r>
          </w:p>
        </w:tc>
        <w:tc>
          <w:tcPr>
            <w:tcW w:w="15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1084C4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 w:color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 w:color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54,673</w:t>
            </w:r>
          </w:p>
        </w:tc>
        <w:tc>
          <w:tcPr>
            <w:tcW w:w="14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41D616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 w:color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 w:color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23.35%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19CD85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 w:color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 w:color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-14.59%</w:t>
            </w:r>
          </w:p>
        </w:tc>
      </w:tr>
      <w:tr w14:paraId="32D9E1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80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03FF0F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 w:color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 w:color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    </w:t>
            </w:r>
            <w:r>
              <w:rPr>
                <w:rStyle w:val="45"/>
                <w:rFonts w:hint="default" w:ascii="Times New Roman" w:hAnsi="Times New Roman" w:cs="Times New Roman"/>
                <w:color w:val="000000" w:themeColor="text1"/>
                <w:u w:val="none" w:color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专项收入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628DB6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 w:color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 w:color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2B1556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 w:color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 w:color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7,630</w:t>
            </w:r>
          </w:p>
        </w:tc>
        <w:tc>
          <w:tcPr>
            <w:tcW w:w="15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236CF9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 w:color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 w:color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6,796</w:t>
            </w:r>
          </w:p>
        </w:tc>
        <w:tc>
          <w:tcPr>
            <w:tcW w:w="14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3CED9E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 w:color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 w:color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30.52%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69C691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 w:color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 w:color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12.27%</w:t>
            </w:r>
          </w:p>
        </w:tc>
      </w:tr>
      <w:tr w14:paraId="50F7EE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80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043695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 w:color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 w:color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        </w:t>
            </w:r>
            <w:r>
              <w:rPr>
                <w:rStyle w:val="45"/>
                <w:rFonts w:hint="default" w:ascii="Times New Roman" w:hAnsi="Times New Roman" w:cs="Times New Roman"/>
                <w:color w:val="000000" w:themeColor="text1"/>
                <w:spacing w:val="-6"/>
                <w:sz w:val="24"/>
                <w:u w:val="none" w:color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教育费附加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5248F5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 w:color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 w:color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15,200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4E580D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 w:color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 w:color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7,117</w:t>
            </w:r>
          </w:p>
        </w:tc>
        <w:tc>
          <w:tcPr>
            <w:tcW w:w="15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2309BD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 w:color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 w:color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6,466</w:t>
            </w:r>
          </w:p>
        </w:tc>
        <w:tc>
          <w:tcPr>
            <w:tcW w:w="14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3110AA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 w:color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 w:color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46.82%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348BEB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 w:color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 w:color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10.07%</w:t>
            </w:r>
          </w:p>
        </w:tc>
      </w:tr>
      <w:tr w14:paraId="56AFE3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80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0845A5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 w:color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 w:color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        </w:t>
            </w:r>
            <w:r>
              <w:rPr>
                <w:rStyle w:val="45"/>
                <w:rFonts w:hint="default" w:ascii="Times New Roman" w:hAnsi="Times New Roman" w:cs="Times New Roman"/>
                <w:color w:val="000000" w:themeColor="text1"/>
                <w:u w:val="none" w:color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残疾人就业保障金收入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6D17C2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 w:color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 w:color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9,800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0339C2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 w:color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 w:color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513</w:t>
            </w:r>
          </w:p>
        </w:tc>
        <w:tc>
          <w:tcPr>
            <w:tcW w:w="15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5C8954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 w:color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 w:color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330</w:t>
            </w:r>
          </w:p>
        </w:tc>
        <w:tc>
          <w:tcPr>
            <w:tcW w:w="14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76B6E7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 w:color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 w:color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5.23%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33ACAA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 w:color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 w:color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55.45%</w:t>
            </w:r>
          </w:p>
        </w:tc>
      </w:tr>
      <w:tr w14:paraId="0805B0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80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0EA1A3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 w:color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 w:color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    </w:t>
            </w:r>
            <w:r>
              <w:rPr>
                <w:rStyle w:val="45"/>
                <w:rFonts w:hint="default" w:ascii="Times New Roman" w:hAnsi="Times New Roman" w:cs="Times New Roman"/>
                <w:color w:val="000000" w:themeColor="text1"/>
                <w:u w:val="none" w:color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行政事业性收费收入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4BE1F0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 w:color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 w:color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3EAFDE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 w:color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 w:color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323</w:t>
            </w:r>
          </w:p>
        </w:tc>
        <w:tc>
          <w:tcPr>
            <w:tcW w:w="15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7D4F59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 w:color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 w:color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300</w:t>
            </w:r>
          </w:p>
        </w:tc>
        <w:tc>
          <w:tcPr>
            <w:tcW w:w="14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70E61D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 w:color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 w:color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64.60%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7E2442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 w:color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 w:color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7.67%</w:t>
            </w:r>
          </w:p>
        </w:tc>
      </w:tr>
      <w:tr w14:paraId="426FA1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80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66E032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 w:color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 w:color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    </w:t>
            </w:r>
            <w:r>
              <w:rPr>
                <w:rStyle w:val="45"/>
                <w:rFonts w:hint="default" w:ascii="Times New Roman" w:hAnsi="Times New Roman" w:cs="Times New Roman"/>
                <w:color w:val="000000" w:themeColor="text1"/>
                <w:u w:val="none" w:color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罚没收入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02CDEF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 w:color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 w:color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5EC518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 w:color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 w:color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11,301</w:t>
            </w:r>
          </w:p>
        </w:tc>
        <w:tc>
          <w:tcPr>
            <w:tcW w:w="15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37FE9F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 w:color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 w:color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6,535</w:t>
            </w:r>
          </w:p>
        </w:tc>
        <w:tc>
          <w:tcPr>
            <w:tcW w:w="14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29DCEC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 w:color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 w:color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70.63%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52D121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 w:color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 w:color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72.93%</w:t>
            </w:r>
          </w:p>
        </w:tc>
      </w:tr>
      <w:tr w14:paraId="3A30EC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80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1255A7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 w:color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 w:color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    </w:t>
            </w:r>
            <w:r>
              <w:rPr>
                <w:rStyle w:val="45"/>
                <w:rFonts w:hint="default" w:ascii="Times New Roman" w:hAnsi="Times New Roman" w:cs="Times New Roman"/>
                <w:color w:val="000000" w:themeColor="text1"/>
                <w:u w:val="none" w:color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国有资源（资产）有偿使用收入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3DC901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 w:color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 w:color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157,900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2B75C9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 w:color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 w:color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26,585</w:t>
            </w:r>
          </w:p>
        </w:tc>
        <w:tc>
          <w:tcPr>
            <w:tcW w:w="15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50D125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 w:color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 w:color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39,876</w:t>
            </w:r>
          </w:p>
        </w:tc>
        <w:tc>
          <w:tcPr>
            <w:tcW w:w="14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6E373D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 w:color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 w:color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16.84%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5521B4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 w:color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 w:color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-33.33%</w:t>
            </w:r>
          </w:p>
        </w:tc>
      </w:tr>
      <w:tr w14:paraId="42141C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80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37FE72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 w:color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 w:color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    </w:t>
            </w:r>
            <w:r>
              <w:rPr>
                <w:rStyle w:val="45"/>
                <w:rFonts w:hint="default" w:ascii="Times New Roman" w:hAnsi="Times New Roman" w:cs="Times New Roman"/>
                <w:color w:val="000000" w:themeColor="text1"/>
                <w:u w:val="none" w:color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其他收入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4A7949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 w:color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 w:color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440471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 w:color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 w:color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855</w:t>
            </w:r>
          </w:p>
        </w:tc>
        <w:tc>
          <w:tcPr>
            <w:tcW w:w="15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3BD4CB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 w:color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 w:color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1166</w:t>
            </w:r>
          </w:p>
        </w:tc>
        <w:tc>
          <w:tcPr>
            <w:tcW w:w="14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0CCFC1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 w:color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 w:color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142.50%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607AC0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 w:color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 w:color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-26.67%</w:t>
            </w:r>
          </w:p>
        </w:tc>
      </w:tr>
      <w:tr w14:paraId="50008F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80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2DFF8C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 w:color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 w:color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二、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spacing w:val="-11"/>
                <w:kern w:val="0"/>
                <w:sz w:val="24"/>
                <w:szCs w:val="24"/>
                <w:u w:val="none" w:color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政府性基金预算收入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6623E1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 w:color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 w:color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230,000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09C87D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 w:color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 w:color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5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6EE6E9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 w:color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 w:color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4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7FF969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 w:color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 w:color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0.00%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073254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 w:color="auto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AF1BB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8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318CA8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 w:color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 w:color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三、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spacing w:val="-11"/>
                <w:kern w:val="0"/>
                <w:sz w:val="24"/>
                <w:szCs w:val="24"/>
                <w:u w:val="none" w:color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国有资本经营预算收入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4F0CF1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 w:color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 w:color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6914E1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 w:color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 w:color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2588</w:t>
            </w:r>
          </w:p>
        </w:tc>
        <w:tc>
          <w:tcPr>
            <w:tcW w:w="15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19A01B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 w:color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 w:color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14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1E9B43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 w:color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 w:color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51.76%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6D666D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 w:color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pacing w:val="-11"/>
                <w:kern w:val="0"/>
                <w:sz w:val="24"/>
                <w:szCs w:val="24"/>
                <w:u w:val="none" w:color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8526.67%</w:t>
            </w:r>
          </w:p>
        </w:tc>
      </w:tr>
    </w:tbl>
    <w:p w14:paraId="223FA714">
      <w:pPr>
        <w:rPr>
          <w:rFonts w:hint="eastAsia"/>
          <w:u w:val="none" w:color="auto"/>
          <w:lang w:val="en-US" w:eastAsia="zh-CN"/>
        </w:rPr>
      </w:pPr>
      <w:r>
        <w:rPr>
          <w:rFonts w:hint="eastAsia"/>
          <w:u w:val="none" w:color="auto"/>
          <w:lang w:val="en-US" w:eastAsia="zh-CN"/>
        </w:rPr>
        <w:br w:type="page"/>
      </w:r>
    </w:p>
    <w:tbl>
      <w:tblPr>
        <w:tblStyle w:val="17"/>
        <w:tblW w:w="10150" w:type="dxa"/>
        <w:tblInd w:w="-65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95"/>
        <w:gridCol w:w="1455"/>
        <w:gridCol w:w="1410"/>
        <w:gridCol w:w="1455"/>
        <w:gridCol w:w="1275"/>
        <w:gridCol w:w="1560"/>
      </w:tblGrid>
      <w:tr w14:paraId="685569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1015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DF7623">
            <w:pPr>
              <w:pStyle w:val="16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leftChars="0" w:right="0" w:firstLine="640" w:firstLineChars="200"/>
              <w:jc w:val="left"/>
              <w:textAlignment w:val="auto"/>
              <w:rPr>
                <w:rFonts w:hint="eastAsia" w:ascii="方正小标宋_GBK" w:hAnsi="方正小标宋_GBK" w:eastAsia="方正小标宋_GBK" w:cs="方正小标宋_GBK"/>
                <w:b/>
                <w:bCs/>
                <w:i w:val="0"/>
                <w:iCs w:val="0"/>
                <w:color w:val="auto"/>
                <w:kern w:val="0"/>
                <w:sz w:val="44"/>
                <w:szCs w:val="44"/>
                <w:highlight w:val="none"/>
                <w:u w:val="none" w:color="auto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 w:color="auto"/>
                <w:lang w:val="en-US" w:eastAsia="zh-CN" w:bidi="ar"/>
              </w:rPr>
              <w:t>附件2</w:t>
            </w:r>
          </w:p>
        </w:tc>
      </w:tr>
      <w:tr w14:paraId="4AF300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1015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EA3FD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center"/>
              <w:textAlignment w:val="auto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0"/>
                <w:szCs w:val="20"/>
                <w:u w:val="none" w:color="auto"/>
              </w:rPr>
            </w:pPr>
            <w:r>
              <w:rPr>
                <w:rFonts w:hint="default" w:ascii="Times New Roman" w:hAnsi="Times New Roman" w:eastAsia="方正小标宋_GBK" w:cs="Times New Roman"/>
                <w:b w:val="0"/>
                <w:bCs w:val="0"/>
                <w:i w:val="0"/>
                <w:iCs w:val="0"/>
                <w:color w:val="auto"/>
                <w:kern w:val="0"/>
                <w:sz w:val="44"/>
                <w:szCs w:val="44"/>
                <w:highlight w:val="none"/>
                <w:u w:val="none" w:color="auto"/>
                <w:lang w:val="en-US" w:eastAsia="zh-CN" w:bidi="ar"/>
              </w:rPr>
              <w:t>渝中区2026年</w:t>
            </w:r>
            <w:r>
              <w:rPr>
                <w:rFonts w:hint="eastAsia" w:ascii="Times New Roman" w:hAnsi="Times New Roman" w:eastAsia="方正小标宋_GBK" w:cs="Times New Roman"/>
                <w:b w:val="0"/>
                <w:bCs w:val="0"/>
                <w:i w:val="0"/>
                <w:iCs w:val="0"/>
                <w:color w:val="auto"/>
                <w:kern w:val="0"/>
                <w:sz w:val="44"/>
                <w:szCs w:val="44"/>
                <w:highlight w:val="none"/>
                <w:u w:val="none" w:color="auto"/>
                <w:lang w:val="en-US" w:eastAsia="zh-CN" w:bidi="ar"/>
              </w:rPr>
              <w:t>上半年</w:t>
            </w:r>
            <w:r>
              <w:rPr>
                <w:rFonts w:hint="default" w:ascii="Times New Roman" w:hAnsi="Times New Roman" w:eastAsia="方正小标宋_GBK" w:cs="Times New Roman"/>
                <w:b w:val="0"/>
                <w:bCs w:val="0"/>
                <w:i w:val="0"/>
                <w:iCs w:val="0"/>
                <w:color w:val="auto"/>
                <w:kern w:val="0"/>
                <w:sz w:val="44"/>
                <w:szCs w:val="44"/>
                <w:highlight w:val="none"/>
                <w:u w:val="none" w:color="auto"/>
                <w:lang w:val="en-US" w:eastAsia="zh-CN" w:bidi="ar"/>
              </w:rPr>
              <w:t>财政支出执行情况表</w:t>
            </w:r>
          </w:p>
        </w:tc>
      </w:tr>
      <w:tr w14:paraId="70E79F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299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6C60C41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0"/>
                <w:szCs w:val="20"/>
                <w:u w:val="none" w:color="auto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3472F4E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0"/>
                <w:szCs w:val="20"/>
                <w:u w:val="none" w:color="auto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65424C0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0"/>
                <w:szCs w:val="20"/>
                <w:u w:val="none" w:color="auto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739421F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0"/>
                <w:szCs w:val="20"/>
                <w:u w:val="none" w:color="auto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1A65B9E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0"/>
                <w:szCs w:val="20"/>
                <w:u w:val="none" w:color="auto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0695034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right"/>
              <w:textAlignment w:val="auto"/>
              <w:rPr>
                <w:rFonts w:hint="default" w:ascii="华文细黑" w:hAnsi="华文细黑" w:eastAsia="华文细黑" w:cs="华文细黑"/>
                <w:i w:val="0"/>
                <w:iCs w:val="0"/>
                <w:color w:val="000000"/>
                <w:sz w:val="20"/>
                <w:szCs w:val="20"/>
                <w:u w:val="none" w:color="auto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 w:color="auto"/>
                <w:lang w:val="en-US" w:eastAsia="zh-CN" w:bidi="ar"/>
              </w:rPr>
              <w:t>单位：万元</w:t>
            </w:r>
          </w:p>
        </w:tc>
      </w:tr>
      <w:tr w14:paraId="793EC8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299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A9FA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sz w:val="22"/>
                <w:szCs w:val="22"/>
                <w:u w:val="none" w:color="auto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>支出项目</w:t>
            </w:r>
          </w:p>
        </w:tc>
        <w:tc>
          <w:tcPr>
            <w:tcW w:w="145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25BB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sz w:val="22"/>
                <w:szCs w:val="22"/>
                <w:u w:val="none" w:color="auto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>预算数</w:t>
            </w:r>
          </w:p>
        </w:tc>
        <w:tc>
          <w:tcPr>
            <w:tcW w:w="57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AEF8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sz w:val="22"/>
                <w:szCs w:val="22"/>
                <w:u w:val="none" w:color="auto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>累 计 完 成 数</w:t>
            </w:r>
          </w:p>
        </w:tc>
      </w:tr>
      <w:tr w14:paraId="2DBD5D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9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4E8136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sz w:val="22"/>
                <w:szCs w:val="22"/>
                <w:u w:val="none" w:color="auto"/>
              </w:rPr>
            </w:pPr>
          </w:p>
        </w:tc>
        <w:tc>
          <w:tcPr>
            <w:tcW w:w="14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0B9244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sz w:val="22"/>
                <w:szCs w:val="22"/>
                <w:u w:val="none" w:color="auto"/>
              </w:rPr>
            </w:pPr>
          </w:p>
        </w:tc>
        <w:tc>
          <w:tcPr>
            <w:tcW w:w="141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76A1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sz w:val="22"/>
                <w:szCs w:val="22"/>
                <w:u w:val="none" w:color="auto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>金额</w:t>
            </w:r>
          </w:p>
        </w:tc>
        <w:tc>
          <w:tcPr>
            <w:tcW w:w="145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9B5E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sz w:val="22"/>
                <w:szCs w:val="22"/>
                <w:u w:val="none" w:color="auto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>去年同期数</w:t>
            </w:r>
          </w:p>
        </w:tc>
        <w:tc>
          <w:tcPr>
            <w:tcW w:w="12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9A32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sz w:val="22"/>
                <w:szCs w:val="22"/>
                <w:u w:val="none" w:color="auto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>为预算％</w:t>
            </w:r>
          </w:p>
        </w:tc>
        <w:tc>
          <w:tcPr>
            <w:tcW w:w="15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77F0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sz w:val="22"/>
                <w:szCs w:val="22"/>
                <w:u w:val="none" w:color="auto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>比去年同期％</w:t>
            </w:r>
          </w:p>
        </w:tc>
      </w:tr>
      <w:tr w14:paraId="6BDED5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9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CB0BDF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2"/>
                <w:szCs w:val="22"/>
                <w:u w:val="none" w:color="auto"/>
              </w:rPr>
            </w:pPr>
          </w:p>
        </w:tc>
        <w:tc>
          <w:tcPr>
            <w:tcW w:w="14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4E50C8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2"/>
                <w:szCs w:val="22"/>
                <w:u w:val="none" w:color="auto"/>
              </w:rPr>
            </w:pPr>
          </w:p>
        </w:tc>
        <w:tc>
          <w:tcPr>
            <w:tcW w:w="14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9EB5D6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2"/>
                <w:szCs w:val="22"/>
                <w:u w:val="none" w:color="auto"/>
              </w:rPr>
            </w:pPr>
          </w:p>
        </w:tc>
        <w:tc>
          <w:tcPr>
            <w:tcW w:w="14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90FF93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2"/>
                <w:szCs w:val="22"/>
                <w:u w:val="none" w:color="auto"/>
              </w:rPr>
            </w:pPr>
          </w:p>
        </w:tc>
        <w:tc>
          <w:tcPr>
            <w:tcW w:w="12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9C49FE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2"/>
                <w:szCs w:val="22"/>
                <w:u w:val="none" w:color="auto"/>
              </w:rPr>
            </w:pPr>
          </w:p>
        </w:tc>
        <w:tc>
          <w:tcPr>
            <w:tcW w:w="15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1B2A06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2"/>
                <w:szCs w:val="22"/>
                <w:u w:val="none" w:color="auto"/>
              </w:rPr>
            </w:pPr>
          </w:p>
        </w:tc>
      </w:tr>
      <w:tr w14:paraId="71574E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2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F79C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 w:color="auto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 w:color="auto"/>
                <w:lang w:val="en-US" w:eastAsia="zh-CN" w:bidi="ar"/>
              </w:rPr>
              <w:t>一般公共预算支出小计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10E7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 w:color="auto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 xml:space="preserve">948,004 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89B2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 w:color="auto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 xml:space="preserve">465,504 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225F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 w:color="auto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 xml:space="preserve">416,636 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4C3A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 w:color="auto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>49.1%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B903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 w:color="auto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>11.73%</w:t>
            </w:r>
          </w:p>
        </w:tc>
      </w:tr>
      <w:tr w14:paraId="5A01E8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2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DA83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 w:color="auto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-6"/>
                <w:kern w:val="0"/>
                <w:sz w:val="20"/>
                <w:szCs w:val="20"/>
                <w:u w:val="none" w:color="auto"/>
                <w:lang w:val="en-US" w:eastAsia="zh-CN" w:bidi="ar"/>
              </w:rPr>
              <w:t>一般公共服务支出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AEA4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 w:color="auto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 xml:space="preserve">92,504 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BC7B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 w:color="auto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 xml:space="preserve">45,523 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8F63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 w:color="auto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 xml:space="preserve">43,039 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1468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 w:color="auto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>49.2%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51F2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 w:color="auto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>5.77%</w:t>
            </w:r>
          </w:p>
        </w:tc>
      </w:tr>
      <w:tr w14:paraId="10C65B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2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E0C1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 w:color="auto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 w:color="auto"/>
                <w:lang w:val="en-US" w:eastAsia="zh-CN" w:bidi="ar"/>
              </w:rPr>
              <w:t>国防支出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90DF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 w:color="auto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 xml:space="preserve">8,341 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37A1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 w:color="auto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 xml:space="preserve">1,780 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5646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 w:color="auto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 xml:space="preserve">5,781 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182F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 w:color="auto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>21.3%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E227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 w:color="auto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>-69.21%</w:t>
            </w:r>
          </w:p>
        </w:tc>
      </w:tr>
      <w:tr w14:paraId="644486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2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FB48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 w:color="auto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 w:color="auto"/>
                <w:lang w:val="en-US" w:eastAsia="zh-CN" w:bidi="ar"/>
              </w:rPr>
              <w:t>公共安全支出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75F7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 w:color="auto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 xml:space="preserve">88,858 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4141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 w:color="auto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 xml:space="preserve">45,005 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5D93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 w:color="auto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 xml:space="preserve">40,588 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A254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 w:color="auto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>50.6%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D505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 w:color="auto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>10.88%</w:t>
            </w:r>
          </w:p>
        </w:tc>
      </w:tr>
      <w:tr w14:paraId="2A87EF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2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308C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 w:color="auto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 w:color="auto"/>
                <w:lang w:val="en-US" w:eastAsia="zh-CN" w:bidi="ar"/>
              </w:rPr>
              <w:t>教育支出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8007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 w:color="auto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 xml:space="preserve">185,413 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AACA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 w:color="auto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 xml:space="preserve">96,363 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EC5C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 w:color="auto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 xml:space="preserve">84,092 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E65B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 w:color="auto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>52.0%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8075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 w:color="auto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>14.59%</w:t>
            </w:r>
          </w:p>
        </w:tc>
      </w:tr>
      <w:tr w14:paraId="005573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2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D7C9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 w:color="auto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 w:color="auto"/>
                <w:lang w:val="en-US" w:eastAsia="zh-CN" w:bidi="ar"/>
              </w:rPr>
              <w:t>科学技术支出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77D3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 w:color="auto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 xml:space="preserve">5,132 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54B0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 w:color="auto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 xml:space="preserve">1,672 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B3CB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 w:color="auto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 xml:space="preserve">2,175 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A7E6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 w:color="auto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>32.6%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BF94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 w:color="auto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>-23.12%</w:t>
            </w:r>
          </w:p>
        </w:tc>
      </w:tr>
      <w:tr w14:paraId="593412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2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DDCC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 w:color="auto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 w:color="auto"/>
                <w:lang w:val="en-US" w:eastAsia="zh-CN" w:bidi="ar"/>
              </w:rPr>
              <w:t>文化体育与传媒支出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32E4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 w:color="auto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 xml:space="preserve">7,297 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B93F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 w:color="auto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 xml:space="preserve">4,410 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2BC5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 w:color="auto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 xml:space="preserve">3,767 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4BDB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 w:color="auto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>60.4%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1CF1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 w:color="auto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>17.09%</w:t>
            </w:r>
          </w:p>
        </w:tc>
      </w:tr>
      <w:tr w14:paraId="3FC49D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2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0E97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 w:color="auto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 w:color="auto"/>
                <w:lang w:val="en-US" w:eastAsia="zh-CN" w:bidi="ar"/>
              </w:rPr>
              <w:t>社会保障和就业支出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7809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 w:color="auto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 xml:space="preserve">194,124 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6082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 w:color="auto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 xml:space="preserve">98,119 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A71F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 w:color="auto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 xml:space="preserve">95,626 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0B6D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 w:color="auto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>50.5%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6F59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 w:color="auto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>2.61%</w:t>
            </w:r>
          </w:p>
        </w:tc>
      </w:tr>
      <w:tr w14:paraId="072C04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2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7CEE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 w:color="auto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 w:color="auto"/>
                <w:lang w:val="en-US" w:eastAsia="zh-CN" w:bidi="ar"/>
              </w:rPr>
              <w:t>卫生健康支出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4720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 w:color="auto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 xml:space="preserve">60,167 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9050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 w:color="auto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 xml:space="preserve">33,198 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54B6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 w:color="auto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 xml:space="preserve">31,155 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03E2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 w:color="auto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>55.2%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493A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 w:color="auto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>6.56%</w:t>
            </w:r>
          </w:p>
        </w:tc>
      </w:tr>
      <w:tr w14:paraId="39CFAB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2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8549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 w:color="auto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 w:color="auto"/>
                <w:lang w:val="en-US" w:eastAsia="zh-CN" w:bidi="ar"/>
              </w:rPr>
              <w:t>节能环保支出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8892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 w:color="auto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 xml:space="preserve">4,464 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FBAD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 w:color="auto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 xml:space="preserve">2,750 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20E1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 w:color="auto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 xml:space="preserve">7,193 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E9C6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 w:color="auto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>61.6%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4ECA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 w:color="auto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>-61.77%</w:t>
            </w:r>
          </w:p>
        </w:tc>
      </w:tr>
      <w:tr w14:paraId="6A4EEC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2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D593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 w:color="auto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 w:color="auto"/>
                <w:lang w:val="en-US" w:eastAsia="zh-CN" w:bidi="ar"/>
              </w:rPr>
              <w:t>城乡社区支出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86B6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 w:color="auto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 xml:space="preserve">194,335 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F10D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 w:color="auto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>9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 xml:space="preserve">,060 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99A9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 w:color="auto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 xml:space="preserve">62,674 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AD9A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 w:color="auto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>4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>9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>%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2BCC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 w:color="auto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>53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>.2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>7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>%</w:t>
            </w:r>
          </w:p>
        </w:tc>
      </w:tr>
      <w:tr w14:paraId="3AA159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2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263B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 w:color="auto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 w:color="auto"/>
                <w:lang w:val="en-US" w:eastAsia="zh-CN" w:bidi="ar"/>
              </w:rPr>
              <w:t>农林水支出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D22F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 w:color="auto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 xml:space="preserve">328 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2F89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 w:color="auto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 xml:space="preserve">63 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409E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 w:color="auto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 xml:space="preserve">99 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9B5D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 w:color="auto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>19.2%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A3F3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 w:color="auto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>-36.59%</w:t>
            </w:r>
          </w:p>
        </w:tc>
      </w:tr>
      <w:tr w14:paraId="095386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2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787F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 w:color="auto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 w:color="auto"/>
                <w:lang w:val="en-US" w:eastAsia="zh-CN" w:bidi="ar"/>
              </w:rPr>
              <w:t>交通运输支出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3721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 w:color="auto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 xml:space="preserve">2,503 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1F1D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 w:color="auto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 xml:space="preserve">1,368 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7F71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 w:color="auto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 xml:space="preserve">1,242 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26D0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 w:color="auto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>54.6%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9678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 w:color="auto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>10.17%</w:t>
            </w:r>
          </w:p>
        </w:tc>
      </w:tr>
      <w:tr w14:paraId="130267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2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E52A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 w:color="auto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 w:color="auto"/>
                <w:lang w:val="en-US" w:eastAsia="zh-CN" w:bidi="ar"/>
              </w:rPr>
              <w:t>资源勘探信息等支出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E58C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 w:color="auto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 xml:space="preserve">7,382 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3EDD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 w:color="auto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 xml:space="preserve">,370 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F1AB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 w:color="auto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 xml:space="preserve">141 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EACA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 w:color="auto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>72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>7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>%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331F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 w:color="auto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>3808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>51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>%</w:t>
            </w:r>
          </w:p>
        </w:tc>
      </w:tr>
      <w:tr w14:paraId="1D4C5C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2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2974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 w:color="auto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-6"/>
                <w:kern w:val="0"/>
                <w:sz w:val="20"/>
                <w:szCs w:val="20"/>
                <w:u w:val="none" w:color="auto"/>
                <w:lang w:val="en-US" w:eastAsia="zh-CN" w:bidi="ar"/>
              </w:rPr>
              <w:t>商业服务业等支出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3EDD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 w:color="auto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 xml:space="preserve">22,972 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7199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 w:color="auto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 xml:space="preserve">5,591 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FFB7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 w:color="auto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 xml:space="preserve">6,541 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F94F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 w:color="auto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>24.3%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05A0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 w:color="auto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>-14.51%</w:t>
            </w:r>
          </w:p>
        </w:tc>
      </w:tr>
      <w:tr w14:paraId="3C28D4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2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4E57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 w:color="auto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 w:color="auto"/>
                <w:lang w:val="en-US" w:eastAsia="zh-CN" w:bidi="ar"/>
              </w:rPr>
              <w:t>自然资源海洋气象支出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DB7DBC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 w:color="auto"/>
              </w:rPr>
            </w:pP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248DB5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 w:color="auto"/>
              </w:rPr>
            </w:pP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C786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 w:color="auto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 xml:space="preserve">50 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CB64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 w:color="auto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>0.0%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78B8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 w:color="auto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>0.00%</w:t>
            </w:r>
          </w:p>
        </w:tc>
      </w:tr>
      <w:tr w14:paraId="27E779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2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ED3E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 w:color="auto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 w:color="auto"/>
                <w:lang w:val="en-US" w:eastAsia="zh-CN" w:bidi="ar"/>
              </w:rPr>
              <w:t>住房保障支出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7A01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 w:color="auto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 xml:space="preserve">35,417 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D28D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 w:color="auto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 xml:space="preserve">16,907 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1C6C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 w:color="auto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 xml:space="preserve">14,891 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9E30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 w:color="auto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>47.7%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63E8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 w:color="auto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>13.54%</w:t>
            </w:r>
          </w:p>
        </w:tc>
      </w:tr>
      <w:tr w14:paraId="02804A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2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60A8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 w:color="auto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-6"/>
                <w:kern w:val="0"/>
                <w:sz w:val="20"/>
                <w:szCs w:val="20"/>
                <w:u w:val="none" w:color="auto"/>
                <w:lang w:val="en-US" w:eastAsia="zh-CN" w:bidi="ar"/>
              </w:rPr>
              <w:t>粮油物资储备支出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F263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 w:color="auto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 xml:space="preserve">179 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D264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 w:color="auto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 xml:space="preserve">88 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C14A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 w:color="auto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 xml:space="preserve">88 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DB9D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 w:color="auto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>49.4%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17C9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 w:color="auto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>0.00%</w:t>
            </w:r>
          </w:p>
        </w:tc>
      </w:tr>
      <w:tr w14:paraId="75F6E5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2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8FD3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 w:color="auto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 w:color="auto"/>
                <w:lang w:val="en-US" w:eastAsia="zh-CN" w:bidi="ar"/>
              </w:rPr>
              <w:t>灾害防治及应急管理支出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E32A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 w:color="auto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 xml:space="preserve">8,588 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DE02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 w:color="auto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 xml:space="preserve">3,407 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34A9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 w:color="auto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 xml:space="preserve">3,408 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5A45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 w:color="auto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>39.7%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306B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 w:color="auto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>-0.03%</w:t>
            </w:r>
          </w:p>
        </w:tc>
      </w:tr>
      <w:tr w14:paraId="1B72DF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2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007E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 w:color="auto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 w:color="auto"/>
                <w:lang w:val="en-US" w:eastAsia="zh-CN" w:bidi="ar"/>
              </w:rPr>
              <w:t>预备费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9063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 w:color="auto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 xml:space="preserve">10,000 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F6E494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 w:color="auto"/>
              </w:rPr>
            </w:pP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CC9FE3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 w:color="auto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F773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 w:color="auto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>0.0%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7CA6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 w:color="auto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>0.00%</w:t>
            </w:r>
          </w:p>
        </w:tc>
      </w:tr>
      <w:tr w14:paraId="2D2722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2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37E0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 w:color="auto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 w:color="auto"/>
                <w:lang w:val="en-US" w:eastAsia="zh-CN" w:bidi="ar"/>
              </w:rPr>
              <w:t>债务付息支出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30B9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 w:color="auto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 xml:space="preserve">20,000 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C041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 w:color="auto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 xml:space="preserve">7,830 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2EED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 w:color="auto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 xml:space="preserve">14,077 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62B8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 w:color="auto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>39.1%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1337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 w:color="auto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>-44.38%</w:t>
            </w:r>
          </w:p>
        </w:tc>
      </w:tr>
      <w:tr w14:paraId="2A9175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2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FB93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 w:color="auto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 w:color="auto"/>
                <w:lang w:val="en-US" w:eastAsia="zh-CN" w:bidi="ar"/>
              </w:rPr>
              <w:t>债务发行费支出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A715D4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 w:color="auto"/>
              </w:rPr>
            </w:pP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AC90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 w:color="auto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 xml:space="preserve">0 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B073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 w:color="auto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 xml:space="preserve">10 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AA55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 w:color="auto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>0.0%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15E4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 w:color="auto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>-99.00%</w:t>
            </w:r>
          </w:p>
        </w:tc>
      </w:tr>
      <w:tr w14:paraId="1A204E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2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C5CD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 w:color="auto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 w:color="auto"/>
                <w:lang w:val="en-US" w:eastAsia="zh-CN" w:bidi="ar"/>
              </w:rPr>
              <w:t>其他支出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DE6E26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 w:color="auto"/>
              </w:rPr>
            </w:pP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E822DC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 w:color="auto"/>
              </w:rPr>
            </w:pP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0D96AA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 w:color="auto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7990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 w:color="auto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>0.0%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645A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 w:color="auto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>0.00%</w:t>
            </w:r>
          </w:p>
        </w:tc>
      </w:tr>
      <w:tr w14:paraId="02EA37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2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CD05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 w:color="auto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 w:color="auto"/>
                <w:lang w:val="en-US" w:eastAsia="zh-CN" w:bidi="ar"/>
              </w:rPr>
              <w:t>政府性基金预算支出小计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A9EE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 w:color="auto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>42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 xml:space="preserve">,380 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8048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 w:color="auto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 xml:space="preserve">115,344 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1A71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 w:color="auto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 xml:space="preserve">106,544 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888A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 w:color="auto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>7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>%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8150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 w:color="auto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>8.26%</w:t>
            </w:r>
          </w:p>
        </w:tc>
      </w:tr>
      <w:tr w14:paraId="50E7C6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2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5361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 w:color="auto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 w:color="auto"/>
                <w:lang w:val="en-US" w:eastAsia="zh-CN" w:bidi="ar"/>
              </w:rPr>
              <w:t>文化旅游体育与传媒支出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4C87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 w:color="auto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 xml:space="preserve">121 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3CB9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 w:color="auto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 xml:space="preserve">5 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131A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 w:color="auto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 xml:space="preserve">21 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286E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 w:color="auto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>4.1%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D209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 w:color="auto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>-76.21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>%</w:t>
            </w:r>
          </w:p>
        </w:tc>
      </w:tr>
      <w:tr w14:paraId="67D5BF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2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8618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 w:color="auto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 w:color="auto"/>
                <w:lang w:val="en-US" w:eastAsia="zh-CN" w:bidi="ar"/>
              </w:rPr>
              <w:t>节能环保支出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F5D3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 w:color="auto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 xml:space="preserve">5,631 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9C83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 w:color="auto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 xml:space="preserve">47 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083D06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 w:color="auto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37F1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 w:color="auto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>0.8%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4A1E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 w:color="auto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>0.00%</w:t>
            </w:r>
          </w:p>
        </w:tc>
      </w:tr>
      <w:tr w14:paraId="40939B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2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5F55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 w:color="auto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 w:color="auto"/>
                <w:lang w:val="en-US" w:eastAsia="zh-CN" w:bidi="ar"/>
              </w:rPr>
              <w:t>城乡社区支出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31D8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 w:color="auto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>81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 xml:space="preserve">,816 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DEB0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 w:color="auto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 xml:space="preserve">22,359 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3248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 w:color="auto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 xml:space="preserve">19,910 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0E31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 w:color="auto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>27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>%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52E8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 w:color="auto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>12.30%</w:t>
            </w:r>
          </w:p>
        </w:tc>
      </w:tr>
      <w:tr w14:paraId="381500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2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5992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 w:color="auto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 w:color="auto"/>
                <w:lang w:val="en-US" w:eastAsia="zh-CN" w:bidi="ar"/>
              </w:rPr>
              <w:t>农林水支出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83B2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 w:color="auto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 xml:space="preserve"> 5 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AE2F48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 w:color="auto"/>
              </w:rPr>
            </w:pP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47EE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 w:color="auto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 xml:space="preserve">8 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3989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 w:color="auto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>0.0%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F0F7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 w:color="auto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>-100.00%</w:t>
            </w:r>
          </w:p>
        </w:tc>
      </w:tr>
      <w:tr w14:paraId="30510E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2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3DE4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 w:color="auto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 w:color="auto"/>
                <w:lang w:val="en-US" w:eastAsia="zh-CN" w:bidi="ar"/>
              </w:rPr>
              <w:t>交通运输支出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5ACF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 w:color="auto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 xml:space="preserve"> 1,309 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C76B13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 w:color="auto"/>
              </w:rPr>
            </w:pP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072EF7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 w:color="auto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2459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 w:color="auto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>0.0%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A637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 w:color="auto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>0.00%</w:t>
            </w:r>
          </w:p>
        </w:tc>
      </w:tr>
      <w:tr w14:paraId="260627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2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4572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 w:color="auto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 w:color="auto"/>
                <w:lang w:val="en-US" w:eastAsia="zh-CN" w:bidi="ar"/>
              </w:rPr>
              <w:t>住房保障支出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B1C9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 w:color="auto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 xml:space="preserve"> 435 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B62E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 w:color="auto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 xml:space="preserve">375 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2F87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 w:color="auto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 xml:space="preserve">240 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AD52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 w:color="auto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>86.2%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1F73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 w:color="auto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>56.25%</w:t>
            </w:r>
          </w:p>
        </w:tc>
      </w:tr>
      <w:tr w14:paraId="7C8C0F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2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BB1C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 w:color="auto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 w:color="auto"/>
                <w:lang w:val="en-US" w:eastAsia="zh-CN" w:bidi="ar"/>
              </w:rPr>
              <w:t>其他支出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D974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 w:color="auto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 xml:space="preserve"> 193,063 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3089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 w:color="auto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 xml:space="preserve">65,253 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932B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 w:color="auto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 xml:space="preserve">71,654 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F1D3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 w:color="auto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>33.8%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4B80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 w:color="auto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>-8.93%</w:t>
            </w:r>
          </w:p>
        </w:tc>
      </w:tr>
      <w:tr w14:paraId="2C0B4D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2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1394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 w:color="auto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 w:color="auto"/>
                <w:lang w:val="en-US" w:eastAsia="zh-CN" w:bidi="ar"/>
              </w:rPr>
              <w:t>债务付息支出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4103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 w:color="auto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 xml:space="preserve"> 60,000 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7EA9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 w:color="auto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 xml:space="preserve">27,305 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4911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 w:color="auto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 xml:space="preserve">14,711 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CFFF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 w:color="auto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>45.5%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6CF9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 w:color="auto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>85.61%</w:t>
            </w:r>
          </w:p>
        </w:tc>
      </w:tr>
      <w:tr w14:paraId="0A4756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2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45D1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 w:color="auto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 w:color="auto"/>
                <w:lang w:val="en-US" w:eastAsia="zh-CN" w:bidi="ar"/>
              </w:rPr>
              <w:t>国有资本经营预算支出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58B8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 w:color="auto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 xml:space="preserve">1,035 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0FAA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 w:color="auto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 xml:space="preserve">67 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57A6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 w:color="auto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 xml:space="preserve">72 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5B3A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 w:color="auto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>6.5%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EC72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 w:color="auto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>-7.29%</w:t>
            </w:r>
          </w:p>
        </w:tc>
      </w:tr>
      <w:tr w14:paraId="7DBE24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2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6773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 w:color="auto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 w:color="auto"/>
                <w:lang w:val="en-US" w:eastAsia="zh-CN" w:bidi="ar"/>
              </w:rPr>
              <w:t>支出总计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5958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 w:color="auto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>1,2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>91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 xml:space="preserve">,419 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944C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 w:color="auto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>580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>,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>915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 xml:space="preserve"> 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6480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 w:color="auto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 xml:space="preserve">523,252 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CA06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 w:color="auto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>44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>9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>%%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95F1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 w:color="auto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>11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auto"/>
                <w:lang w:val="en-US" w:eastAsia="zh-CN" w:bidi="ar"/>
              </w:rPr>
              <w:t>%</w:t>
            </w:r>
          </w:p>
        </w:tc>
      </w:tr>
    </w:tbl>
    <w:p w14:paraId="6AC555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default"/>
          <w:u w:val="none" w:color="auto"/>
          <w:lang w:val="en-US" w:eastAsia="zh-CN"/>
        </w:rPr>
      </w:pPr>
    </w:p>
    <w:p w14:paraId="0B84C2C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6" w:lineRule="exact"/>
        <w:textAlignment w:val="auto"/>
        <w:rPr>
          <w:rFonts w:hint="default"/>
          <w:u w:val="none" w:color="auto"/>
          <w:lang w:val="en-US" w:eastAsia="zh-CN"/>
        </w:rPr>
      </w:pPr>
    </w:p>
    <w:p w14:paraId="73EC4E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/>
          <w:u w:val="none" w:color="auto"/>
          <w:lang w:val="en-US" w:eastAsia="zh-CN"/>
        </w:rPr>
      </w:pPr>
    </w:p>
    <w:p w14:paraId="2E75DF1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6" w:lineRule="exact"/>
        <w:textAlignment w:val="auto"/>
        <w:rPr>
          <w:rFonts w:hint="default"/>
          <w:u w:val="none" w:color="auto"/>
          <w:lang w:val="en-US" w:eastAsia="zh-CN"/>
        </w:rPr>
      </w:pPr>
    </w:p>
    <w:p w14:paraId="59EAD8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/>
          <w:u w:val="none" w:color="auto"/>
          <w:lang w:val="en-US" w:eastAsia="zh-CN"/>
        </w:rPr>
      </w:pPr>
    </w:p>
    <w:p w14:paraId="090C002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6" w:lineRule="exact"/>
        <w:textAlignment w:val="auto"/>
        <w:rPr>
          <w:rFonts w:hint="default"/>
          <w:u w:val="none" w:color="auto"/>
          <w:lang w:val="en-US" w:eastAsia="zh-CN"/>
        </w:rPr>
      </w:pPr>
    </w:p>
    <w:p w14:paraId="2B9F07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/>
          <w:u w:val="none" w:color="auto"/>
          <w:lang w:val="en-US" w:eastAsia="zh-CN"/>
        </w:rPr>
      </w:pPr>
    </w:p>
    <w:p w14:paraId="1BCA9B9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6" w:lineRule="exact"/>
        <w:textAlignment w:val="auto"/>
        <w:rPr>
          <w:rFonts w:hint="default"/>
          <w:u w:val="none" w:color="auto"/>
          <w:lang w:val="en-US" w:eastAsia="zh-CN"/>
        </w:rPr>
      </w:pPr>
    </w:p>
    <w:p w14:paraId="1D568F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/>
          <w:u w:val="none" w:color="auto"/>
          <w:lang w:val="en-US" w:eastAsia="zh-CN"/>
        </w:rPr>
      </w:pPr>
    </w:p>
    <w:p w14:paraId="6BFA38C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6" w:lineRule="exact"/>
        <w:textAlignment w:val="auto"/>
        <w:rPr>
          <w:rFonts w:hint="default"/>
          <w:u w:val="none" w:color="auto"/>
          <w:lang w:val="en-US" w:eastAsia="zh-CN"/>
        </w:rPr>
      </w:pPr>
    </w:p>
    <w:p w14:paraId="5ED2CC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/>
          <w:u w:val="none" w:color="auto"/>
          <w:lang w:val="en-US" w:eastAsia="zh-CN"/>
        </w:rPr>
      </w:pPr>
    </w:p>
    <w:p w14:paraId="3C905AC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6" w:lineRule="exact"/>
        <w:textAlignment w:val="auto"/>
        <w:rPr>
          <w:rFonts w:hint="default"/>
          <w:u w:val="none" w:color="auto"/>
          <w:lang w:val="en-US" w:eastAsia="zh-CN"/>
        </w:rPr>
      </w:pPr>
    </w:p>
    <w:sectPr>
      <w:footerReference r:id="rId5" w:type="default"/>
      <w:footerReference r:id="rId6" w:type="even"/>
      <w:pgSz w:w="11906" w:h="16838"/>
      <w:pgMar w:top="2098" w:right="1559" w:bottom="1984" w:left="1559" w:header="850" w:footer="1219" w:gutter="0"/>
      <w:cols w:space="0" w:num="1"/>
      <w:rtlGutter w:val="0"/>
      <w:docGrid w:type="lines" w:linePitch="286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5E502EE-B78F-4434-9675-0ED538AB0AF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1C80672F-751E-43AC-9AB4-71605D06863D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696FC09B-1084-4D3D-8B12-CC6AF3A4E5DC}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6F60264E-0CF1-4F95-9559-625F05AA68C5}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5" w:fontKey="{B87D647C-6DC4-4DD1-A32C-A68B1A9559DD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58E2F4"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4584700</wp:posOffset>
              </wp:positionH>
              <wp:positionV relativeFrom="paragraph">
                <wp:posOffset>-208915</wp:posOffset>
              </wp:positionV>
              <wp:extent cx="998220" cy="354965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98220" cy="35496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1AA152E">
                          <w:pPr>
                            <w:pStyle w:val="7"/>
                            <w:ind w:firstLine="280" w:firstLineChars="100"/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 w:ascii="Times New Roman" w:hAnsi="Times New Roman" w:cs="Times New Roman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Times New Roman" w:hAnsi="Times New Roman" w:cs="Times New Roman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61pt;margin-top:-16.45pt;height:27.95pt;width:78.6pt;mso-position-horizontal-relative:margin;z-index:251659264;mso-width-relative:page;mso-height-relative:page;" filled="f" stroked="f" coordsize="21600,21600" o:gfxdata="UEsDBAoAAAAAAIdO4kAAAAAAAAAAAAAAAAAEAAAAZHJzL1BLAwQUAAAACACHTuJAX8ZuPtkAAAAK&#10;AQAADwAAAGRycy9kb3ducmV2LnhtbE2Py07DMBRE90j8g3WR2LV2XIm2ITdd8NjxLCDBzolNEmFf&#10;R7aTlr/HrGA5mtHMmWp3dJbNJsTBE0KxFMAMtV4P1CG8vtwuNsBiUqSV9WQQvk2EXX16UqlS+wM9&#10;m3mfOpZLKJYKoU9pLDmPbW+ciks/Gsrepw9OpSxDx3VQh1zuLJdCXHCnBsoLvRrNVW/ar/3kEOx7&#10;DHeNSB/zdXefnh759HZTPCCenxXiElgyx/QXhl/8jA51Zmr8RDoyi7CWMn9JCIuV3ALLic16K4E1&#10;CHIlgNcV/3+h/gFQSwMEFAAAAAgAh07iQDxDtOAyAgAAVQQAAA4AAABkcnMvZTJvRG9jLnhtbK1U&#10;wY7TMBC9I/EPlu80bZdW26rpqmxVhFSxKy2Is+vYTSTbY2y3SfkA+ANOXLjzXf0Oxk7SRQuHPXBx&#10;J57xm3lvZrq4abQiR+F8BSano8GQEmE4FJXZ5/Tjh82ra0p8YKZgCozI6Ul4erN8+WJR27kYQwmq&#10;EI4giPHz2ua0DMHOs8zzUmjmB2CFQacEp1nAT7fPCsdqRNcqGw+H06wGV1gHXHiPt+vWSTtE9xxA&#10;kLLiYg38oIUJLaoTigWk5MvKerpM1UopeLiT0otAVE6RaUgnJkF7F89suWDzvWO2rHhXAntOCU84&#10;aVYZTHqBWrPAyMFVf0HpijvwIMOAg85aIkkRZDEaPtHmoWRWJC4otbcX0f3/g+Xvj/eOVEVOx5QY&#10;prHh5+/fzj9+nX9+JeMoT239HKMeLMaF5g00ODT9vcfLyLqRTsdf5EPQj+KeLuKKJhCOl7PZ9XiM&#10;Ho6uq8nr2XQSUbLHx9b58FaAJtHIqcPeJUnZcetDG9qHxFwGNpVSqX/KkDqn06vJMD24eBBcGcwR&#10;KbSlRis0u6bjtYPihLQctHPhLd9UmHzLfLhnDgcB68VVCXd4SAWYBDqLkhLcl3/dx3jsD3opqXGw&#10;cuo/H5gTlKh3BjuHkKE3XG/sesMc9C3grI5wCS1PJj5wQfWmdKA/4QatYhZ0McMxV05Db96Gdrxx&#10;A7lYrVIQzpplYWseLI/QrXyrQwBZJWWjLK0WnVo4bak33WbEcf7zO0U9/hssfwN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AAAAAZHJzL1BL&#10;AQIUABQAAAAIAIdO4kBfxm4+2QAAAAoBAAAPAAAAAAAAAAEAIAAAACIAAABkcnMvZG93bnJldi54&#10;bWxQSwECFAAUAAAACACHTuJAPEO04DICAABVBAAADgAAAAAAAAABACAAAAAoAQAAZHJzL2Uyb0Rv&#10;Yy54bWxQSwUGAAAAAAYABgBZAQAAzAUAAAAA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11AA152E">
                    <w:pPr>
                      <w:pStyle w:val="7"/>
                      <w:ind w:firstLine="280" w:firstLineChars="100"/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 w:ascii="Times New Roman" w:hAnsi="Times New Roman" w:cs="Times New Roman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Times New Roman" w:hAnsi="Times New Roman" w:cs="Times New Roman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DF50B0">
    <w:pPr>
      <w:pStyle w:val="7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0</wp:posOffset>
              </wp:positionH>
              <wp:positionV relativeFrom="paragraph">
                <wp:posOffset>-208915</wp:posOffset>
              </wp:positionV>
              <wp:extent cx="1168400" cy="354965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68400" cy="35496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5AA6665">
                          <w:pPr>
                            <w:pStyle w:val="7"/>
                            <w:ind w:firstLine="280" w:firstLineChars="100"/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0pt;margin-top:-16.45pt;height:27.95pt;width:92pt;mso-position-horizontal-relative:margin;z-index:251660288;mso-width-relative:page;mso-height-relative:page;" filled="f" stroked="f" coordsize="21600,21600" o:gfxdata="UEsDBAoAAAAAAIdO4kAAAAAAAAAAAAAAAAAEAAAAZHJzL1BLAwQUAAAACACHTuJAxve5StYAAAAH&#10;AQAADwAAAGRycy9kb3ducmV2LnhtbE2PS0/DMBCE70j8B2uRuLV2UoRKiNMDjxuPUkCCm5MsSYS9&#10;juxNWv497gmOOzOa+bbcHJwVM4Y4eNKQLRUIpMa3A3Ua3l7vF2sQkQ21xnpCDT8YYVOdnpSmaP2e&#10;XnDecSdSCcXCaOiZx0LK2PToTFz6ESl5Xz44w+kMnWyD2adyZ2Wu1KV0ZqC00JsRb3psvneT02A/&#10;YnioFX/Ot90jb5/l9H6XPWl9fpapaxCMB/4LwxE/oUOVmGo/URuF1ZAeYQ2LVX4F4mivL5JSa8hX&#10;CmRVyv/81S9QSwMEFAAAAAgAh07iQCwkHCEyAgAAVgQAAA4AAABkcnMvZTJvRG9jLnhtbK1UwY7T&#10;MBC9I/EPlu806XZbLVXTVdmqCKliVyqIs+vYTSTbY2y3SfkA+ANOXLjzXf0Oxk7TRQuHPXBxJ57x&#10;m3lvZjq7bbUiB+F8Daagw0FOiTAcytrsCvrxw+rVDSU+MFMyBUYU9Cg8vZ2/fDFr7FRcQQWqFI4g&#10;iPHTxha0CsFOs8zzSmjmB2CFQacEp1nAT7fLSscaRNcqu8rzSdaAK60DLrzH22XnpGdE9xxAkLLm&#10;Ygl8r4UJHaoTigWk5KvaejpP1UopeLiX0otAVEGRaUgnJkF7G89sPmPTnWO2qvm5BPacEp5w0qw2&#10;mPQCtWSBkb2r/4LSNXfgQYYBB511RJIiyGKYP9FmUzErEheU2tuL6P7/wfL3hwdH6rKgI0oM09jw&#10;0/dvpx+/Tj+/klGUp7F+ilEbi3GhfQMtDk1/7/Eysm6l0/EX+RD0o7jHi7iiDYTHR8PJzXWOLo6+&#10;0fj69WQcYbLH19b58FaAJtEoqMPmJU3ZYe1DF9qHxGQGVrVSqYHKkKagk9E4Tw8uHgRXBnNEDl2t&#10;0Qrttj0T20J5RF4OusHwlq9qTL5mPjwwh5OA9eKuhHs8pAJMAmeLkgrcl3/dx3hsEHopaXCyCuo/&#10;75kTlKh3BluHkKE3XG9se8Ps9R3gsA5xCy1PJj5wQfWmdKA/4QotYhZ0McMxV0FDb96Fbr5xBblY&#10;LFIQDptlYW02lkfoTr7FPoCsk7JRlk6Ls1o4bqk359WI8/znd4p6/DuY/wZ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DG97lK1gAAAAcBAAAPAAAAAAAAAAEAIAAAACIAAABkcnMvZG93bnJldi54bWxQ&#10;SwECFAAUAAAACACHTuJALCQcITICAABWBAAADgAAAAAAAAABACAAAAAl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55AA6665">
                    <w:pPr>
                      <w:pStyle w:val="7"/>
                      <w:ind w:firstLine="280" w:firstLineChars="100"/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eastAsia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- 2 -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evenAndOddHeaders w:val="1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</w:compat>
  <w:docVars>
    <w:docVar w:name="commondata" w:val="eyJoZGlkIjoiNjMzZWE4OTIzMWQzNDZiNTg5OGY1YzEyYWE2YWY3NWYifQ=="/>
  </w:docVars>
  <w:rsids>
    <w:rsidRoot w:val="0050254E"/>
    <w:rsid w:val="001310B7"/>
    <w:rsid w:val="00167217"/>
    <w:rsid w:val="001C28E3"/>
    <w:rsid w:val="002E301B"/>
    <w:rsid w:val="003B3F2A"/>
    <w:rsid w:val="0050254E"/>
    <w:rsid w:val="0061060A"/>
    <w:rsid w:val="00915A48"/>
    <w:rsid w:val="00970F51"/>
    <w:rsid w:val="009927F8"/>
    <w:rsid w:val="00996F3F"/>
    <w:rsid w:val="009D16AD"/>
    <w:rsid w:val="00BD1C72"/>
    <w:rsid w:val="00CF6124"/>
    <w:rsid w:val="00D20F26"/>
    <w:rsid w:val="00D31089"/>
    <w:rsid w:val="00F821A1"/>
    <w:rsid w:val="016270AA"/>
    <w:rsid w:val="019A7231"/>
    <w:rsid w:val="01FF0067"/>
    <w:rsid w:val="02BE7695"/>
    <w:rsid w:val="05F15F19"/>
    <w:rsid w:val="06A91F53"/>
    <w:rsid w:val="0787062A"/>
    <w:rsid w:val="0829684B"/>
    <w:rsid w:val="08DA2C94"/>
    <w:rsid w:val="09867761"/>
    <w:rsid w:val="0AF50233"/>
    <w:rsid w:val="0C9D3A82"/>
    <w:rsid w:val="0CEA6BA0"/>
    <w:rsid w:val="0D6A1C52"/>
    <w:rsid w:val="0DAC17AE"/>
    <w:rsid w:val="0EE8142C"/>
    <w:rsid w:val="0F53052D"/>
    <w:rsid w:val="0FCE72CB"/>
    <w:rsid w:val="104B5183"/>
    <w:rsid w:val="10BC066C"/>
    <w:rsid w:val="10DC2C2F"/>
    <w:rsid w:val="1230601B"/>
    <w:rsid w:val="12D41837"/>
    <w:rsid w:val="14B9091B"/>
    <w:rsid w:val="14CB36BF"/>
    <w:rsid w:val="15BE539D"/>
    <w:rsid w:val="169A5C3A"/>
    <w:rsid w:val="1717077A"/>
    <w:rsid w:val="17C9209E"/>
    <w:rsid w:val="1814197A"/>
    <w:rsid w:val="19043063"/>
    <w:rsid w:val="1A556C20"/>
    <w:rsid w:val="1BAB1B97"/>
    <w:rsid w:val="1C0B137E"/>
    <w:rsid w:val="1C956513"/>
    <w:rsid w:val="1CF875FA"/>
    <w:rsid w:val="1E1124CF"/>
    <w:rsid w:val="1E8D5444"/>
    <w:rsid w:val="1FB55137"/>
    <w:rsid w:val="201C2F63"/>
    <w:rsid w:val="20D62B77"/>
    <w:rsid w:val="21200BDC"/>
    <w:rsid w:val="21410789"/>
    <w:rsid w:val="217B2EA2"/>
    <w:rsid w:val="23D02169"/>
    <w:rsid w:val="244F32B3"/>
    <w:rsid w:val="24B17CC7"/>
    <w:rsid w:val="24DC33CC"/>
    <w:rsid w:val="25CE6DE2"/>
    <w:rsid w:val="25CF3559"/>
    <w:rsid w:val="26721A71"/>
    <w:rsid w:val="26E9267A"/>
    <w:rsid w:val="27D81ED6"/>
    <w:rsid w:val="2B422476"/>
    <w:rsid w:val="2C893E39"/>
    <w:rsid w:val="2F6955E1"/>
    <w:rsid w:val="324A5D10"/>
    <w:rsid w:val="32853673"/>
    <w:rsid w:val="33753436"/>
    <w:rsid w:val="337F0975"/>
    <w:rsid w:val="348204FC"/>
    <w:rsid w:val="360066BC"/>
    <w:rsid w:val="360A13CD"/>
    <w:rsid w:val="36580E27"/>
    <w:rsid w:val="37072D8A"/>
    <w:rsid w:val="3BD23887"/>
    <w:rsid w:val="40181E46"/>
    <w:rsid w:val="406A78B7"/>
    <w:rsid w:val="41EE6CA8"/>
    <w:rsid w:val="43CD7719"/>
    <w:rsid w:val="44195841"/>
    <w:rsid w:val="45356EC9"/>
    <w:rsid w:val="45421365"/>
    <w:rsid w:val="454541B9"/>
    <w:rsid w:val="46307030"/>
    <w:rsid w:val="466603D0"/>
    <w:rsid w:val="472305D6"/>
    <w:rsid w:val="49D36A49"/>
    <w:rsid w:val="4B0A37DC"/>
    <w:rsid w:val="4B39120C"/>
    <w:rsid w:val="4B5507CF"/>
    <w:rsid w:val="4BF30464"/>
    <w:rsid w:val="4D2831AB"/>
    <w:rsid w:val="4D9422F8"/>
    <w:rsid w:val="4F6417C2"/>
    <w:rsid w:val="4F715EF4"/>
    <w:rsid w:val="4F8505CD"/>
    <w:rsid w:val="4F9A4C80"/>
    <w:rsid w:val="506F4A10"/>
    <w:rsid w:val="51325BBB"/>
    <w:rsid w:val="520155D4"/>
    <w:rsid w:val="52024A83"/>
    <w:rsid w:val="52AD7CFD"/>
    <w:rsid w:val="52C27FEE"/>
    <w:rsid w:val="52C73515"/>
    <w:rsid w:val="53A576A4"/>
    <w:rsid w:val="55181180"/>
    <w:rsid w:val="55441B11"/>
    <w:rsid w:val="56BE0ACC"/>
    <w:rsid w:val="570222F1"/>
    <w:rsid w:val="58B64B3E"/>
    <w:rsid w:val="5AE53EA8"/>
    <w:rsid w:val="600022FF"/>
    <w:rsid w:val="61AF3860"/>
    <w:rsid w:val="627D1F2E"/>
    <w:rsid w:val="62CB6FF0"/>
    <w:rsid w:val="64E448E7"/>
    <w:rsid w:val="653514C0"/>
    <w:rsid w:val="657A4758"/>
    <w:rsid w:val="65E427A4"/>
    <w:rsid w:val="66C506A7"/>
    <w:rsid w:val="670F579F"/>
    <w:rsid w:val="677842AC"/>
    <w:rsid w:val="6874049D"/>
    <w:rsid w:val="697B1CBF"/>
    <w:rsid w:val="698935F3"/>
    <w:rsid w:val="699602BA"/>
    <w:rsid w:val="6F107F60"/>
    <w:rsid w:val="6F4D3B51"/>
    <w:rsid w:val="6FB92DE7"/>
    <w:rsid w:val="706D019D"/>
    <w:rsid w:val="716F6B00"/>
    <w:rsid w:val="7327666B"/>
    <w:rsid w:val="74E4290F"/>
    <w:rsid w:val="75524DAA"/>
    <w:rsid w:val="770238EE"/>
    <w:rsid w:val="77A9425C"/>
    <w:rsid w:val="77FFE4CE"/>
    <w:rsid w:val="780914BC"/>
    <w:rsid w:val="780B2B6E"/>
    <w:rsid w:val="78DA31F1"/>
    <w:rsid w:val="794D3B03"/>
    <w:rsid w:val="798877C9"/>
    <w:rsid w:val="79B50A1F"/>
    <w:rsid w:val="7A111F33"/>
    <w:rsid w:val="7AC67FA4"/>
    <w:rsid w:val="7B8B548F"/>
    <w:rsid w:val="7C054F68"/>
    <w:rsid w:val="7C2B0D70"/>
    <w:rsid w:val="7CE077E9"/>
    <w:rsid w:val="7D0B3671"/>
    <w:rsid w:val="7DBBC7F6"/>
    <w:rsid w:val="7E2B4527"/>
    <w:rsid w:val="7EA36676"/>
    <w:rsid w:val="7EC33429"/>
    <w:rsid w:val="7F9A2311"/>
    <w:rsid w:val="7FE533E0"/>
    <w:rsid w:val="C7FF58C1"/>
    <w:rsid w:val="CEF7BF23"/>
    <w:rsid w:val="DF7F54C6"/>
    <w:rsid w:val="ED5FA894"/>
    <w:rsid w:val="FAEBEABB"/>
    <w:rsid w:val="FFBFC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qFormat="1"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60" w:lineRule="exact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7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paragraph" w:styleId="3">
    <w:name w:val="toc 5"/>
    <w:basedOn w:val="1"/>
    <w:next w:val="1"/>
    <w:qFormat/>
    <w:uiPriority w:val="0"/>
    <w:pPr>
      <w:ind w:left="1680" w:leftChars="800"/>
    </w:pPr>
    <w:rPr>
      <w:rFonts w:ascii="Times New Roman" w:hAnsi="Times New Roman" w:eastAsia="方正仿宋_GBK"/>
      <w:sz w:val="32"/>
    </w:rPr>
  </w:style>
  <w:style w:type="paragraph" w:styleId="4">
    <w:name w:val="toc 3"/>
    <w:basedOn w:val="1"/>
    <w:next w:val="1"/>
    <w:qFormat/>
    <w:uiPriority w:val="0"/>
    <w:pPr>
      <w:ind w:left="840"/>
    </w:pPr>
  </w:style>
  <w:style w:type="paragraph" w:styleId="5">
    <w:name w:val="Body Text Indent 2"/>
    <w:basedOn w:val="1"/>
    <w:qFormat/>
    <w:uiPriority w:val="0"/>
    <w:pPr>
      <w:spacing w:line="580" w:lineRule="exact"/>
      <w:ind w:firstLine="620" w:firstLineChars="195"/>
    </w:pPr>
    <w:rPr>
      <w:rFonts w:ascii="仿宋_GB2312" w:eastAsia="仿宋_GB2312"/>
      <w:sz w:val="32"/>
      <w:szCs w:val="24"/>
    </w:rPr>
  </w:style>
  <w:style w:type="paragraph" w:styleId="6">
    <w:name w:val="Balloon Text"/>
    <w:basedOn w:val="1"/>
    <w:qFormat/>
    <w:uiPriority w:val="0"/>
    <w:pPr>
      <w:spacing w:line="240" w:lineRule="auto"/>
    </w:pPr>
    <w:rPr>
      <w:sz w:val="18"/>
      <w:szCs w:val="18"/>
    </w:rPr>
  </w:style>
  <w:style w:type="paragraph" w:styleId="7">
    <w:name w:val="footer"/>
    <w:basedOn w:val="1"/>
    <w:next w:val="8"/>
    <w:qFormat/>
    <w:uiPriority w:val="0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cs="Arial"/>
      <w:sz w:val="18"/>
      <w:szCs w:val="18"/>
    </w:rPr>
  </w:style>
  <w:style w:type="paragraph" w:customStyle="1" w:styleId="8">
    <w:name w:val="索引 51"/>
    <w:basedOn w:val="1"/>
    <w:next w:val="1"/>
    <w:qFormat/>
    <w:uiPriority w:val="0"/>
    <w:pPr>
      <w:ind w:left="1680"/>
    </w:pPr>
  </w:style>
  <w:style w:type="paragraph" w:styleId="9">
    <w:name w:val="header"/>
    <w:basedOn w:val="1"/>
    <w:next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10">
    <w:name w:val="toc 1"/>
    <w:basedOn w:val="1"/>
    <w:next w:val="1"/>
    <w:qFormat/>
    <w:uiPriority w:val="0"/>
  </w:style>
  <w:style w:type="paragraph" w:styleId="11">
    <w:name w:val="footnote text"/>
    <w:basedOn w:val="1"/>
    <w:qFormat/>
    <w:uiPriority w:val="0"/>
    <w:pPr>
      <w:snapToGrid w:val="0"/>
      <w:jc w:val="left"/>
    </w:pPr>
    <w:rPr>
      <w:sz w:val="18"/>
    </w:rPr>
  </w:style>
  <w:style w:type="paragraph" w:styleId="12">
    <w:name w:val="index 7"/>
    <w:basedOn w:val="1"/>
    <w:next w:val="1"/>
    <w:qFormat/>
    <w:uiPriority w:val="0"/>
    <w:pPr>
      <w:ind w:left="1200" w:leftChars="1200"/>
    </w:pPr>
  </w:style>
  <w:style w:type="paragraph" w:styleId="13">
    <w:name w:val="Message Header"/>
    <w:basedOn w:val="1"/>
    <w:next w:val="2"/>
    <w:qFormat/>
    <w:uiPriority w:val="0"/>
    <w:pPr>
      <w:widowControl w:val="0"/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spacing w:before="0" w:after="0" w:line="560" w:lineRule="exact"/>
      <w:ind w:left="1000" w:leftChars="500" w:hanging="500" w:hangingChars="500"/>
      <w:jc w:val="both"/>
    </w:pPr>
    <w:rPr>
      <w:rFonts w:ascii="Cambria" w:hAnsi="Cambria" w:eastAsia="宋体" w:cs="Times New Roman"/>
      <w:kern w:val="2"/>
      <w:sz w:val="24"/>
      <w:szCs w:val="22"/>
      <w:lang w:val="en-US" w:eastAsia="zh-CN" w:bidi="ar-SA"/>
    </w:rPr>
  </w:style>
  <w:style w:type="paragraph" w:styleId="14">
    <w:name w:val="Normal (Web)"/>
    <w:basedOn w:val="1"/>
    <w:semiHidden/>
    <w:unhideWhenUsed/>
    <w:qFormat/>
    <w:uiPriority w:val="99"/>
    <w:rPr>
      <w:sz w:val="24"/>
    </w:rPr>
  </w:style>
  <w:style w:type="paragraph" w:styleId="15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</w:rPr>
  </w:style>
  <w:style w:type="paragraph" w:styleId="16">
    <w:name w:val="Body Text First Indent"/>
    <w:basedOn w:val="2"/>
    <w:next w:val="1"/>
    <w:qFormat/>
    <w:uiPriority w:val="0"/>
    <w:pPr>
      <w:ind w:firstLine="100" w:firstLineChars="100"/>
    </w:pPr>
  </w:style>
  <w:style w:type="character" w:styleId="19">
    <w:name w:val="Strong"/>
    <w:basedOn w:val="18"/>
    <w:qFormat/>
    <w:uiPriority w:val="0"/>
    <w:rPr>
      <w:b/>
    </w:rPr>
  </w:style>
  <w:style w:type="character" w:styleId="20">
    <w:name w:val="page number"/>
    <w:qFormat/>
    <w:uiPriority w:val="0"/>
  </w:style>
  <w:style w:type="character" w:styleId="21">
    <w:name w:val="footnote reference"/>
    <w:basedOn w:val="18"/>
    <w:qFormat/>
    <w:uiPriority w:val="0"/>
    <w:rPr>
      <w:vertAlign w:val="superscript"/>
    </w:rPr>
  </w:style>
  <w:style w:type="paragraph" w:customStyle="1" w:styleId="22">
    <w:name w:val="列出段落1"/>
    <w:basedOn w:val="1"/>
    <w:qFormat/>
    <w:uiPriority w:val="0"/>
    <w:pPr>
      <w:ind w:firstLine="200" w:firstLineChars="200"/>
    </w:pPr>
  </w:style>
  <w:style w:type="paragraph" w:customStyle="1" w:styleId="23">
    <w:name w:val="默认"/>
    <w:qFormat/>
    <w:uiPriority w:val="0"/>
    <w:rPr>
      <w:rFonts w:ascii="Helvetica" w:hAnsi="Helvetica" w:eastAsia="Helvetica" w:cs="Helvetica"/>
      <w:color w:val="000000"/>
      <w:sz w:val="22"/>
      <w:szCs w:val="22"/>
      <w:lang w:val="en-US" w:eastAsia="zh-CN" w:bidi="ar-SA"/>
    </w:rPr>
  </w:style>
  <w:style w:type="paragraph" w:customStyle="1" w:styleId="24">
    <w:name w:val="NormalIndent"/>
    <w:basedOn w:val="1"/>
    <w:qFormat/>
    <w:uiPriority w:val="0"/>
    <w:rPr>
      <w:rFonts w:ascii="Times New Roman" w:hAnsi="Times New Roman"/>
    </w:rPr>
  </w:style>
  <w:style w:type="paragraph" w:customStyle="1" w:styleId="25">
    <w:name w:val="UserStyle_0"/>
    <w:basedOn w:val="1"/>
    <w:qFormat/>
    <w:uiPriority w:val="0"/>
    <w:pPr>
      <w:textAlignment w:val="baseline"/>
    </w:pPr>
    <w:rPr>
      <w:rFonts w:ascii="Times New Roman" w:hAnsi="Times New Roman"/>
    </w:rPr>
  </w:style>
  <w:style w:type="paragraph" w:customStyle="1" w:styleId="26">
    <w:name w:val="列表段落1"/>
    <w:basedOn w:val="1"/>
    <w:qFormat/>
    <w:uiPriority w:val="0"/>
    <w:pPr>
      <w:ind w:firstLine="200" w:firstLineChars="200"/>
    </w:pPr>
  </w:style>
  <w:style w:type="paragraph" w:customStyle="1" w:styleId="27">
    <w:name w:val="Default"/>
    <w:next w:val="2"/>
    <w:qFormat/>
    <w:uiPriority w:val="0"/>
    <w:pPr>
      <w:autoSpaceDE w:val="0"/>
      <w:autoSpaceDN w:val="0"/>
      <w:adjustRightInd w:val="0"/>
    </w:pPr>
    <w:rPr>
      <w:rFonts w:ascii="Arial" w:hAnsi="Arial" w:eastAsia="宋体" w:cs="Arial"/>
      <w:color w:val="000000"/>
      <w:sz w:val="24"/>
      <w:szCs w:val="24"/>
      <w:lang w:val="en-US" w:eastAsia="zh-CN" w:bidi="ar-SA"/>
    </w:rPr>
  </w:style>
  <w:style w:type="paragraph" w:customStyle="1" w:styleId="28">
    <w:name w:val="BodyText1I"/>
    <w:qFormat/>
    <w:uiPriority w:val="0"/>
    <w:pPr>
      <w:widowControl w:val="0"/>
      <w:spacing w:line="600" w:lineRule="exact"/>
      <w:ind w:firstLine="100" w:firstLineChars="100"/>
      <w:jc w:val="center"/>
      <w:textAlignment w:val="baseline"/>
    </w:pPr>
    <w:rPr>
      <w:rFonts w:ascii="黑体" w:hAnsi="Times New Roman" w:eastAsia="黑体" w:cs="Times New Roman"/>
      <w:color w:val="000000"/>
      <w:sz w:val="36"/>
      <w:szCs w:val="36"/>
      <w:lang w:val="en-US" w:eastAsia="zh-CN" w:bidi="ar-SA"/>
    </w:rPr>
  </w:style>
  <w:style w:type="paragraph" w:customStyle="1" w:styleId="29">
    <w:name w:val="BodyText"/>
    <w:qFormat/>
    <w:uiPriority w:val="0"/>
    <w:pPr>
      <w:widowControl w:val="0"/>
      <w:spacing w:line="600" w:lineRule="exact"/>
      <w:jc w:val="center"/>
      <w:textAlignment w:val="baseline"/>
    </w:pPr>
    <w:rPr>
      <w:rFonts w:ascii="黑体" w:hAnsi="Times New Roman" w:eastAsia="黑体" w:cs="Times New Roman"/>
      <w:color w:val="000000"/>
      <w:sz w:val="36"/>
      <w:szCs w:val="36"/>
      <w:lang w:val="en-US" w:eastAsia="zh-CN" w:bidi="ar-SA"/>
    </w:rPr>
  </w:style>
  <w:style w:type="paragraph" w:customStyle="1" w:styleId="30">
    <w:name w:val="样式 小四"/>
    <w:qFormat/>
    <w:uiPriority w:val="0"/>
    <w:rPr>
      <w:rFonts w:ascii="Times New Roman" w:hAnsi="Times New Roman" w:eastAsia="Times New Roman" w:cs="Times New Roman"/>
      <w:sz w:val="24"/>
      <w:szCs w:val="24"/>
      <w:lang w:val="en-US" w:eastAsia="zh-CN" w:bidi="ar-SA"/>
    </w:rPr>
  </w:style>
  <w:style w:type="character" w:customStyle="1" w:styleId="31">
    <w:name w:val="font31"/>
    <w:basedOn w:val="18"/>
    <w:qFormat/>
    <w:uiPriority w:val="0"/>
    <w:rPr>
      <w:rFonts w:ascii="方正仿宋_GBK" w:hAnsi="方正仿宋_GBK" w:eastAsia="方正仿宋_GBK" w:cs="方正仿宋_GBK"/>
      <w:color w:val="000000"/>
      <w:sz w:val="24"/>
      <w:szCs w:val="24"/>
      <w:u w:val="none"/>
    </w:rPr>
  </w:style>
  <w:style w:type="character" w:customStyle="1" w:styleId="32">
    <w:name w:val="font121"/>
    <w:basedOn w:val="18"/>
    <w:qFormat/>
    <w:uiPriority w:val="0"/>
    <w:rPr>
      <w:rFonts w:hint="eastAsia" w:ascii="方正仿宋_GBK" w:hAnsi="方正仿宋_GBK" w:eastAsia="方正仿宋_GBK" w:cs="方正仿宋_GBK"/>
      <w:b/>
      <w:color w:val="000000"/>
      <w:sz w:val="24"/>
      <w:szCs w:val="24"/>
      <w:u w:val="none"/>
    </w:rPr>
  </w:style>
  <w:style w:type="character" w:customStyle="1" w:styleId="33">
    <w:name w:val="font21"/>
    <w:basedOn w:val="1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34">
    <w:name w:val="font122"/>
    <w:basedOn w:val="18"/>
    <w:qFormat/>
    <w:uiPriority w:val="0"/>
    <w:rPr>
      <w:rFonts w:hint="eastAsia" w:ascii="方正仿宋_GBK" w:hAnsi="方正仿宋_GBK" w:eastAsia="方正仿宋_GBK" w:cs="方正仿宋_GBK"/>
      <w:b/>
      <w:color w:val="000000"/>
      <w:sz w:val="24"/>
      <w:szCs w:val="24"/>
      <w:u w:val="none"/>
    </w:rPr>
  </w:style>
  <w:style w:type="character" w:customStyle="1" w:styleId="35">
    <w:name w:val="font151"/>
    <w:basedOn w:val="18"/>
    <w:qFormat/>
    <w:uiPriority w:val="0"/>
    <w:rPr>
      <w:rFonts w:hint="eastAsia" w:ascii="方正仿宋_GBK" w:hAnsi="方正仿宋_GBK" w:eastAsia="方正仿宋_GBK" w:cs="方正仿宋_GBK"/>
      <w:b/>
      <w:color w:val="000000"/>
      <w:sz w:val="24"/>
      <w:szCs w:val="24"/>
      <w:u w:val="none"/>
    </w:rPr>
  </w:style>
  <w:style w:type="character" w:customStyle="1" w:styleId="36">
    <w:name w:val="font81"/>
    <w:basedOn w:val="18"/>
    <w:qFormat/>
    <w:uiPriority w:val="0"/>
    <w:rPr>
      <w:rFonts w:hint="eastAsia" w:ascii="方正仿宋_GBK" w:hAnsi="方正仿宋_GBK" w:eastAsia="方正仿宋_GBK" w:cs="方正仿宋_GBK"/>
      <w:color w:val="000000"/>
      <w:sz w:val="24"/>
      <w:szCs w:val="24"/>
      <w:u w:val="none"/>
    </w:rPr>
  </w:style>
  <w:style w:type="character" w:customStyle="1" w:styleId="37">
    <w:name w:val="font41"/>
    <w:basedOn w:val="18"/>
    <w:qFormat/>
    <w:uiPriority w:val="0"/>
    <w:rPr>
      <w:rFonts w:hint="eastAsia" w:ascii="方正仿宋_GBK" w:hAnsi="方正仿宋_GBK" w:eastAsia="方正仿宋_GBK" w:cs="方正仿宋_GBK"/>
      <w:color w:val="000000"/>
      <w:sz w:val="22"/>
      <w:szCs w:val="22"/>
      <w:u w:val="none"/>
    </w:rPr>
  </w:style>
  <w:style w:type="character" w:customStyle="1" w:styleId="38">
    <w:name w:val="font161"/>
    <w:basedOn w:val="18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39">
    <w:name w:val="font101"/>
    <w:basedOn w:val="18"/>
    <w:qFormat/>
    <w:uiPriority w:val="0"/>
    <w:rPr>
      <w:rFonts w:hint="eastAsia" w:ascii="方正仿宋_GBK" w:hAnsi="方正仿宋_GBK" w:eastAsia="方正仿宋_GBK" w:cs="方正仿宋_GBK"/>
      <w:color w:val="000000"/>
      <w:sz w:val="22"/>
      <w:szCs w:val="22"/>
      <w:u w:val="none"/>
    </w:rPr>
  </w:style>
  <w:style w:type="character" w:customStyle="1" w:styleId="40">
    <w:name w:val="font91"/>
    <w:basedOn w:val="18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41">
    <w:name w:val="font01"/>
    <w:basedOn w:val="18"/>
    <w:qFormat/>
    <w:uiPriority w:val="0"/>
    <w:rPr>
      <w:rFonts w:ascii="方正仿宋_GBK" w:hAnsi="方正仿宋_GBK" w:eastAsia="方正仿宋_GBK" w:cs="方正仿宋_GBK"/>
      <w:color w:val="000000"/>
      <w:sz w:val="24"/>
      <w:szCs w:val="24"/>
      <w:u w:val="none"/>
    </w:rPr>
  </w:style>
  <w:style w:type="character" w:customStyle="1" w:styleId="42">
    <w:name w:val="font111"/>
    <w:basedOn w:val="18"/>
    <w:qFormat/>
    <w:uiPriority w:val="0"/>
    <w:rPr>
      <w:rFonts w:hint="eastAsia" w:ascii="方正仿宋_GBK" w:hAnsi="方正仿宋_GBK" w:eastAsia="方正仿宋_GBK" w:cs="方正仿宋_GBK"/>
      <w:b/>
      <w:color w:val="000000"/>
      <w:sz w:val="24"/>
      <w:szCs w:val="24"/>
      <w:u w:val="none"/>
    </w:rPr>
  </w:style>
  <w:style w:type="paragraph" w:customStyle="1" w:styleId="43">
    <w:name w:val="正文文本缩进1"/>
    <w:basedOn w:val="1"/>
    <w:qFormat/>
    <w:uiPriority w:val="0"/>
    <w:pPr>
      <w:widowControl/>
      <w:spacing w:line="620" w:lineRule="exact"/>
      <w:ind w:firstLine="640"/>
      <w:jc w:val="left"/>
    </w:pPr>
    <w:rPr>
      <w:rFonts w:ascii="Times New Roman" w:hAnsi="Times New Roman" w:eastAsia="仿宋_GB2312"/>
      <w:kern w:val="0"/>
    </w:rPr>
  </w:style>
  <w:style w:type="character" w:customStyle="1" w:styleId="44">
    <w:name w:val="font61"/>
    <w:basedOn w:val="18"/>
    <w:qFormat/>
    <w:uiPriority w:val="0"/>
    <w:rPr>
      <w:rFonts w:hint="eastAsia" w:ascii="方正仿宋_GBK" w:hAnsi="方正仿宋_GBK" w:eastAsia="方正仿宋_GBK" w:cs="方正仿宋_GBK"/>
      <w:b/>
      <w:color w:val="000000"/>
      <w:sz w:val="24"/>
      <w:szCs w:val="24"/>
      <w:u w:val="none"/>
    </w:rPr>
  </w:style>
  <w:style w:type="character" w:customStyle="1" w:styleId="45">
    <w:name w:val="font71"/>
    <w:basedOn w:val="18"/>
    <w:qFormat/>
    <w:uiPriority w:val="0"/>
    <w:rPr>
      <w:rFonts w:hint="eastAsia" w:ascii="方正仿宋_GBK" w:hAnsi="方正仿宋_GBK" w:eastAsia="方正仿宋_GBK" w:cs="方正仿宋_GBK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4017</Words>
  <Characters>5326</Characters>
  <Lines>81</Lines>
  <Paragraphs>22</Paragraphs>
  <TotalTime>981</TotalTime>
  <ScaleCrop>false</ScaleCrop>
  <LinksUpToDate>false</LinksUpToDate>
  <CharactersWithSpaces>5570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2023-07-11T19:16:00Z</dcterms:created>
  <dc:creator>ASUS</dc:creator>
  <cp:lastModifiedBy>ASUS</cp:lastModifiedBy>
  <cp:lastPrinted>2026-07-10T17:31:00Z</cp:lastPrinted>
  <dcterms:modified xsi:type="dcterms:W3CDTF">2026-08-12T01:37:52Z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C3F5E174F9874869AF7F5D5BBC25581D_13</vt:lpwstr>
  </property>
  <property fmtid="{D5CDD505-2E9C-101B-9397-08002B2CF9AE}" pid="4" name="KSOTemplateDocerSaveRecord">
    <vt:lpwstr>eyJoZGlkIjoiZjI1MmU0ZGM4MGIwYjY1ZGI1ZjM3N2ZkNzRjZDZiNTQiLCJ1c2VySWQiOiIyNzE3ODgzMDMifQ==</vt:lpwstr>
  </property>
</Properties>
</file>