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kinsoku/>
        <w:wordWrap/>
        <w:overflowPunct/>
        <w:topLinePunct w:val="0"/>
        <w:autoSpaceDN/>
        <w:bidi w:val="0"/>
        <w:adjustRightInd/>
        <w:spacing w:before="0" w:beforeAutospacing="0" w:line="594" w:lineRule="exact"/>
        <w:jc w:val="center"/>
        <w:textAlignment w:val="auto"/>
        <w:rPr>
          <w:rFonts w:hint="default" w:ascii="方正小标宋_GBK" w:hAnsi="方正小标宋_GBK" w:eastAsia="方正小标宋_GBK" w:cs="方正小标宋_GBK"/>
          <w:sz w:val="36"/>
          <w:szCs w:val="36"/>
          <w:shd w:val="clear" w:color="auto" w:fill="FFFFFF"/>
        </w:rPr>
      </w:pPr>
      <w:r>
        <w:rPr>
          <w:rFonts w:ascii="方正小标宋_GBK" w:hAnsi="方正小标宋_GBK" w:eastAsia="方正小标宋_GBK" w:cs="方正小标宋_GBK"/>
          <w:sz w:val="36"/>
          <w:szCs w:val="36"/>
        </w:rPr>
        <w:t>重庆市渝中区党政信息中心</w:t>
      </w:r>
      <w:r>
        <w:rPr>
          <w:rFonts w:ascii="方正小标宋_GBK" w:hAnsi="方正小标宋_GBK" w:eastAsia="方正小标宋_GBK" w:cs="方正小标宋_GBK"/>
          <w:sz w:val="36"/>
          <w:szCs w:val="36"/>
          <w:shd w:val="clear" w:color="auto" w:fill="FFFFFF"/>
        </w:rPr>
        <w:t>2023年度决算</w:t>
      </w:r>
      <w:r>
        <w:rPr>
          <w:rFonts w:hint="eastAsia" w:ascii="方正小标宋_GBK" w:hAnsi="方正小标宋_GBK" w:eastAsia="方正小标宋_GBK" w:cs="方正小标宋_GBK"/>
          <w:sz w:val="36"/>
          <w:szCs w:val="36"/>
          <w:shd w:val="clear" w:color="auto" w:fill="FFFFFF"/>
          <w:lang w:eastAsia="zh-CN"/>
        </w:rPr>
        <w:t>公开</w:t>
      </w:r>
      <w:r>
        <w:rPr>
          <w:rFonts w:ascii="方正小标宋_GBK" w:hAnsi="方正小标宋_GBK" w:eastAsia="方正小标宋_GBK" w:cs="方正小标宋_GBK"/>
          <w:sz w:val="36"/>
          <w:szCs w:val="36"/>
          <w:shd w:val="clear" w:color="auto" w:fill="FFFFFF"/>
        </w:rPr>
        <w:t>说明</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textAlignment w:val="auto"/>
        <w:rPr>
          <w:rFonts w:hint="eastAsia" w:ascii="黑体" w:hAnsi="黑体" w:eastAsia="黑体" w:cs="黑体"/>
          <w:sz w:val="32"/>
          <w:szCs w:val="32"/>
        </w:rPr>
      </w:pPr>
      <w:r>
        <w:rPr>
          <w:rStyle w:val="11"/>
          <w:rFonts w:hint="eastAsia" w:ascii="方正黑体_GBK" w:hAnsi="方正黑体_GBK" w:eastAsia="方正黑体_GBK" w:cs="方正黑体_GBK"/>
          <w:b w:val="0"/>
          <w:bCs/>
          <w:sz w:val="32"/>
          <w:szCs w:val="32"/>
          <w:shd w:val="clear" w:color="auto" w:fill="FFFFFF"/>
        </w:rPr>
        <w:t>一、部门基本情况</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ind w:firstLine="420"/>
        <w:textAlignment w:val="auto"/>
        <w:rPr>
          <w:rFonts w:hint="default" w:ascii="方正仿宋_GBK" w:hAnsi="方正仿宋_GBK" w:eastAsia="方正仿宋_GBK" w:cs="方正仿宋_GBK"/>
          <w:sz w:val="32"/>
          <w:szCs w:val="32"/>
        </w:rPr>
      </w:pPr>
      <w:r>
        <w:rPr>
          <w:rStyle w:val="11"/>
          <w:rFonts w:hint="eastAsia" w:ascii="方正楷体_GBK" w:hAnsi="方正楷体_GBK" w:eastAsia="方正楷体_GBK" w:cs="方正楷体_GBK"/>
          <w:b w:val="0"/>
          <w:bCs/>
          <w:sz w:val="32"/>
          <w:szCs w:val="32"/>
          <w:shd w:val="clear" w:color="auto" w:fill="FFFFFF"/>
        </w:rPr>
        <w:t>（一）职能职责</w:t>
      </w:r>
    </w:p>
    <w:p>
      <w:pPr>
        <w:pStyle w:val="7"/>
        <w:keepNext w:val="0"/>
        <w:keepLines w:val="0"/>
        <w:pageBreakBefore w:val="0"/>
        <w:widowControl/>
        <w:shd w:val="clear" w:color="auto" w:fill="FFFFFF"/>
        <w:kinsoku/>
        <w:wordWrap/>
        <w:overflowPunct/>
        <w:topLinePunct w:val="0"/>
        <w:autoSpaceDE/>
        <w:autoSpaceDN/>
        <w:bidi w:val="0"/>
        <w:adjustRightInd/>
        <w:snapToGrid/>
        <w:spacing w:beforeAutospacing="0" w:line="594" w:lineRule="exact"/>
        <w:ind w:firstLine="640" w:firstLineChars="200"/>
        <w:textAlignment w:val="auto"/>
        <w:rPr>
          <w:rFonts w:ascii="方正仿宋_GBK" w:hAnsi="方正仿宋_GBK" w:eastAsia="方正仿宋_GBK" w:cs="方正仿宋_GBK"/>
          <w:sz w:val="32"/>
          <w:szCs w:val="32"/>
          <w:rtl w:val="0"/>
          <w:lang w:val="zh-TW" w:eastAsia="zh-TW"/>
        </w:rPr>
      </w:pPr>
      <w:r>
        <w:rPr>
          <w:rFonts w:ascii="Times New Roman" w:hAnsi="Times New Roman"/>
          <w:sz w:val="32"/>
          <w:szCs w:val="32"/>
          <w:rtl w:val="0"/>
          <w:lang w:val="en-US"/>
        </w:rPr>
        <w:t>1</w:t>
      </w:r>
      <w:r>
        <w:rPr>
          <w:rFonts w:ascii="方正仿宋_GBK" w:hAnsi="方正仿宋_GBK" w:eastAsia="方正仿宋_GBK" w:cs="方正仿宋_GBK"/>
          <w:sz w:val="32"/>
          <w:szCs w:val="32"/>
          <w:rtl w:val="0"/>
          <w:lang w:val="zh-TW" w:eastAsia="zh-TW"/>
        </w:rPr>
        <w:t>、贯彻落实电子政务相关法律、法规、规章和政策，执行电子政务整体规划、安全保密、技术规范和建设标准</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承担电子政务关联项目的技术审核、绩效评估和安全监督。</w:t>
      </w:r>
      <w:r>
        <w:rPr>
          <w:rFonts w:ascii="Times New Roman" w:hAnsi="Times New Roman"/>
          <w:sz w:val="32"/>
          <w:szCs w:val="32"/>
          <w:rtl w:val="0"/>
          <w:lang w:val="en-US"/>
        </w:rPr>
        <w:t>2</w:t>
      </w:r>
      <w:r>
        <w:rPr>
          <w:rFonts w:ascii="方正仿宋_GBK" w:hAnsi="方正仿宋_GBK" w:eastAsia="方正仿宋_GBK" w:cs="方正仿宋_GBK"/>
          <w:sz w:val="32"/>
          <w:szCs w:val="32"/>
          <w:rtl w:val="0"/>
          <w:lang w:val="zh-TW" w:eastAsia="zh-TW"/>
        </w:rPr>
        <w:t>、负责全区电子政务网的整体网络规划、设计建设、安全管理</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负责电子政务内网的日常运维管理</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负责电子政务外网的运行保障、优化提升。</w:t>
      </w:r>
      <w:r>
        <w:rPr>
          <w:rFonts w:ascii="Times New Roman" w:hAnsi="Times New Roman"/>
          <w:sz w:val="32"/>
          <w:szCs w:val="32"/>
          <w:rtl w:val="0"/>
          <w:lang w:val="en-US"/>
        </w:rPr>
        <w:t>3</w:t>
      </w:r>
      <w:r>
        <w:rPr>
          <w:rFonts w:ascii="方正仿宋_GBK" w:hAnsi="方正仿宋_GBK" w:eastAsia="方正仿宋_GBK" w:cs="方正仿宋_GBK"/>
          <w:sz w:val="32"/>
          <w:szCs w:val="32"/>
          <w:rtl w:val="0"/>
          <w:lang w:val="zh-TW" w:eastAsia="zh-TW"/>
        </w:rPr>
        <w:t>、负责全区网络办公平台的整体规划、建设、运维，电子文件归档</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应用功能拓展</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负责全区网络办公用户统筹管理、开发应用</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负责电子印章安全管理和安全认证</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负责政务指挥规划和建设。</w:t>
      </w:r>
      <w:r>
        <w:rPr>
          <w:rFonts w:ascii="Times New Roman" w:hAnsi="Times New Roman"/>
          <w:sz w:val="32"/>
          <w:szCs w:val="32"/>
          <w:rtl w:val="0"/>
          <w:lang w:val="en-US"/>
        </w:rPr>
        <w:t>4</w:t>
      </w:r>
      <w:r>
        <w:rPr>
          <w:rFonts w:ascii="方正仿宋_GBK" w:hAnsi="方正仿宋_GBK" w:eastAsia="方正仿宋_GBK" w:cs="方正仿宋_GBK"/>
          <w:sz w:val="32"/>
          <w:szCs w:val="32"/>
          <w:rtl w:val="0"/>
          <w:lang w:val="zh-TW" w:eastAsia="zh-TW"/>
        </w:rPr>
        <w:t>、承办区政府网站整体设计、建设、日常营运和提质增效，负责区内公众网站的统筹、建设、指导、协调、监管和绩效估等事务性工作</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负责全区政务新媒体备案、管理、监督、考核等事务性工作</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配合推进全区政府信息公开。</w:t>
      </w:r>
      <w:r>
        <w:rPr>
          <w:rFonts w:ascii="Times New Roman" w:hAnsi="Times New Roman"/>
          <w:sz w:val="32"/>
          <w:szCs w:val="32"/>
          <w:rtl w:val="0"/>
          <w:lang w:val="en-US"/>
        </w:rPr>
        <w:t>5</w:t>
      </w:r>
      <w:r>
        <w:rPr>
          <w:rFonts w:ascii="方正仿宋_GBK" w:hAnsi="方正仿宋_GBK" w:eastAsia="方正仿宋_GBK" w:cs="方正仿宋_GBK"/>
          <w:sz w:val="32"/>
          <w:szCs w:val="32"/>
          <w:rtl w:val="0"/>
          <w:lang w:val="zh-TW" w:eastAsia="zh-TW"/>
        </w:rPr>
        <w:t>、承办政务数据管理和共享</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统筹政务数据库的建设管理、安全管理和综合应用。</w:t>
      </w:r>
      <w:r>
        <w:rPr>
          <w:rFonts w:ascii="Times New Roman" w:hAnsi="Times New Roman"/>
          <w:sz w:val="32"/>
          <w:szCs w:val="32"/>
          <w:rtl w:val="0"/>
          <w:lang w:val="en-US"/>
        </w:rPr>
        <w:t>6</w:t>
      </w:r>
      <w:r>
        <w:rPr>
          <w:rFonts w:ascii="方正仿宋_GBK" w:hAnsi="方正仿宋_GBK" w:eastAsia="方正仿宋_GBK" w:cs="方正仿宋_GBK"/>
          <w:sz w:val="32"/>
          <w:szCs w:val="32"/>
          <w:rtl w:val="0"/>
          <w:lang w:val="zh-TW" w:eastAsia="zh-TW"/>
        </w:rPr>
        <w:t>、负责全区共性电子政务平台的整体规划、建设和管理，加强电子政务与社会各项事业的深度融合</w:t>
      </w:r>
      <w:r>
        <w:rPr>
          <w:rFonts w:ascii="Times New Roman" w:hAnsi="Times New Roman"/>
          <w:sz w:val="32"/>
          <w:szCs w:val="32"/>
          <w:rtl w:val="0"/>
          <w:lang w:val="en-US"/>
        </w:rPr>
        <w:t>;</w:t>
      </w:r>
      <w:r>
        <w:rPr>
          <w:rFonts w:ascii="方正仿宋_GBK" w:hAnsi="方正仿宋_GBK" w:eastAsia="方正仿宋_GBK" w:cs="方正仿宋_GBK"/>
          <w:sz w:val="32"/>
          <w:szCs w:val="32"/>
          <w:rtl w:val="0"/>
          <w:lang w:val="zh-TW" w:eastAsia="zh-TW"/>
        </w:rPr>
        <w:t>承担党政信息一体化项目推进、考核评价和培训指导等事务性工作。</w:t>
      </w:r>
      <w:r>
        <w:rPr>
          <w:rFonts w:ascii="Times New Roman" w:hAnsi="Times New Roman"/>
          <w:sz w:val="32"/>
          <w:szCs w:val="32"/>
          <w:rtl w:val="0"/>
          <w:lang w:val="en-US"/>
        </w:rPr>
        <w:t>7</w:t>
      </w:r>
      <w:r>
        <w:rPr>
          <w:rFonts w:ascii="方正仿宋_GBK" w:hAnsi="方正仿宋_GBK" w:eastAsia="方正仿宋_GBK" w:cs="方正仿宋_GBK"/>
          <w:sz w:val="32"/>
          <w:szCs w:val="32"/>
          <w:rtl w:val="0"/>
          <w:lang w:val="zh-TW" w:eastAsia="zh-TW"/>
        </w:rPr>
        <w:t>、完成区委办公室和区政府办公室交办的其它任务。</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ind w:firstLine="420"/>
        <w:textAlignment w:val="auto"/>
        <w:rPr>
          <w:rFonts w:hint="eastAsia" w:ascii="楷体" w:hAnsi="楷体" w:eastAsia="楷体" w:cs="楷体"/>
          <w:sz w:val="32"/>
          <w:szCs w:val="32"/>
        </w:rPr>
      </w:pPr>
      <w:r>
        <w:rPr>
          <w:rStyle w:val="11"/>
          <w:rFonts w:hint="eastAsia" w:ascii="方正楷体_GBK" w:hAnsi="方正楷体_GBK" w:eastAsia="方正楷体_GBK" w:cs="方正楷体_GBK"/>
          <w:b w:val="0"/>
          <w:bCs/>
          <w:sz w:val="32"/>
          <w:szCs w:val="32"/>
          <w:shd w:val="clear" w:color="auto" w:fill="FFFFFF"/>
        </w:rPr>
        <w:t>（二）机构设置</w:t>
      </w:r>
    </w:p>
    <w:p>
      <w:pPr>
        <w:pStyle w:val="7"/>
        <w:keepNext w:val="0"/>
        <w:keepLines w:val="0"/>
        <w:pageBreakBefore w:val="0"/>
        <w:widowControl/>
        <w:shd w:val="clear" w:color="auto" w:fill="FFFFFF"/>
        <w:kinsoku/>
        <w:wordWrap/>
        <w:overflowPunct/>
        <w:topLinePunct w:val="0"/>
        <w:autoSpaceDE/>
        <w:autoSpaceDN/>
        <w:bidi w:val="0"/>
        <w:adjustRightInd/>
        <w:snapToGrid/>
        <w:spacing w:beforeAutospacing="0" w:line="594" w:lineRule="exact"/>
        <w:ind w:firstLine="640" w:firstLineChars="20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rtl w:val="0"/>
          <w:lang w:val="zh-TW" w:eastAsia="zh-TW"/>
        </w:rPr>
        <w:t>重庆市渝中区党政信息中心为重庆市渝中区人民政府办公室所属的公益一类事业单位；经费渠道为财政全额拨款。内设综合协调部、基础保障部、数据统筹部、电子政务部、信息公开部。正式编制人数</w:t>
      </w:r>
      <w:r>
        <w:rPr>
          <w:rFonts w:ascii="Times New Roman" w:hAnsi="Times New Roman"/>
          <w:sz w:val="32"/>
          <w:szCs w:val="32"/>
          <w:rtl w:val="0"/>
          <w:lang w:val="en-US"/>
        </w:rPr>
        <w:t>15</w:t>
      </w:r>
      <w:r>
        <w:rPr>
          <w:rFonts w:ascii="方正仿宋_GBK" w:hAnsi="方正仿宋_GBK" w:eastAsia="方正仿宋_GBK" w:cs="方正仿宋_GBK"/>
          <w:sz w:val="32"/>
          <w:szCs w:val="32"/>
          <w:rtl w:val="0"/>
          <w:lang w:val="zh-TW" w:eastAsia="zh-TW"/>
        </w:rPr>
        <w:t>人，在职人数</w:t>
      </w:r>
      <w:r>
        <w:rPr>
          <w:rFonts w:ascii="Times New Roman" w:hAnsi="Times New Roman"/>
          <w:sz w:val="32"/>
          <w:szCs w:val="32"/>
          <w:rtl w:val="0"/>
          <w:lang w:val="en-US"/>
        </w:rPr>
        <w:t>12</w:t>
      </w:r>
      <w:r>
        <w:rPr>
          <w:rFonts w:ascii="方正仿宋_GBK" w:hAnsi="方正仿宋_GBK" w:eastAsia="方正仿宋_GBK" w:cs="方正仿宋_GBK"/>
          <w:sz w:val="32"/>
          <w:szCs w:val="32"/>
          <w:rtl w:val="0"/>
          <w:lang w:val="zh-TW" w:eastAsia="zh-TW"/>
        </w:rPr>
        <w:t>人。</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textAlignment w:val="auto"/>
        <w:rPr>
          <w:rStyle w:val="11"/>
          <w:rFonts w:hint="eastAsia" w:ascii="黑体" w:hAnsi="黑体" w:eastAsia="黑体" w:cs="黑体"/>
          <w:sz w:val="32"/>
          <w:szCs w:val="32"/>
          <w:shd w:val="clear" w:color="auto" w:fill="FFFFFF"/>
        </w:rPr>
      </w:pPr>
      <w:r>
        <w:rPr>
          <w:rStyle w:val="11"/>
          <w:rFonts w:hint="eastAsia" w:ascii="方正黑体_GBK" w:hAnsi="方正黑体_GBK" w:eastAsia="方正黑体_GBK" w:cs="方正黑体_GBK"/>
          <w:b w:val="0"/>
          <w:bCs/>
          <w:sz w:val="32"/>
          <w:szCs w:val="32"/>
          <w:shd w:val="clear" w:color="auto" w:fill="FFFFFF"/>
        </w:rPr>
        <w:t>二、部门决算情况说明</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（一）收入支出决算总体情况说明。</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ind w:firstLine="643" w:firstLineChars="200"/>
        <w:textAlignment w:val="auto"/>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2023年度收入总计948.51万元，支出总计</w:t>
      </w:r>
      <w:r>
        <w:rPr>
          <w:rFonts w:ascii="方正仿宋_GBK" w:hAnsi="方正仿宋_GBK" w:eastAsia="方正仿宋_GBK" w:cs="方正仿宋_GBK"/>
          <w:sz w:val="32"/>
          <w:szCs w:val="32"/>
        </w:rPr>
        <w:t>948.51</w:t>
      </w:r>
      <w:r>
        <w:rPr>
          <w:rFonts w:ascii="方正仿宋_GBK" w:hAnsi="方正仿宋_GBK" w:eastAsia="方正仿宋_GBK" w:cs="方正仿宋_GBK"/>
          <w:sz w:val="32"/>
          <w:szCs w:val="32"/>
          <w:shd w:val="clear" w:color="auto" w:fill="FFFFFF"/>
        </w:rPr>
        <w:t>万元。收支较上年决算数增加30.01万元，增长3.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color w:val="FF0000"/>
          <w:sz w:val="32"/>
          <w:szCs w:val="32"/>
          <w:shd w:val="clear" w:color="auto" w:fill="FFFFFF"/>
        </w:rPr>
        <w:br w:type="textWrapping"/>
      </w:r>
      <w:r>
        <w:rPr>
          <w:rFonts w:hint="eastAsia" w:ascii="方正仿宋_GBK" w:hAnsi="方正仿宋_GBK" w:eastAsia="方正仿宋_GBK" w:cs="方正仿宋_GBK"/>
          <w:color w:val="FF0000"/>
          <w:sz w:val="32"/>
          <w:szCs w:val="32"/>
          <w:shd w:val="clear" w:color="auto" w:fill="FFFFFF"/>
          <w:lang w:val="en-US" w:eastAsia="zh-CN"/>
        </w:rPr>
        <w:t xml:space="preserve">    </w:t>
      </w:r>
      <w:r>
        <w:rPr>
          <w:rStyle w:val="11"/>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w:t>
      </w:r>
      <w:r>
        <w:rPr>
          <w:rFonts w:hint="eastAsia" w:ascii="方正仿宋_GBK" w:hAnsi="方正仿宋_GBK" w:eastAsia="方正仿宋_GBK" w:cs="方正仿宋_GBK"/>
          <w:sz w:val="32"/>
          <w:szCs w:val="32"/>
          <w:shd w:val="clear" w:color="auto" w:fill="FFFFFF"/>
        </w:rPr>
        <w:t>948.32</w:t>
      </w:r>
      <w:r>
        <w:rPr>
          <w:rFonts w:ascii="方正仿宋_GBK" w:hAnsi="方正仿宋_GBK" w:eastAsia="方正仿宋_GBK" w:cs="方正仿宋_GBK"/>
          <w:sz w:val="32"/>
          <w:szCs w:val="32"/>
          <w:shd w:val="clear" w:color="auto" w:fill="FFFFFF"/>
        </w:rPr>
        <w:t>万元，较上年决算数增加29.82万元，增长3.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948.32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万元，占0.0%；经营收入</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万元，占0.0%；其他收入</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万元，占0.0%。此外，使用非财政拨款结余和专用结余</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0.19</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sz w:val="32"/>
          <w:szCs w:val="32"/>
          <w:shd w:val="clear" w:color="auto" w:fill="FFFFFF"/>
        </w:rPr>
        <w:br w:type="textWrapping"/>
      </w:r>
      <w:r>
        <w:rPr>
          <w:rFonts w:hint="eastAsia" w:ascii="方正仿宋_GBK" w:hAnsi="方正仿宋_GBK" w:eastAsia="方正仿宋_GBK" w:cs="方正仿宋_GBK"/>
          <w:sz w:val="32"/>
          <w:szCs w:val="32"/>
          <w:shd w:val="clear" w:color="auto" w:fill="FFFFFF"/>
          <w:lang w:val="en-US" w:eastAsia="zh-CN"/>
        </w:rPr>
        <w:t xml:space="preserve">    </w:t>
      </w:r>
      <w:r>
        <w:rPr>
          <w:rStyle w:val="11"/>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948.51</w:t>
      </w:r>
      <w:r>
        <w:rPr>
          <w:rFonts w:ascii="方正仿宋_GBK" w:hAnsi="方正仿宋_GBK" w:eastAsia="方正仿宋_GBK" w:cs="方正仿宋_GBK"/>
          <w:sz w:val="32"/>
          <w:szCs w:val="32"/>
          <w:shd w:val="clear" w:color="auto" w:fill="FFFFFF"/>
        </w:rPr>
        <w:t>万元，较上年决算数增加30.21万元，增长3.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sz w:val="32"/>
          <w:szCs w:val="32"/>
          <w:shd w:val="clear" w:color="auto" w:fill="FFFFFF"/>
        </w:rPr>
        <w:t>其中：基本支出</w:t>
      </w:r>
      <w:r>
        <w:rPr>
          <w:rFonts w:ascii="方正仿宋_GBK" w:hAnsi="方正仿宋_GBK" w:eastAsia="方正仿宋_GBK" w:cs="方正仿宋_GBK"/>
          <w:sz w:val="32"/>
          <w:szCs w:val="32"/>
        </w:rPr>
        <w:t>236.87</w:t>
      </w:r>
      <w:r>
        <w:rPr>
          <w:rFonts w:ascii="方正仿宋_GBK" w:hAnsi="方正仿宋_GBK" w:eastAsia="方正仿宋_GBK" w:cs="方正仿宋_GBK"/>
          <w:sz w:val="32"/>
          <w:szCs w:val="32"/>
          <w:shd w:val="clear" w:color="auto" w:fill="FFFFFF"/>
        </w:rPr>
        <w:t>万元，占2</w:t>
      </w:r>
      <w:r>
        <w:rPr>
          <w:rFonts w:hint="eastAsia" w:ascii="方正仿宋_GBK" w:hAnsi="方正仿宋_GBK" w:eastAsia="方正仿宋_GBK" w:cs="方正仿宋_GBK"/>
          <w:sz w:val="32"/>
          <w:szCs w:val="32"/>
          <w:shd w:val="clear" w:color="auto" w:fill="FFFFFF"/>
          <w:lang w:val="en-US" w:eastAsia="zh-CN"/>
        </w:rPr>
        <w:t>5.0</w:t>
      </w:r>
      <w:r>
        <w:rPr>
          <w:rFonts w:ascii="方正仿宋_GBK" w:hAnsi="方正仿宋_GBK" w:eastAsia="方正仿宋_GBK" w:cs="方正仿宋_GBK"/>
          <w:sz w:val="32"/>
          <w:szCs w:val="32"/>
          <w:shd w:val="clear" w:color="auto" w:fill="FFFFFF"/>
        </w:rPr>
        <w:t>%；项目支出</w:t>
      </w:r>
      <w:r>
        <w:rPr>
          <w:rFonts w:ascii="方正仿宋_GBK" w:hAnsi="方正仿宋_GBK" w:eastAsia="方正仿宋_GBK" w:cs="方正仿宋_GBK"/>
          <w:sz w:val="32"/>
          <w:szCs w:val="32"/>
        </w:rPr>
        <w:t>711.64</w:t>
      </w:r>
      <w:r>
        <w:rPr>
          <w:rFonts w:ascii="方正仿宋_GBK" w:hAnsi="方正仿宋_GBK" w:eastAsia="方正仿宋_GBK" w:cs="方正仿宋_GBK"/>
          <w:sz w:val="32"/>
          <w:szCs w:val="32"/>
          <w:shd w:val="clear" w:color="auto" w:fill="FFFFFF"/>
        </w:rPr>
        <w:t>万元，占75.</w:t>
      </w:r>
      <w:r>
        <w:rPr>
          <w:rFonts w:hint="eastAsia" w:ascii="方正仿宋_GBK" w:hAnsi="方正仿宋_GBK" w:eastAsia="方正仿宋_GBK" w:cs="方正仿宋_GBK"/>
          <w:sz w:val="32"/>
          <w:szCs w:val="32"/>
          <w:shd w:val="clear" w:color="auto" w:fill="FFFFFF"/>
          <w:lang w:val="en-US" w:eastAsia="zh-CN"/>
        </w:rPr>
        <w:t>0</w:t>
      </w:r>
      <w:r>
        <w:rPr>
          <w:rFonts w:ascii="方正仿宋_GBK" w:hAnsi="方正仿宋_GBK" w:eastAsia="方正仿宋_GBK" w:cs="方正仿宋_GBK"/>
          <w:sz w:val="32"/>
          <w:szCs w:val="32"/>
          <w:shd w:val="clear" w:color="auto" w:fill="FFFFFF"/>
        </w:rPr>
        <w:t>%；经营支出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万元，占0.0%。此外，结余分配</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sz w:val="32"/>
          <w:szCs w:val="32"/>
          <w:shd w:val="clear" w:color="auto" w:fill="FFFFFF"/>
        </w:rPr>
        <w:br w:type="textWrapping"/>
      </w:r>
      <w:r>
        <w:rPr>
          <w:rFonts w:hint="eastAsia" w:ascii="方正仿宋_GBK" w:hAnsi="方正仿宋_GBK" w:eastAsia="方正仿宋_GBK" w:cs="方正仿宋_GBK"/>
          <w:sz w:val="32"/>
          <w:szCs w:val="32"/>
          <w:shd w:val="clear" w:color="auto" w:fill="FFFFFF"/>
          <w:lang w:val="en-US" w:eastAsia="zh-CN"/>
        </w:rPr>
        <w:t xml:space="preserve">    </w:t>
      </w:r>
      <w:r>
        <w:rPr>
          <w:rStyle w:val="11"/>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万元，较上年决算数减少0.19万元，下降100.0%，主要原因是</w:t>
      </w:r>
      <w:r>
        <w:rPr>
          <w:rFonts w:hint="eastAsia" w:ascii="方正仿宋_GBK" w:hAnsi="方正仿宋_GBK" w:eastAsia="方正仿宋_GBK" w:cs="方正仿宋_GBK"/>
          <w:sz w:val="32"/>
          <w:szCs w:val="32"/>
          <w:shd w:val="clear" w:color="auto" w:fill="FFFFFF"/>
        </w:rPr>
        <w:t>本年度社区光纤租用费用付款进度正常，消化上年结余资金</w:t>
      </w:r>
      <w:r>
        <w:rPr>
          <w:rFonts w:ascii="方正仿宋_GBK" w:hAnsi="方正仿宋_GBK" w:eastAsia="方正仿宋_GBK" w:cs="方正仿宋_GBK"/>
          <w:sz w:val="32"/>
          <w:szCs w:val="32"/>
          <w:shd w:val="clear" w:color="auto" w:fill="FFFFFF"/>
        </w:rPr>
        <w:t>。</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（二）财政拨款收入支出决算总体情况说明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w:t>
      </w:r>
      <w:r>
        <w:rPr>
          <w:rFonts w:hint="eastAsia" w:ascii="方正仿宋_GBK" w:hAnsi="方正仿宋_GBK" w:eastAsia="方正仿宋_GBK" w:cs="方正仿宋_GBK"/>
          <w:sz w:val="32"/>
          <w:szCs w:val="32"/>
          <w:shd w:val="clear" w:color="auto" w:fill="FFFFFF"/>
        </w:rPr>
        <w:t>948.51</w:t>
      </w:r>
      <w:r>
        <w:rPr>
          <w:rFonts w:ascii="方正仿宋_GBK" w:hAnsi="方正仿宋_GBK" w:eastAsia="方正仿宋_GBK" w:cs="方正仿宋_GBK"/>
          <w:sz w:val="32"/>
          <w:szCs w:val="32"/>
          <w:shd w:val="clear" w:color="auto" w:fill="FFFFFF"/>
        </w:rPr>
        <w:t>万元。与2022年相比，财政拨款收、支总计各增加30.01万元，增长3.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Fonts w:hint="eastAsia" w:ascii="楷体" w:hAnsi="楷体" w:eastAsia="楷体" w:cs="楷体"/>
          <w:b/>
          <w:bCs/>
          <w:sz w:val="32"/>
          <w:szCs w:val="32"/>
          <w:shd w:val="clear" w:color="auto" w:fill="FFFFFF"/>
          <w:lang w:bidi="ar"/>
        </w:rPr>
      </w:pPr>
      <w:r>
        <w:rPr>
          <w:rStyle w:val="11"/>
          <w:rFonts w:hint="eastAsia" w:ascii="方正楷体_GBK" w:hAnsi="方正楷体_GBK" w:eastAsia="方正楷体_GBK" w:cs="方正楷体_GBK"/>
          <w:b w:val="0"/>
          <w:bCs/>
          <w:sz w:val="32"/>
          <w:szCs w:val="32"/>
          <w:shd w:val="clear" w:color="auto" w:fill="FFFFFF"/>
          <w:lang w:val="en-US" w:eastAsia="zh-CN" w:bidi="ar-SA"/>
        </w:rPr>
        <w:t>（三）一般公共预算财政拨款收入支出决算情况说明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948.32</w:t>
      </w:r>
      <w:r>
        <w:rPr>
          <w:rFonts w:ascii="方正仿宋_GBK" w:hAnsi="方正仿宋_GBK" w:eastAsia="方正仿宋_GBK" w:cs="方正仿宋_GBK"/>
          <w:sz w:val="32"/>
          <w:szCs w:val="32"/>
          <w:shd w:val="clear" w:color="auto" w:fill="FFFFFF"/>
        </w:rPr>
        <w:t>万元，较上年决算数增加29.82万元，增长3.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sz w:val="32"/>
          <w:szCs w:val="32"/>
          <w:shd w:val="clear" w:color="auto" w:fill="FFFFFF"/>
        </w:rPr>
        <w:t>较年初预算数增加23.44万元，增长2.5%。主要原因是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0.19</w:t>
      </w:r>
      <w:r>
        <w:rPr>
          <w:rFonts w:ascii="方正仿宋_GBK" w:hAnsi="方正仿宋_GBK" w:eastAsia="方正仿宋_GBK" w:cs="方正仿宋_GBK"/>
          <w:sz w:val="32"/>
          <w:szCs w:val="32"/>
          <w:shd w:val="clear" w:color="auto" w:fill="FFFFFF"/>
        </w:rPr>
        <w:t>万元。</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948.51</w:t>
      </w:r>
      <w:r>
        <w:rPr>
          <w:rFonts w:ascii="方正仿宋_GBK" w:hAnsi="方正仿宋_GBK" w:eastAsia="方正仿宋_GBK" w:cs="方正仿宋_GBK"/>
          <w:sz w:val="32"/>
          <w:szCs w:val="32"/>
          <w:shd w:val="clear" w:color="auto" w:fill="FFFFFF"/>
        </w:rPr>
        <w:t>万元，较上年决算数增加30.21万元，增长3.</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r>
        <w:rPr>
          <w:rFonts w:ascii="方正仿宋_GBK" w:hAnsi="方正仿宋_GBK" w:eastAsia="方正仿宋_GBK" w:cs="方正仿宋_GBK"/>
          <w:sz w:val="32"/>
          <w:szCs w:val="32"/>
          <w:shd w:val="clear" w:color="auto" w:fill="FFFFFF"/>
        </w:rPr>
        <w:t>较年初预算数增加23.63万元，增长2.</w:t>
      </w:r>
      <w:r>
        <w:rPr>
          <w:rFonts w:hint="eastAsia" w:ascii="方正仿宋_GBK" w:hAnsi="方正仿宋_GBK" w:eastAsia="方正仿宋_GBK" w:cs="方正仿宋_GBK"/>
          <w:sz w:val="32"/>
          <w:szCs w:val="32"/>
          <w:shd w:val="clear" w:color="auto" w:fill="FFFFFF"/>
          <w:lang w:val="en-US" w:eastAsia="zh-CN"/>
        </w:rPr>
        <w:t>6</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eastAsia" w:ascii="方正仿宋_GBK" w:hAnsi="方正仿宋_GBK" w:eastAsia="方正仿宋_GBK" w:cs="方正仿宋_GBK"/>
          <w:sz w:val="32"/>
          <w:szCs w:val="32"/>
          <w:shd w:val="clear" w:color="auto" w:fill="FFFFFF"/>
          <w:lang w:eastAsia="zh-CN"/>
        </w:rPr>
      </w:pPr>
      <w:r>
        <w:rPr>
          <w:rStyle w:val="11"/>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万元，较上年决算数减少0.19万元，下降100.0%，主要原因是</w:t>
      </w:r>
      <w:r>
        <w:rPr>
          <w:rFonts w:hint="eastAsia" w:ascii="方正仿宋_GBK" w:hAnsi="方正仿宋_GBK" w:eastAsia="方正仿宋_GBK" w:cs="方正仿宋_GBK"/>
          <w:sz w:val="32"/>
          <w:szCs w:val="32"/>
          <w:shd w:val="clear" w:color="auto" w:fill="FFFFFF"/>
        </w:rPr>
        <w:t>本年度社区光纤租用费用付款进度正常，消化上年结余资金</w:t>
      </w:r>
      <w:r>
        <w:rPr>
          <w:rFonts w:hint="eastAsia" w:ascii="方正仿宋_GBK" w:hAnsi="方正仿宋_GBK" w:eastAsia="方正仿宋_GBK" w:cs="方正仿宋_GBK"/>
          <w:sz w:val="32"/>
          <w:szCs w:val="32"/>
          <w:shd w:val="clear" w:color="auto" w:fill="FFFFFF"/>
          <w:lang w:eastAsia="zh-CN"/>
        </w:rPr>
        <w:t>。</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color w:val="FF0000"/>
          <w:sz w:val="32"/>
          <w:szCs w:val="32"/>
          <w:highlight w:val="cyan"/>
          <w:shd w:val="clear" w:color="auto" w:fill="FFFFFF"/>
        </w:rPr>
      </w:pPr>
      <w:r>
        <w:rPr>
          <w:rStyle w:val="11"/>
          <w:rFonts w:ascii="方正仿宋_GBK" w:hAnsi="方正仿宋_GBK" w:eastAsia="方正仿宋_GBK" w:cs="方正仿宋_GBK"/>
          <w:sz w:val="32"/>
          <w:szCs w:val="32"/>
          <w:shd w:val="clear" w:color="auto" w:fill="FFFFFF"/>
        </w:rPr>
        <w:t>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（1）一般公共服务支出</w:t>
      </w:r>
      <w:r>
        <w:rPr>
          <w:rFonts w:ascii="方正仿宋_GBK" w:hAnsi="方正仿宋_GBK" w:eastAsia="方正仿宋_GBK" w:cs="方正仿宋_GBK"/>
          <w:sz w:val="32"/>
          <w:szCs w:val="32"/>
        </w:rPr>
        <w:t>889.18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93.</w:t>
      </w:r>
      <w:r>
        <w:rPr>
          <w:rFonts w:hint="eastAsia" w:ascii="方正仿宋_GBK" w:hAnsi="方正仿宋_GBK" w:eastAsia="方正仿宋_GBK" w:cs="方正仿宋_GBK"/>
          <w:sz w:val="32"/>
          <w:szCs w:val="32"/>
          <w:lang w:val="en-US" w:eastAsia="zh-CN"/>
        </w:rPr>
        <w:t>8</w:t>
      </w:r>
      <w:r>
        <w:rPr>
          <w:rFonts w:ascii="方正仿宋_GBK" w:hAnsi="方正仿宋_GBK" w:eastAsia="方正仿宋_GBK" w:cs="方正仿宋_GBK"/>
          <w:sz w:val="32"/>
          <w:szCs w:val="32"/>
          <w:shd w:val="clear" w:color="auto" w:fill="FFFFFF"/>
        </w:rPr>
        <w:t>%，较年初预算数增加7.8万元，增长0.</w:t>
      </w:r>
      <w:r>
        <w:rPr>
          <w:rFonts w:hint="eastAsia" w:ascii="方正仿宋_GBK" w:hAnsi="方正仿宋_GBK" w:eastAsia="方正仿宋_GBK" w:cs="方正仿宋_GBK"/>
          <w:sz w:val="32"/>
          <w:szCs w:val="32"/>
          <w:shd w:val="clear" w:color="auto" w:fill="FFFFFF"/>
          <w:lang w:val="en-US" w:eastAsia="zh-CN"/>
        </w:rPr>
        <w:t>9</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和医疗保险、养老保险、住房公积金调标。</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）国防支出</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0.1</w:t>
      </w:r>
      <w:r>
        <w:rPr>
          <w:rFonts w:ascii="方正仿宋_GBK" w:hAnsi="方正仿宋_GBK" w:eastAsia="方正仿宋_GBK" w:cs="方正仿宋_GBK"/>
          <w:sz w:val="32"/>
          <w:szCs w:val="32"/>
          <w:shd w:val="clear" w:color="auto" w:fill="FFFFFF"/>
        </w:rPr>
        <w:t>%，较年初预算数增加1万元，增长100.0%，主要原因是</w:t>
      </w:r>
      <w:r>
        <w:rPr>
          <w:rFonts w:hint="eastAsia" w:ascii="方正仿宋_GBK" w:hAnsi="方正仿宋_GBK" w:eastAsia="方正仿宋_GBK" w:cs="方正仿宋_GBK"/>
          <w:sz w:val="32"/>
          <w:szCs w:val="32"/>
          <w:shd w:val="clear" w:color="auto" w:fill="FFFFFF"/>
          <w:lang w:eastAsia="zh-CN"/>
        </w:rPr>
        <w:t>增加民兵编制经费</w:t>
      </w:r>
      <w:r>
        <w:rPr>
          <w:rFonts w:ascii="方正仿宋_GBK" w:hAnsi="方正仿宋_GBK" w:eastAsia="方正仿宋_GBK" w:cs="方正仿宋_GBK"/>
          <w:sz w:val="32"/>
          <w:szCs w:val="32"/>
          <w:shd w:val="clear" w:color="auto" w:fill="FFFFFF"/>
        </w:rPr>
        <w:t>。</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）社会保障与就业支出28.34万元，占</w:t>
      </w:r>
      <w:r>
        <w:rPr>
          <w:rFonts w:hint="eastAsia" w:ascii="方正仿宋_GBK" w:hAnsi="方正仿宋_GBK" w:eastAsia="方正仿宋_GBK" w:cs="方正仿宋_GBK"/>
          <w:sz w:val="32"/>
          <w:szCs w:val="32"/>
          <w:shd w:val="clear" w:color="auto" w:fill="FFFFFF"/>
          <w:lang w:val="en-US" w:eastAsia="zh-CN"/>
        </w:rPr>
        <w:t>3.0</w:t>
      </w:r>
      <w:r>
        <w:rPr>
          <w:rFonts w:ascii="方正仿宋_GBK" w:hAnsi="方正仿宋_GBK" w:eastAsia="方正仿宋_GBK" w:cs="方正仿宋_GBK"/>
          <w:sz w:val="32"/>
          <w:szCs w:val="32"/>
          <w:shd w:val="clear" w:color="auto" w:fill="FFFFFF"/>
        </w:rPr>
        <w:t>%，较年初预算数增加5.44万元，增长23.</w:t>
      </w:r>
      <w:r>
        <w:rPr>
          <w:rFonts w:hint="eastAsia" w:ascii="方正仿宋_GBK" w:hAnsi="方正仿宋_GBK" w:eastAsia="方正仿宋_GBK" w:cs="方正仿宋_GBK"/>
          <w:sz w:val="32"/>
          <w:szCs w:val="32"/>
          <w:shd w:val="clear" w:color="auto" w:fill="FFFFFF"/>
          <w:lang w:val="en-US" w:eastAsia="zh-CN"/>
        </w:rPr>
        <w:t>8</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人员增加和调标</w:t>
      </w:r>
      <w:r>
        <w:rPr>
          <w:rFonts w:ascii="方正仿宋_GBK" w:hAnsi="方正仿宋_GBK" w:eastAsia="方正仿宋_GBK" w:cs="方正仿宋_GBK"/>
          <w:sz w:val="32"/>
          <w:szCs w:val="32"/>
          <w:shd w:val="clear" w:color="auto" w:fill="FFFFFF"/>
        </w:rPr>
        <w:t>。</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）卫生健康支出11.19万元，占1.</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%，较年初预算数增加0.7万元，增长6.</w:t>
      </w:r>
      <w:r>
        <w:rPr>
          <w:rFonts w:hint="eastAsia" w:ascii="方正仿宋_GBK" w:hAnsi="方正仿宋_GBK" w:eastAsia="方正仿宋_GBK" w:cs="方正仿宋_GBK"/>
          <w:sz w:val="32"/>
          <w:szCs w:val="32"/>
          <w:shd w:val="clear" w:color="auto" w:fill="FFFFFF"/>
          <w:lang w:val="en-US" w:eastAsia="zh-CN"/>
        </w:rPr>
        <w:t>7</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人员增加和调标</w:t>
      </w:r>
      <w:r>
        <w:rPr>
          <w:rFonts w:ascii="方正仿宋_GBK" w:hAnsi="方正仿宋_GBK" w:eastAsia="方正仿宋_GBK" w:cs="方正仿宋_GBK"/>
          <w:sz w:val="32"/>
          <w:szCs w:val="32"/>
          <w:shd w:val="clear" w:color="auto" w:fill="FFFFFF"/>
        </w:rPr>
        <w:t>。</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）住房保障支出18.8万元，占</w:t>
      </w:r>
      <w:r>
        <w:rPr>
          <w:rFonts w:hint="eastAsia" w:ascii="方正仿宋_GBK" w:hAnsi="方正仿宋_GBK" w:eastAsia="方正仿宋_GBK" w:cs="方正仿宋_GBK"/>
          <w:sz w:val="32"/>
          <w:szCs w:val="32"/>
          <w:shd w:val="clear" w:color="auto" w:fill="FFFFFF"/>
          <w:lang w:val="en-US" w:eastAsia="zh-CN"/>
        </w:rPr>
        <w:t>2.0</w:t>
      </w:r>
      <w:r>
        <w:rPr>
          <w:rFonts w:ascii="方正仿宋_GBK" w:hAnsi="方正仿宋_GBK" w:eastAsia="方正仿宋_GBK" w:cs="方正仿宋_GBK"/>
          <w:sz w:val="32"/>
          <w:szCs w:val="32"/>
          <w:shd w:val="clear" w:color="auto" w:fill="FFFFFF"/>
        </w:rPr>
        <w:t>%，较年初预算数增加8.68万元，增长85.</w:t>
      </w:r>
      <w:r>
        <w:rPr>
          <w:rFonts w:hint="eastAsia" w:ascii="方正仿宋_GBK" w:hAnsi="方正仿宋_GBK" w:eastAsia="方正仿宋_GBK" w:cs="方正仿宋_GBK"/>
          <w:sz w:val="32"/>
          <w:szCs w:val="32"/>
          <w:shd w:val="clear" w:color="auto" w:fill="FFFFFF"/>
          <w:lang w:val="en-US" w:eastAsia="zh-CN"/>
        </w:rPr>
        <w:t>8</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人员增加和调标</w:t>
      </w:r>
      <w:r>
        <w:rPr>
          <w:rFonts w:ascii="方正仿宋_GBK" w:hAnsi="方正仿宋_GBK" w:eastAsia="方正仿宋_GBK" w:cs="方正仿宋_GBK"/>
          <w:sz w:val="32"/>
          <w:szCs w:val="32"/>
          <w:shd w:val="clear" w:color="auto" w:fill="FFFFFF"/>
        </w:rPr>
        <w:t>。</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（四）一般公共预算财政拨款基本支出决算情况说明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2023年度一般公共财政拨款基本支出</w:t>
      </w:r>
      <w:r>
        <w:rPr>
          <w:rFonts w:ascii="方正仿宋_GBK" w:hAnsi="方正仿宋_GBK" w:eastAsia="方正仿宋_GBK" w:cs="方正仿宋_GBK"/>
          <w:sz w:val="32"/>
          <w:szCs w:val="32"/>
        </w:rPr>
        <w:t>236.87</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204.71</w:t>
      </w:r>
      <w:r>
        <w:rPr>
          <w:rFonts w:ascii="方正仿宋_GBK" w:hAnsi="方正仿宋_GBK" w:eastAsia="方正仿宋_GBK" w:cs="方正仿宋_GBK"/>
          <w:sz w:val="32"/>
          <w:szCs w:val="32"/>
          <w:shd w:val="clear" w:color="auto" w:fill="FFFFFF"/>
        </w:rPr>
        <w:t>万元，较上年决算数增加4.17万元，增长2.</w:t>
      </w:r>
      <w:r>
        <w:rPr>
          <w:rFonts w:hint="eastAsia" w:ascii="方正仿宋_GBK" w:hAnsi="方正仿宋_GBK" w:eastAsia="方正仿宋_GBK" w:cs="方正仿宋_GBK"/>
          <w:sz w:val="32"/>
          <w:szCs w:val="32"/>
          <w:shd w:val="clear" w:color="auto" w:fill="FFFFFF"/>
          <w:lang w:val="en-US" w:eastAsia="zh-CN"/>
        </w:rPr>
        <w:t>1</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b w:val="0"/>
          <w:bCs/>
          <w:kern w:val="0"/>
          <w:sz w:val="32"/>
          <w:szCs w:val="32"/>
          <w:shd w:val="clear" w:fill="FFFFFF"/>
        </w:rPr>
        <w:t>增人增资</w:t>
      </w:r>
      <w:r>
        <w:rPr>
          <w:rFonts w:hint="eastAsia" w:ascii="方正仿宋_GBK" w:hAnsi="方正仿宋_GBK" w:eastAsia="方正仿宋_GBK" w:cs="方正仿宋_GBK"/>
          <w:b w:val="0"/>
          <w:bCs/>
          <w:kern w:val="0"/>
          <w:sz w:val="32"/>
          <w:szCs w:val="32"/>
          <w:shd w:val="clear" w:fill="FFFFFF"/>
          <w:lang w:eastAsia="zh-CN"/>
        </w:rPr>
        <w:t>。</w:t>
      </w:r>
      <w:r>
        <w:rPr>
          <w:rFonts w:ascii="方正仿宋_GBK" w:hAnsi="方正仿宋_GBK" w:eastAsia="方正仿宋_GBK" w:cs="方正仿宋_GBK"/>
          <w:sz w:val="32"/>
          <w:szCs w:val="32"/>
          <w:shd w:val="clear" w:color="auto" w:fill="FFFFFF"/>
        </w:rPr>
        <w:t>人员经费用途主要包括基本工资</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津贴补贴</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绩效工资</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机关事业单位基本养老保险缴费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职业年金缴费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职工基本医疗保险缴费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其他社会保障缴费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住房公积金</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医疗费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生活补助</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医疗费补助</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32.16</w:t>
      </w:r>
      <w:r>
        <w:rPr>
          <w:rFonts w:ascii="方正仿宋_GBK" w:hAnsi="方正仿宋_GBK" w:eastAsia="方正仿宋_GBK" w:cs="方正仿宋_GBK"/>
          <w:sz w:val="32"/>
          <w:szCs w:val="32"/>
          <w:shd w:val="clear" w:color="auto" w:fill="FFFFFF"/>
        </w:rPr>
        <w:t>万元，较上年决算数增加24.49万元，增长319.3%，主要原因是</w:t>
      </w:r>
      <w:r>
        <w:rPr>
          <w:rFonts w:hint="eastAsia" w:ascii="方正仿宋_GBK" w:hAnsi="方正仿宋_GBK" w:eastAsia="方正仿宋_GBK" w:cs="方正仿宋_GBK"/>
          <w:b w:val="0"/>
          <w:bCs/>
          <w:kern w:val="0"/>
          <w:sz w:val="32"/>
          <w:szCs w:val="32"/>
          <w:shd w:val="clear" w:fill="FFFFFF"/>
          <w:lang w:val="en-US" w:eastAsia="zh-CN"/>
        </w:rPr>
        <w:t>上年公用经费</w:t>
      </w:r>
      <w:r>
        <w:rPr>
          <w:rFonts w:hint="eastAsia" w:ascii="方正仿宋_GBK" w:hAnsi="方正仿宋_GBK" w:eastAsia="方正仿宋_GBK" w:cs="方正仿宋_GBK"/>
          <w:b w:val="0"/>
          <w:bCs/>
          <w:kern w:val="0"/>
          <w:sz w:val="32"/>
          <w:szCs w:val="32"/>
          <w:shd w:val="clear" w:fill="FFFFFF"/>
        </w:rPr>
        <w:t>弥补</w:t>
      </w:r>
      <w:r>
        <w:rPr>
          <w:rFonts w:hint="eastAsia" w:ascii="方正仿宋_GBK" w:hAnsi="方正仿宋_GBK" w:eastAsia="方正仿宋_GBK" w:cs="方正仿宋_GBK"/>
          <w:b w:val="0"/>
          <w:bCs/>
          <w:kern w:val="0"/>
          <w:sz w:val="32"/>
          <w:szCs w:val="32"/>
          <w:shd w:val="clear" w:fill="FFFFFF"/>
          <w:lang w:val="en-US" w:eastAsia="zh-CN"/>
        </w:rPr>
        <w:t>人员经费</w:t>
      </w:r>
      <w:r>
        <w:rPr>
          <w:rFonts w:hint="eastAsia" w:ascii="方正仿宋_GBK" w:hAnsi="方正仿宋_GBK" w:eastAsia="方正仿宋_GBK" w:cs="方正仿宋_GBK"/>
          <w:b w:val="0"/>
          <w:bCs/>
          <w:kern w:val="0"/>
          <w:sz w:val="32"/>
          <w:szCs w:val="32"/>
          <w:shd w:val="clear" w:fill="FFFFFF"/>
          <w:lang w:eastAsia="zh-CN"/>
        </w:rPr>
        <w:t>。</w:t>
      </w:r>
      <w:r>
        <w:rPr>
          <w:rFonts w:ascii="方正仿宋_GBK" w:hAnsi="方正仿宋_GBK" w:eastAsia="方正仿宋_GBK" w:cs="方正仿宋_GBK"/>
          <w:sz w:val="32"/>
          <w:szCs w:val="32"/>
          <w:shd w:val="clear" w:color="auto" w:fill="FFFFFF"/>
        </w:rPr>
        <w:t>公用经费用途主要包括办公费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水费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电费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差旅费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培训费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工会经费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福利费</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其他商品和服务支出</w:t>
      </w:r>
      <w:r>
        <w:rPr>
          <w:rFonts w:hint="eastAsia" w:ascii="方正仿宋_GBK" w:hAnsi="方正仿宋_GBK" w:eastAsia="方正仿宋_GBK" w:cs="方正仿宋_GBK"/>
          <w:sz w:val="32"/>
          <w:szCs w:val="32"/>
          <w:shd w:val="clear" w:color="auto" w:fill="FFFFFF"/>
          <w:lang w:eastAsia="zh-CN"/>
        </w:rPr>
        <w:t>。</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（五）政府性基金预算收支决算情况说明</w:t>
      </w:r>
    </w:p>
    <w:p>
      <w:pPr>
        <w:keepNext w:val="0"/>
        <w:keepLines w:val="0"/>
        <w:pageBreakBefore w:val="0"/>
        <w:widowControl/>
        <w:kinsoku/>
        <w:wordWrap/>
        <w:overflowPunct/>
        <w:topLinePunct w:val="0"/>
        <w:autoSpaceDN/>
        <w:bidi w:val="0"/>
        <w:adjustRightInd/>
        <w:spacing w:beforeAutospacing="0" w:line="594" w:lineRule="exact"/>
        <w:ind w:firstLine="640" w:firstLineChars="200"/>
        <w:textAlignment w:val="auto"/>
        <w:rPr>
          <w:rFonts w:hint="default" w:ascii="方正仿宋_GBK" w:hAnsi="方正仿宋_GBK" w:eastAsia="方正仿宋_GBK" w:cs="方正仿宋_GBK"/>
          <w:sz w:val="32"/>
          <w:szCs w:val="32"/>
          <w:shd w:val="clear" w:color="auto" w:fill="FFFFFF"/>
          <w:lang w:val="en-US" w:eastAsia="zh-CN" w:bidi="ar-SA"/>
        </w:rPr>
      </w:pPr>
      <w:r>
        <w:rPr>
          <w:rFonts w:hint="eastAsia" w:ascii="方正仿宋_GBK" w:hAnsi="方正仿宋_GBK" w:eastAsia="方正仿宋_GBK" w:cs="方正仿宋_GBK"/>
          <w:sz w:val="32"/>
          <w:szCs w:val="32"/>
          <w:shd w:val="clear" w:color="auto" w:fill="FFFFFF"/>
          <w:lang w:val="en-US" w:eastAsia="zh-CN" w:bidi="ar-SA"/>
        </w:rPr>
        <w:t>本部门2023年度无政府性基金预算财政拨款收支。</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（六）国有资本经营预算财政拨款支出决算情况说明</w:t>
      </w:r>
    </w:p>
    <w:p>
      <w:pPr>
        <w:keepNext w:val="0"/>
        <w:keepLines w:val="0"/>
        <w:pageBreakBefore w:val="0"/>
        <w:widowControl/>
        <w:kinsoku/>
        <w:wordWrap/>
        <w:overflowPunct/>
        <w:topLinePunct w:val="0"/>
        <w:autoSpaceDN/>
        <w:bidi w:val="0"/>
        <w:adjustRightInd/>
        <w:spacing w:beforeAutospacing="0" w:line="594" w:lineRule="exact"/>
        <w:ind w:firstLine="640" w:firstLineChars="200"/>
        <w:textAlignment w:val="auto"/>
        <w:rPr>
          <w:rFonts w:hint="default" w:ascii="方正仿宋_GBK" w:hAnsi="方正仿宋_GBK" w:eastAsia="方正仿宋_GBK" w:cs="方正仿宋_GBK"/>
          <w:sz w:val="32"/>
          <w:szCs w:val="32"/>
          <w:shd w:val="clear" w:color="auto" w:fill="FFFFFF"/>
          <w:lang w:val="en-US" w:eastAsia="zh-CN" w:bidi="ar-SA"/>
        </w:rPr>
      </w:pPr>
      <w:r>
        <w:rPr>
          <w:rFonts w:hint="eastAsia" w:ascii="方正仿宋_GBK" w:hAnsi="方正仿宋_GBK" w:eastAsia="方正仿宋_GBK" w:cs="方正仿宋_GBK"/>
          <w:sz w:val="32"/>
          <w:szCs w:val="32"/>
          <w:shd w:val="clear" w:color="auto" w:fill="FFFFFF"/>
          <w:lang w:val="en-US" w:eastAsia="zh-CN" w:bidi="ar-SA"/>
        </w:rPr>
        <w:t>本部门2023年度无国有资本经营预算财政拨款支出。</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textAlignment w:val="auto"/>
        <w:rPr>
          <w:rStyle w:val="11"/>
          <w:rFonts w:hint="eastAsia" w:ascii="黑体" w:hAnsi="黑体" w:eastAsia="黑体" w:cs="黑体"/>
          <w:sz w:val="32"/>
          <w:szCs w:val="32"/>
          <w:shd w:val="clear" w:color="auto" w:fill="FFFFFF"/>
        </w:rPr>
      </w:pPr>
      <w:r>
        <w:rPr>
          <w:rStyle w:val="11"/>
          <w:rFonts w:hint="eastAsia" w:ascii="方正黑体_GBK" w:hAnsi="方正黑体_GBK" w:eastAsia="方正黑体_GBK" w:cs="方正黑体_GBK"/>
          <w:b w:val="0"/>
          <w:bCs/>
          <w:sz w:val="32"/>
          <w:szCs w:val="32"/>
          <w:shd w:val="clear" w:color="auto" w:fill="FFFFFF"/>
        </w:rPr>
        <w:t>三、“三公”经费情况说明</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（一）“三公”经费支出总体情况说明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万元，较年初预算数减少2.9万元，下降100.0%，主要原因是</w:t>
      </w:r>
      <w:r>
        <w:rPr>
          <w:rFonts w:hint="eastAsia" w:ascii="方正仿宋_GBK" w:hAnsi="方正仿宋_GBK" w:eastAsia="方正仿宋_GBK" w:cs="方正仿宋_GBK"/>
          <w:b w:val="0"/>
          <w:bCs/>
          <w:kern w:val="0"/>
          <w:sz w:val="32"/>
          <w:szCs w:val="32"/>
          <w:shd w:val="clear" w:fill="FFFFFF"/>
        </w:rPr>
        <w:t>认真贯彻落实中央八项规定精神，按照只减不增的要求从严控制“三公”经费</w:t>
      </w:r>
      <w:r>
        <w:rPr>
          <w:rFonts w:hint="eastAsia" w:ascii="方正仿宋_GBK" w:hAnsi="方正仿宋_GBK" w:eastAsia="方正仿宋_GBK" w:cs="方正仿宋_GBK"/>
          <w:b w:val="0"/>
          <w:bCs/>
          <w:kern w:val="0"/>
          <w:sz w:val="32"/>
          <w:szCs w:val="32"/>
          <w:shd w:val="clear" w:fill="FFFFFF"/>
          <w:lang w:eastAsia="zh-CN"/>
        </w:rPr>
        <w:t>。</w:t>
      </w:r>
      <w:r>
        <w:rPr>
          <w:rFonts w:hint="eastAsia" w:ascii="方正仿宋_GBK" w:hAnsi="方正仿宋_GBK" w:eastAsia="方正仿宋_GBK" w:cs="方正仿宋_GBK"/>
          <w:b w:val="0"/>
          <w:bCs/>
          <w:kern w:val="0"/>
          <w:sz w:val="32"/>
          <w:szCs w:val="32"/>
          <w:shd w:val="clear" w:fill="FFFFFF"/>
        </w:rPr>
        <w:t>较上年支出数增加0万元，增长0.0%</w:t>
      </w:r>
      <w:r>
        <w:rPr>
          <w:rFonts w:hint="eastAsia" w:ascii="方正仿宋_GBK" w:hAnsi="方正仿宋_GBK" w:eastAsia="方正仿宋_GBK" w:cs="方正仿宋_GBK"/>
          <w:sz w:val="32"/>
          <w:szCs w:val="32"/>
          <w:shd w:val="clear" w:color="auto" w:fill="FFFFFF"/>
        </w:rPr>
        <w:t>，主要原因是强化公务接待支出管理，严格遵守公务接待开支范围和开支标准，严格控制陪餐人数，对应由接待对象承担的费用一律由接待对象自行支付。</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（二）“三公”经费分项支出情况</w:t>
      </w:r>
    </w:p>
    <w:p>
      <w:pPr>
        <w:pStyle w:val="13"/>
        <w:keepNext w:val="0"/>
        <w:keepLines w:val="0"/>
        <w:pageBreakBefore w:val="0"/>
        <w:widowControl/>
        <w:suppressLineNumbers w:val="0"/>
        <w:shd w:val="clear" w:fill="FFFFFF"/>
        <w:kinsoku/>
        <w:wordWrap/>
        <w:overflowPunct/>
        <w:topLinePunct w:val="0"/>
        <w:autoSpaceDE w:val="0"/>
        <w:autoSpaceDN/>
        <w:bidi w:val="0"/>
        <w:adjustRightInd/>
        <w:spacing w:beforeAutospacing="0" w:line="594" w:lineRule="exact"/>
        <w:ind w:left="0" w:firstLine="640" w:firstLineChars="200"/>
        <w:textAlignment w:val="auto"/>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2023年度本部门因公出国（境）费用</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万元，主要</w:t>
      </w:r>
      <w:r>
        <w:rPr>
          <w:rFonts w:hint="eastAsia" w:ascii="方正仿宋_GBK" w:hAnsi="方正仿宋_GBK" w:eastAsia="方正仿宋_GBK" w:cs="方正仿宋_GBK"/>
          <w:b w:val="0"/>
          <w:bCs/>
          <w:kern w:val="0"/>
          <w:sz w:val="32"/>
          <w:szCs w:val="32"/>
          <w:shd w:val="clear" w:fill="FFFFFF"/>
        </w:rPr>
        <w:t>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年度未发生因公出国（境）费用支出</w:t>
      </w:r>
      <w:r>
        <w:rPr>
          <w:rFonts w:hint="eastAsia" w:ascii="方正仿宋_GBK" w:hAnsi="方正仿宋_GBK" w:eastAsia="方正仿宋_GBK" w:cs="方正仿宋_GBK"/>
          <w:b w:val="0"/>
          <w:bCs/>
          <w:kern w:val="0"/>
          <w:sz w:val="32"/>
          <w:szCs w:val="32"/>
          <w:shd w:val="clear" w:fill="FFFFFF"/>
          <w:lang w:eastAsia="zh-CN"/>
        </w:rPr>
        <w:t>。</w:t>
      </w:r>
      <w:r>
        <w:rPr>
          <w:rFonts w:ascii="方正仿宋_GBK" w:hAnsi="方正仿宋_GBK" w:eastAsia="方正仿宋_GBK" w:cs="方正仿宋_GBK"/>
          <w:sz w:val="32"/>
          <w:szCs w:val="32"/>
          <w:shd w:val="clear" w:color="auto" w:fill="FFFFFF"/>
        </w:rPr>
        <w:t>费用支出0，主要原因</w:t>
      </w:r>
      <w:r>
        <w:rPr>
          <w:rFonts w:hint="eastAsia" w:ascii="方正仿宋_GBK" w:hAnsi="方正仿宋_GBK" w:eastAsia="方正仿宋_GBK" w:cs="方正仿宋_GBK"/>
          <w:b w:val="0"/>
          <w:bCs/>
          <w:kern w:val="0"/>
          <w:sz w:val="32"/>
          <w:szCs w:val="32"/>
          <w:shd w:val="clear" w:fill="FFFFFF"/>
        </w:rPr>
        <w:t>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年度未发生因公出国（境）费用支出。较上年支出数增加0万元，增长0.0%，主要原因是本单位202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年度未发生因公出国（境）费用支出</w:t>
      </w:r>
      <w:r>
        <w:rPr>
          <w:rFonts w:hint="eastAsia" w:ascii="方正仿宋_GBK" w:hAnsi="方正仿宋_GBK" w:eastAsia="方正仿宋_GBK" w:cs="方正仿宋_GBK"/>
          <w:b w:val="0"/>
          <w:bCs/>
          <w:kern w:val="0"/>
          <w:sz w:val="32"/>
          <w:szCs w:val="32"/>
          <w:shd w:val="clear" w:fill="FFFFFF"/>
          <w:lang w:eastAsia="zh-CN"/>
        </w:rPr>
        <w:t>。</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仿宋_GBK" w:hAnsi="方正仿宋_GBK" w:eastAsia="方正仿宋_GBK" w:cs="方正仿宋_GBK"/>
          <w:b w:val="0"/>
          <w:bCs/>
          <w:kern w:val="0"/>
          <w:sz w:val="32"/>
          <w:szCs w:val="32"/>
          <w:shd w:val="clear" w:fill="FFFFFF"/>
        </w:rPr>
        <w:t>公务车购置费0万元，主要是本单位202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年度未发生公务车购置费支出。费用支出较年初预算数增加0万元，增长0.0%，主要原因是本单位202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年度未发生公务车购置费支出。较上年支出数增加0万元，增长0.0%，主要原因是本单位202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年度未发生公务车购置费支出。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仿宋_GBK" w:hAnsi="方正仿宋_GBK" w:eastAsia="方正仿宋_GBK" w:cs="方正仿宋_GBK"/>
          <w:b w:val="0"/>
          <w:bCs/>
          <w:kern w:val="0"/>
          <w:sz w:val="32"/>
          <w:szCs w:val="32"/>
          <w:shd w:val="clear" w:fill="FFFFFF"/>
        </w:rPr>
        <w:t>公务车运行维护费0万元，主要是202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年度未发生公务车运行维护费支出。费用支出较年初预算数增加0万元，增长0.0%，主要原因是202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年度未发生公务车运行维护费支出。较上年支出数增加0万元，增长0.0%，主要原因是202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年度未发生公务车运行维护费支出。</w:t>
      </w:r>
    </w:p>
    <w:p>
      <w:pPr>
        <w:pStyle w:val="13"/>
        <w:keepNext w:val="0"/>
        <w:keepLines w:val="0"/>
        <w:pageBreakBefore w:val="0"/>
        <w:widowControl/>
        <w:suppressLineNumbers w:val="0"/>
        <w:shd w:val="clear" w:fill="FFFFFF"/>
        <w:kinsoku/>
        <w:wordWrap/>
        <w:overflowPunct/>
        <w:topLinePunct w:val="0"/>
        <w:autoSpaceDE w:val="0"/>
        <w:autoSpaceDN/>
        <w:bidi w:val="0"/>
        <w:adjustRightInd/>
        <w:spacing w:beforeAutospacing="0" w:line="594" w:lineRule="exact"/>
        <w:ind w:left="0"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val="0"/>
          <w:bCs/>
          <w:kern w:val="0"/>
          <w:sz w:val="32"/>
          <w:szCs w:val="32"/>
          <w:shd w:val="clear" w:fill="FFFFFF"/>
        </w:rPr>
        <w:t>公务接待费0万元，主要是本单位202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年度未发生公务接待费支出。费用支出较年初预算数减少2.9万元，下降100.0%，主要原因是本单位202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年度未发生公务接待费支出。较上年支出数增加0万元，增长0.0%，主要原因是本单位202</w:t>
      </w:r>
      <w:r>
        <w:rPr>
          <w:rFonts w:hint="eastAsia" w:ascii="方正仿宋_GBK" w:hAnsi="方正仿宋_GBK" w:eastAsia="方正仿宋_GBK" w:cs="方正仿宋_GBK"/>
          <w:b w:val="0"/>
          <w:bCs/>
          <w:kern w:val="0"/>
          <w:sz w:val="32"/>
          <w:szCs w:val="32"/>
          <w:shd w:val="clear" w:fill="FFFFFF"/>
          <w:lang w:val="en-US" w:eastAsia="zh-CN"/>
        </w:rPr>
        <w:t>3</w:t>
      </w:r>
      <w:r>
        <w:rPr>
          <w:rFonts w:hint="eastAsia" w:ascii="方正仿宋_GBK" w:hAnsi="方正仿宋_GBK" w:eastAsia="方正仿宋_GBK" w:cs="方正仿宋_GBK"/>
          <w:b w:val="0"/>
          <w:bCs/>
          <w:kern w:val="0"/>
          <w:sz w:val="32"/>
          <w:szCs w:val="32"/>
          <w:shd w:val="clear" w:fill="FFFFFF"/>
        </w:rPr>
        <w:t>年度未发生公务接待费支出</w:t>
      </w:r>
      <w:r>
        <w:rPr>
          <w:rFonts w:hint="eastAsia" w:ascii="方正仿宋_GBK" w:hAnsi="方正仿宋_GBK" w:eastAsia="方正仿宋_GBK" w:cs="方正仿宋_GBK"/>
          <w:b w:val="0"/>
          <w:bCs/>
          <w:kern w:val="0"/>
          <w:sz w:val="32"/>
          <w:szCs w:val="32"/>
          <w:shd w:val="clear" w:fill="FFFFFF"/>
          <w:lang w:eastAsia="zh-CN"/>
        </w:rPr>
        <w:t>。</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（三）“三公”经费实物量情况</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textAlignment w:val="auto"/>
        <w:rPr>
          <w:rStyle w:val="11"/>
          <w:rFonts w:hint="default" w:ascii="方正仿宋_GBK" w:hAnsi="方正仿宋_GBK" w:eastAsia="方正仿宋_GBK" w:cs="方正仿宋_GBK"/>
          <w:sz w:val="32"/>
          <w:szCs w:val="32"/>
          <w:shd w:val="clear" w:color="auto" w:fill="FFFFFF"/>
        </w:rPr>
      </w:pPr>
      <w:r>
        <w:rPr>
          <w:rStyle w:val="11"/>
          <w:rFonts w:hint="eastAsia" w:ascii="方正黑体_GBK" w:hAnsi="方正黑体_GBK" w:eastAsia="方正黑体_GBK" w:cs="方正黑体_GBK"/>
          <w:b w:val="0"/>
          <w:bCs/>
          <w:sz w:val="32"/>
          <w:szCs w:val="32"/>
          <w:shd w:val="clear" w:color="auto" w:fill="FFFFFF"/>
        </w:rPr>
        <w:t>四、其他需要说明的事项</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（一）财政拨款会议费和培训费情况说明</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本年度会议费支出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万元，较上年决算数减少0.55万元，下降100.0%，主要原因是</w:t>
      </w:r>
      <w:r>
        <w:rPr>
          <w:rFonts w:hint="eastAsia" w:ascii="方正仿宋_GBK" w:hAnsi="方正仿宋_GBK" w:eastAsia="方正仿宋_GBK" w:cs="方正仿宋_GBK"/>
          <w:b w:val="0"/>
          <w:bCs/>
          <w:kern w:val="0"/>
          <w:sz w:val="32"/>
          <w:szCs w:val="32"/>
          <w:shd w:val="clear" w:fill="FFFFFF"/>
        </w:rPr>
        <w:t>会议</w:t>
      </w:r>
      <w:r>
        <w:rPr>
          <w:rFonts w:hint="eastAsia" w:ascii="方正仿宋_GBK" w:hAnsi="方正仿宋_GBK" w:eastAsia="方正仿宋_GBK" w:cs="方正仿宋_GBK"/>
          <w:b w:val="0"/>
          <w:bCs/>
          <w:kern w:val="0"/>
          <w:sz w:val="32"/>
          <w:szCs w:val="32"/>
          <w:shd w:val="clear" w:fill="FFFFFF"/>
          <w:lang w:eastAsia="zh-CN"/>
        </w:rPr>
        <w:t>减少</w:t>
      </w:r>
      <w:r>
        <w:rPr>
          <w:rFonts w:ascii="方正仿宋_GBK" w:hAnsi="方正仿宋_GBK" w:eastAsia="方正仿宋_GBK" w:cs="方正仿宋_GBK"/>
          <w:sz w:val="32"/>
          <w:szCs w:val="32"/>
          <w:shd w:val="clear" w:color="auto" w:fill="FFFFFF"/>
        </w:rPr>
        <w:t>。本年度培训费支出</w:t>
      </w:r>
      <w:r>
        <w:rPr>
          <w:rFonts w:ascii="方正仿宋_GBK" w:hAnsi="方正仿宋_GBK" w:eastAsia="方正仿宋_GBK" w:cs="方正仿宋_GBK"/>
          <w:sz w:val="32"/>
          <w:szCs w:val="32"/>
        </w:rPr>
        <w:t>4.5</w:t>
      </w:r>
      <w:r>
        <w:rPr>
          <w:rFonts w:ascii="方正仿宋_GBK" w:hAnsi="方正仿宋_GBK" w:eastAsia="方正仿宋_GBK" w:cs="方正仿宋_GBK"/>
          <w:sz w:val="32"/>
          <w:szCs w:val="32"/>
          <w:shd w:val="clear" w:color="auto" w:fill="FFFFFF"/>
        </w:rPr>
        <w:t>万元，较上年决算数增加0.88万元，增长24.</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增加</w:t>
      </w:r>
      <w:r>
        <w:rPr>
          <w:rFonts w:hint="eastAsia" w:ascii="方正仿宋_GBK" w:hAnsi="方正仿宋_GBK" w:eastAsia="方正仿宋_GBK" w:cs="方正仿宋_GBK"/>
          <w:sz w:val="32"/>
          <w:szCs w:val="32"/>
          <w:shd w:val="clear" w:color="auto" w:fill="FFFFFF"/>
          <w:lang w:val="en-US" w:eastAsia="zh-CN"/>
        </w:rPr>
        <w:t>2023年国家电子政务外网信息与网络安全培训费</w:t>
      </w:r>
      <w:r>
        <w:rPr>
          <w:rFonts w:ascii="方正仿宋_GBK" w:hAnsi="方正仿宋_GBK" w:eastAsia="方正仿宋_GBK" w:cs="方正仿宋_GBK"/>
          <w:sz w:val="32"/>
          <w:szCs w:val="32"/>
          <w:shd w:val="clear" w:color="auto" w:fill="FFFFFF"/>
        </w:rPr>
        <w:t>。</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（二）机关运行经费情况说明</w:t>
      </w:r>
    </w:p>
    <w:p>
      <w:pPr>
        <w:pStyle w:val="13"/>
        <w:keepNext w:val="0"/>
        <w:keepLines w:val="0"/>
        <w:pageBreakBefore w:val="0"/>
        <w:widowControl/>
        <w:suppressLineNumbers w:val="0"/>
        <w:shd w:val="clear" w:fill="FFFFFF"/>
        <w:kinsoku/>
        <w:wordWrap/>
        <w:overflowPunct/>
        <w:topLinePunct w:val="0"/>
        <w:autoSpaceDE w:val="0"/>
        <w:autoSpaceDN/>
        <w:bidi w:val="0"/>
        <w:adjustRightInd/>
        <w:spacing w:beforeAutospacing="0" w:line="594" w:lineRule="exact"/>
        <w:ind w:left="0" w:firstLine="640" w:firstLineChars="200"/>
        <w:jc w:val="left"/>
        <w:textAlignment w:val="auto"/>
        <w:rPr>
          <w:rFonts w:hint="eastAsia" w:ascii="方正仿宋_GBK" w:hAnsi="方正仿宋_GBK" w:eastAsia="方正仿宋_GBK" w:cs="方正仿宋_GBK"/>
          <w:b w:val="0"/>
          <w:bCs/>
          <w:kern w:val="0"/>
          <w:sz w:val="32"/>
          <w:szCs w:val="32"/>
          <w:shd w:val="clear" w:fill="FFFFFF"/>
        </w:rPr>
      </w:pPr>
      <w:r>
        <w:rPr>
          <w:rFonts w:hint="eastAsia" w:ascii="方正仿宋_GBK" w:hAnsi="方正仿宋_GBK" w:eastAsia="方正仿宋_GBK" w:cs="方正仿宋_GBK"/>
          <w:b w:val="0"/>
          <w:bCs/>
          <w:kern w:val="0"/>
          <w:sz w:val="32"/>
          <w:szCs w:val="32"/>
          <w:shd w:val="clear" w:fill="FFFFFF"/>
        </w:rPr>
        <w:t>按照部门决算列报口径，我单位不在机关运行经费统计范围之内。</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（三）国有资产占用情况说明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color w:val="FF0000"/>
          <w:sz w:val="32"/>
          <w:szCs w:val="32"/>
        </w:rPr>
      </w:pPr>
      <w:r>
        <w:rPr>
          <w:rFonts w:ascii="方正仿宋_GBK" w:hAnsi="方正仿宋_GBK" w:eastAsia="方正仿宋_GBK" w:cs="方正仿宋_GBK"/>
          <w:sz w:val="32"/>
          <w:szCs w:val="32"/>
          <w:shd w:val="clear" w:color="auto" w:fill="FFFFFF"/>
        </w:rPr>
        <w:t>截至2023年12月31日，本部门共有车辆</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台（套）。</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eastAsia"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（四）政府采购支出情况说明</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2023年度本部门政府采购支出总额</w:t>
      </w:r>
      <w:r>
        <w:rPr>
          <w:rFonts w:ascii="方正仿宋_GBK" w:hAnsi="方正仿宋_GBK" w:eastAsia="方正仿宋_GBK" w:cs="方正仿宋_GBK"/>
          <w:sz w:val="32"/>
          <w:szCs w:val="32"/>
        </w:rPr>
        <w:t>10.94</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10.94</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10.94万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100.0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10.94</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100.0</w:t>
      </w:r>
      <w:r>
        <w:rPr>
          <w:rFonts w:ascii="方正仿宋_GBK" w:hAnsi="方正仿宋_GBK" w:eastAsia="方正仿宋_GBK" w:cs="方正仿宋_GBK"/>
          <w:sz w:val="32"/>
          <w:szCs w:val="32"/>
          <w:shd w:val="clear" w:color="auto" w:fill="FFFFFF"/>
        </w:rPr>
        <w:t>%。主要用于采购</w:t>
      </w:r>
      <w:r>
        <w:rPr>
          <w:rFonts w:hint="eastAsia" w:ascii="方正仿宋_GBK" w:hAnsi="方正仿宋_GBK" w:eastAsia="方正仿宋_GBK" w:cs="方正仿宋_GBK"/>
          <w:sz w:val="32"/>
          <w:szCs w:val="32"/>
          <w:shd w:val="clear" w:color="auto" w:fill="FFFFFF"/>
          <w:lang w:eastAsia="zh-CN"/>
        </w:rPr>
        <w:t>笔记本电脑、专业办公软件</w:t>
      </w:r>
      <w:r>
        <w:rPr>
          <w:rFonts w:ascii="方正仿宋_GBK" w:hAnsi="方正仿宋_GBK" w:eastAsia="方正仿宋_GBK" w:cs="方正仿宋_GBK"/>
          <w:sz w:val="32"/>
          <w:szCs w:val="32"/>
          <w:shd w:val="clear" w:color="auto" w:fill="FFFFFF"/>
        </w:rPr>
        <w:t>。</w:t>
      </w:r>
    </w:p>
    <w:p>
      <w:pPr>
        <w:pStyle w:val="7"/>
        <w:keepNext w:val="0"/>
        <w:keepLines w:val="0"/>
        <w:pageBreakBefore w:val="0"/>
        <w:widowControl/>
        <w:numPr>
          <w:ilvl w:val="0"/>
          <w:numId w:val="1"/>
        </w:numPr>
        <w:shd w:val="clear" w:color="auto" w:fill="FFFFFF"/>
        <w:kinsoku/>
        <w:wordWrap/>
        <w:overflowPunct/>
        <w:topLinePunct w:val="0"/>
        <w:autoSpaceDN/>
        <w:bidi w:val="0"/>
        <w:adjustRightInd/>
        <w:spacing w:beforeAutospacing="0" w:line="594" w:lineRule="exact"/>
        <w:textAlignment w:val="auto"/>
        <w:rPr>
          <w:rStyle w:val="11"/>
          <w:rFonts w:hint="eastAsia" w:ascii="黑体" w:hAnsi="黑体" w:eastAsia="黑体" w:cs="黑体"/>
          <w:sz w:val="32"/>
          <w:szCs w:val="32"/>
          <w:shd w:val="clear" w:color="auto" w:fill="FFFFFF"/>
        </w:rPr>
      </w:pPr>
      <w:r>
        <w:rPr>
          <w:rStyle w:val="11"/>
          <w:rFonts w:hint="eastAsia" w:ascii="方正黑体_GBK" w:hAnsi="方正黑体_GBK" w:eastAsia="方正黑体_GBK" w:cs="方正黑体_GBK"/>
          <w:b w:val="0"/>
          <w:bCs/>
          <w:sz w:val="32"/>
          <w:szCs w:val="32"/>
          <w:shd w:val="clear" w:color="auto" w:fill="FFFFFF"/>
        </w:rPr>
        <w:t>预算绩效管理情况说明</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640"/>
        <w:textAlignment w:val="auto"/>
        <w:rPr>
          <w:rStyle w:val="11"/>
          <w:rFonts w:hint="default" w:ascii="方正楷体_GBK" w:hAnsi="方正楷体_GBK" w:eastAsia="方正楷体_GBK" w:cs="方正楷体_GBK"/>
          <w:b w:val="0"/>
          <w:bCs/>
          <w:sz w:val="32"/>
          <w:szCs w:val="32"/>
          <w:shd w:val="clear" w:color="auto" w:fill="FFFFFF"/>
          <w:lang w:val="en-US" w:eastAsia="zh-CN" w:bidi="ar-SA"/>
        </w:rPr>
      </w:pPr>
      <w:r>
        <w:rPr>
          <w:rStyle w:val="11"/>
          <w:rFonts w:hint="eastAsia" w:ascii="方正楷体_GBK" w:hAnsi="方正楷体_GBK" w:eastAsia="方正楷体_GBK" w:cs="方正楷体_GBK"/>
          <w:b w:val="0"/>
          <w:bCs/>
          <w:sz w:val="32"/>
          <w:szCs w:val="32"/>
          <w:shd w:val="clear" w:color="auto" w:fill="FFFFFF"/>
          <w:lang w:val="en-US" w:eastAsia="zh-CN" w:bidi="ar-SA"/>
        </w:rPr>
        <w:t>（一）预算绩效管理工作开展情况</w:t>
      </w:r>
    </w:p>
    <w:p>
      <w:pPr>
        <w:pStyle w:val="7"/>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Autospacing="0" w:line="594" w:lineRule="exact"/>
        <w:ind w:firstLine="640" w:firstLineChars="200"/>
        <w:textAlignment w:val="auto"/>
        <w:rPr>
          <w:rFonts w:hint="eastAsia" w:ascii="方正仿宋_GBK" w:hAnsi="方正仿宋_GBK" w:eastAsia="方正仿宋_GBK" w:cs="方正仿宋_GBK"/>
          <w:sz w:val="32"/>
          <w:szCs w:val="32"/>
          <w:shd w:val="clear" w:color="auto" w:fill="FFFFFF"/>
          <w:lang w:eastAsia="zh-CN" w:bidi="ar"/>
        </w:rPr>
      </w:pPr>
      <w:r>
        <w:rPr>
          <w:rFonts w:hint="eastAsia" w:ascii="方正仿宋_GBK" w:hAnsi="方正仿宋_GBK" w:eastAsia="方正仿宋_GBK" w:cs="方正仿宋_GBK"/>
          <w:sz w:val="32"/>
          <w:szCs w:val="32"/>
          <w:shd w:val="clear" w:color="auto" w:fill="FFFFFF"/>
          <w:lang w:bidi="ar"/>
        </w:rPr>
        <w:t>根据预算绩效管理要求，我部对部门整体和</w:t>
      </w:r>
      <w:r>
        <w:rPr>
          <w:rFonts w:hint="eastAsia" w:ascii="方正仿宋_GBK" w:hAnsi="方正仿宋_GBK" w:eastAsia="方正仿宋_GBK" w:cs="方正仿宋_GBK"/>
          <w:sz w:val="32"/>
          <w:szCs w:val="32"/>
          <w:shd w:val="clear" w:color="auto" w:fill="FFFFFF"/>
          <w:lang w:val="en-US" w:eastAsia="zh-CN" w:bidi="ar"/>
        </w:rPr>
        <w:t>6</w:t>
      </w:r>
      <w:r>
        <w:rPr>
          <w:rFonts w:hint="eastAsia" w:ascii="方正仿宋_GBK" w:hAnsi="方正仿宋_GBK" w:eastAsia="方正仿宋_GBK" w:cs="方正仿宋_GBK"/>
          <w:sz w:val="32"/>
          <w:szCs w:val="32"/>
          <w:shd w:val="clear" w:color="auto" w:fill="FFFFFF"/>
          <w:lang w:bidi="ar"/>
        </w:rPr>
        <w:t>个项目开展了绩效自评，</w:t>
      </w:r>
      <w:r>
        <w:rPr>
          <w:rFonts w:hint="eastAsia" w:ascii="方正仿宋_GBK" w:hAnsi="方正仿宋_GBK" w:eastAsia="方正仿宋_GBK" w:cs="方正仿宋_GBK"/>
          <w:sz w:val="32"/>
          <w:szCs w:val="32"/>
          <w:shd w:val="clear" w:color="auto" w:fill="FFFFFF"/>
          <w:lang w:val="en-US" w:eastAsia="zh-CN" w:bidi="ar"/>
        </w:rPr>
        <w:t>其中，以填报目标自评表形势开展自评7项，</w:t>
      </w:r>
      <w:r>
        <w:rPr>
          <w:rFonts w:hint="eastAsia" w:ascii="方正仿宋_GBK" w:hAnsi="方正仿宋_GBK" w:eastAsia="方正仿宋_GBK" w:cs="方正仿宋_GBK"/>
          <w:sz w:val="32"/>
          <w:szCs w:val="32"/>
          <w:shd w:val="clear" w:color="auto" w:fill="FFFFFF"/>
          <w:lang w:bidi="ar"/>
        </w:rPr>
        <w:t>涉及财政拨款项目支出资金</w:t>
      </w:r>
      <w:r>
        <w:rPr>
          <w:rFonts w:hint="eastAsia" w:ascii="方正仿宋_GBK" w:hAnsi="方正仿宋_GBK" w:eastAsia="方正仿宋_GBK" w:cs="方正仿宋_GBK"/>
          <w:sz w:val="32"/>
          <w:szCs w:val="32"/>
          <w:shd w:val="clear" w:color="auto" w:fill="FFFFFF"/>
          <w:lang w:val="en-US" w:eastAsia="zh-CN"/>
        </w:rPr>
        <w:t>710.6</w:t>
      </w:r>
      <w:r>
        <w:rPr>
          <w:rFonts w:hint="eastAsia" w:ascii="方正仿宋_GBK" w:hAnsi="方正仿宋_GBK" w:eastAsia="方正仿宋_GBK" w:cs="方正仿宋_GBK"/>
          <w:sz w:val="32"/>
          <w:szCs w:val="32"/>
          <w:shd w:val="clear" w:color="auto" w:fill="FFFFFF"/>
          <w:lang w:bidi="ar"/>
        </w:rPr>
        <w:t>万元</w:t>
      </w:r>
      <w:r>
        <w:rPr>
          <w:rFonts w:hint="eastAsia" w:ascii="方正仿宋_GBK" w:hAnsi="方正仿宋_GBK" w:eastAsia="方正仿宋_GBK" w:cs="方正仿宋_GBK"/>
          <w:sz w:val="32"/>
          <w:szCs w:val="32"/>
          <w:shd w:val="clear" w:color="auto" w:fill="FFFFFF"/>
          <w:lang w:eastAsia="zh-CN" w:bidi="ar"/>
        </w:rPr>
        <w:t>。</w:t>
      </w:r>
    </w:p>
    <w:p>
      <w:pPr>
        <w:pStyle w:val="12"/>
        <w:keepNext w:val="0"/>
        <w:keepLines w:val="0"/>
        <w:pageBreakBefore w:val="0"/>
        <w:widowControl/>
        <w:kinsoku/>
        <w:wordWrap/>
        <w:overflowPunct/>
        <w:topLinePunct w:val="0"/>
        <w:autoSpaceDE w:val="0"/>
        <w:autoSpaceDN/>
        <w:bidi w:val="0"/>
        <w:adjustRightInd/>
        <w:snapToGrid/>
        <w:spacing w:beforeAutospacing="0" w:line="594" w:lineRule="exact"/>
        <w:textAlignment w:val="auto"/>
        <w:rPr>
          <w:rFonts w:hint="default" w:ascii="方正仿宋_GBK" w:hAnsi="方正仿宋_GBK" w:eastAsia="方正仿宋_GBK" w:cs="方正仿宋_GBK"/>
          <w:sz w:val="32"/>
          <w:szCs w:val="32"/>
          <w:shd w:val="clear" w:color="auto" w:fill="FFFFFF"/>
          <w:lang w:val="en-US" w:eastAsia="zh-CN" w:bidi="ar"/>
        </w:rPr>
      </w:pPr>
      <w:r>
        <w:rPr>
          <w:rStyle w:val="11"/>
          <w:rFonts w:hint="eastAsia" w:ascii="方正楷体_GBK" w:hAnsi="方正楷体_GBK" w:eastAsia="方正楷体_GBK" w:cs="方正楷体_GBK"/>
          <w:b w:val="0"/>
          <w:bCs/>
          <w:sz w:val="32"/>
          <w:szCs w:val="32"/>
          <w:shd w:val="clear" w:color="auto" w:fill="FFFFFF"/>
          <w:lang w:val="en-US" w:eastAsia="zh-CN" w:bidi="ar-SA"/>
        </w:rPr>
        <w:t>（二）绩效自评结果</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line="594" w:lineRule="exact"/>
        <w:ind w:firstLine="643" w:firstLineChars="200"/>
        <w:textAlignment w:val="auto"/>
        <w:rPr>
          <w:rStyle w:val="11"/>
          <w:rFonts w:hint="eastAsia" w:ascii="方正楷体_GBK" w:hAnsi="方正楷体_GBK" w:eastAsia="方正楷体_GBK" w:cs="方正楷体_GBK"/>
          <w:b w:val="0"/>
          <w:bCs w:val="0"/>
          <w:color w:val="auto"/>
          <w:sz w:val="32"/>
          <w:szCs w:val="32"/>
          <w:shd w:val="clear" w:color="auto" w:fill="FFFFFF"/>
          <w:lang w:val="en-US" w:eastAsia="zh-CN" w:bidi="ar-SA"/>
        </w:rPr>
      </w:pPr>
      <w:r>
        <w:rPr>
          <w:rStyle w:val="11"/>
          <w:rFonts w:hint="eastAsia" w:ascii="方正仿宋_GBK" w:hAnsi="方正仿宋_GBK" w:eastAsia="方正仿宋_GBK" w:cs="方正仿宋_GBK"/>
          <w:sz w:val="32"/>
          <w:szCs w:val="32"/>
          <w:shd w:val="clear" w:color="auto" w:fill="FFFFFF"/>
          <w:lang w:val="en-US" w:eastAsia="zh-CN" w:bidi="ar-SA"/>
        </w:rPr>
        <w:t>1.绩效目标自评表</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line="594" w:lineRule="exact"/>
        <w:ind w:firstLine="640" w:firstLineChars="200"/>
        <w:textAlignment w:val="auto"/>
        <w:rPr>
          <w:rStyle w:val="11"/>
          <w:rFonts w:hint="eastAsia" w:ascii="方正楷体_GBK" w:hAnsi="方正楷体_GBK" w:eastAsia="方正楷体_GBK" w:cs="方正楷体_GBK"/>
          <w:b w:val="0"/>
          <w:bCs w:val="0"/>
          <w:color w:val="auto"/>
          <w:sz w:val="32"/>
          <w:szCs w:val="32"/>
          <w:shd w:val="clear" w:color="auto" w:fill="FFFFFF"/>
          <w:lang w:val="en-US" w:eastAsia="zh-CN" w:bidi="ar-SA"/>
        </w:rPr>
      </w:pPr>
      <w:r>
        <w:rPr>
          <w:rFonts w:hint="eastAsia" w:ascii="方正仿宋_GBK" w:hAnsi="方正仿宋_GBK" w:eastAsia="方正仿宋_GBK" w:cs="方正仿宋_GBK"/>
          <w:sz w:val="32"/>
          <w:szCs w:val="32"/>
          <w:shd w:val="clear" w:color="auto" w:fill="FFFFFF"/>
          <w:lang w:val="en-US" w:eastAsia="zh-CN" w:bidi="ar"/>
        </w:rPr>
        <w:t>注明：见附件整体监控绩效自评表、光纤及网络出口租用费用绩效自评表、数据中心及两套网络日常运维绩效自评表。</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line="594" w:lineRule="exact"/>
        <w:ind w:firstLine="643" w:firstLineChars="200"/>
        <w:textAlignment w:val="auto"/>
        <w:rPr>
          <w:rStyle w:val="11"/>
          <w:rFonts w:hint="default" w:ascii="方正楷体_GBK" w:hAnsi="方正楷体_GBK" w:eastAsia="方正楷体_GBK" w:cs="方正楷体_GBK"/>
          <w:b w:val="0"/>
          <w:bCs w:val="0"/>
          <w:color w:val="auto"/>
          <w:sz w:val="32"/>
          <w:szCs w:val="32"/>
          <w:shd w:val="clear" w:color="auto" w:fill="FFFFFF"/>
          <w:lang w:val="en-US" w:eastAsia="zh-CN" w:bidi="ar-SA"/>
        </w:rPr>
      </w:pPr>
      <w:r>
        <w:rPr>
          <w:rStyle w:val="11"/>
          <w:rFonts w:hint="eastAsia" w:ascii="方正仿宋_GBK" w:hAnsi="方正仿宋_GBK" w:eastAsia="方正仿宋_GBK" w:cs="方正仿宋_GBK"/>
          <w:sz w:val="32"/>
          <w:szCs w:val="32"/>
          <w:shd w:val="clear" w:color="auto" w:fill="FFFFFF"/>
          <w:lang w:val="en-US" w:eastAsia="zh-CN" w:bidi="ar-SA"/>
        </w:rPr>
        <w:t>2.绩效自评报告或案例</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line="594" w:lineRule="exact"/>
        <w:ind w:firstLine="640" w:firstLineChars="200"/>
        <w:textAlignment w:val="auto"/>
        <w:rPr>
          <w:rFonts w:hint="default" w:ascii="方正仿宋_GBK" w:hAnsi="方正仿宋_GBK" w:eastAsia="方正仿宋_GBK" w:cs="方正仿宋_GBK"/>
          <w:sz w:val="32"/>
          <w:szCs w:val="32"/>
          <w:shd w:val="clear" w:color="auto" w:fill="FFFFFF"/>
          <w:lang w:val="en-US" w:eastAsia="zh-CN" w:bidi="ar"/>
        </w:rPr>
      </w:pPr>
      <w:r>
        <w:rPr>
          <w:rFonts w:hint="eastAsia" w:ascii="方正仿宋_GBK" w:hAnsi="方正仿宋_GBK" w:eastAsia="方正仿宋_GBK" w:cs="方正仿宋_GBK"/>
          <w:sz w:val="32"/>
          <w:szCs w:val="32"/>
          <w:shd w:val="clear" w:color="auto" w:fill="FFFFFF"/>
          <w:lang w:val="en-US" w:eastAsia="zh-CN" w:bidi="ar"/>
        </w:rPr>
        <w:t>本部门未委托第三方开展绩效自评。</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line="594" w:lineRule="exact"/>
        <w:ind w:firstLine="643" w:firstLineChars="200"/>
        <w:textAlignment w:val="auto"/>
        <w:rPr>
          <w:rFonts w:hint="default" w:ascii="方正仿宋_GBK" w:hAnsi="方正仿宋_GBK" w:eastAsia="方正仿宋_GBK" w:cs="方正仿宋_GBK"/>
          <w:sz w:val="32"/>
          <w:szCs w:val="32"/>
          <w:shd w:val="clear" w:color="auto" w:fill="FFFFFF"/>
          <w:lang w:val="en-US" w:eastAsia="zh-CN" w:bidi="ar"/>
        </w:rPr>
      </w:pPr>
      <w:r>
        <w:rPr>
          <w:rStyle w:val="11"/>
          <w:rFonts w:hint="eastAsia" w:ascii="方正仿宋_GBK" w:hAnsi="方正仿宋_GBK" w:eastAsia="方正仿宋_GBK" w:cs="方正仿宋_GBK"/>
          <w:sz w:val="32"/>
          <w:szCs w:val="32"/>
          <w:shd w:val="clear" w:color="auto" w:fill="FFFFFF"/>
          <w:lang w:val="en-US" w:eastAsia="zh-CN" w:bidi="ar-SA"/>
        </w:rPr>
        <w:t>3.关于绩效自评结果的说明</w:t>
      </w:r>
    </w:p>
    <w:p>
      <w:pPr>
        <w:pStyle w:val="12"/>
        <w:keepNext w:val="0"/>
        <w:keepLines w:val="0"/>
        <w:pageBreakBefore w:val="0"/>
        <w:widowControl/>
        <w:numPr>
          <w:ilvl w:val="0"/>
          <w:numId w:val="0"/>
        </w:numPr>
        <w:kinsoku/>
        <w:wordWrap/>
        <w:overflowPunct/>
        <w:topLinePunct w:val="0"/>
        <w:autoSpaceDE w:val="0"/>
        <w:autoSpaceDN/>
        <w:bidi w:val="0"/>
        <w:adjustRightInd/>
        <w:snapToGrid/>
        <w:spacing w:beforeAutospacing="0" w:afterAutospacing="0" w:line="594" w:lineRule="exact"/>
        <w:ind w:left="0" w:right="0" w:rightChars="0" w:firstLine="640" w:firstLineChars="200"/>
        <w:textAlignment w:val="auto"/>
        <w:outlineLvl w:val="9"/>
        <w:rPr>
          <w:rFonts w:hint="eastAsia" w:ascii="方正仿宋_GBK" w:hAnsi="方正仿宋_GBK" w:eastAsia="方正仿宋_GBK" w:cs="方正仿宋_GBK"/>
          <w:sz w:val="32"/>
          <w:szCs w:val="32"/>
          <w:shd w:val="clear" w:color="auto" w:fill="FFFFFF"/>
          <w:lang w:eastAsia="zh-CN" w:bidi="ar"/>
        </w:rPr>
      </w:pPr>
      <w:r>
        <w:rPr>
          <w:rFonts w:hint="eastAsia" w:ascii="方正仿宋_GBK" w:hAnsi="方正仿宋_GBK" w:eastAsia="方正仿宋_GBK" w:cs="方正仿宋_GBK"/>
          <w:sz w:val="32"/>
          <w:szCs w:val="32"/>
          <w:shd w:val="clear" w:color="auto" w:fill="FFFFFF"/>
          <w:lang w:val="en-US" w:eastAsia="zh-CN" w:bidi="ar"/>
        </w:rPr>
        <w:t>本部门绩效自评均已完成年度绩效目标。</w:t>
      </w:r>
    </w:p>
    <w:p>
      <w:pPr>
        <w:pStyle w:val="7"/>
        <w:keepNext w:val="0"/>
        <w:keepLines w:val="0"/>
        <w:pageBreakBefore w:val="0"/>
        <w:widowControl/>
        <w:numPr>
          <w:ilvl w:val="0"/>
          <w:numId w:val="0"/>
        </w:numPr>
        <w:shd w:val="clear" w:color="auto" w:fill="FFFFFF"/>
        <w:kinsoku/>
        <w:wordWrap/>
        <w:overflowPunct/>
        <w:topLinePunct w:val="0"/>
        <w:autoSpaceDN/>
        <w:bidi w:val="0"/>
        <w:adjustRightInd/>
        <w:spacing w:beforeAutospacing="0" w:line="594" w:lineRule="exact"/>
        <w:textAlignment w:val="auto"/>
        <w:rPr>
          <w:rStyle w:val="11"/>
          <w:rFonts w:hint="eastAsia" w:ascii="方正黑体_GBK" w:hAnsi="方正黑体_GBK" w:eastAsia="方正黑体_GBK" w:cs="方正黑体_GBK"/>
          <w:b w:val="0"/>
          <w:bCs/>
          <w:sz w:val="32"/>
          <w:szCs w:val="32"/>
          <w:shd w:val="clear" w:color="auto" w:fill="FFFFFF"/>
          <w:lang w:val="en-US" w:eastAsia="zh-CN"/>
        </w:rPr>
      </w:pPr>
      <w:r>
        <w:rPr>
          <w:rStyle w:val="11"/>
          <w:rFonts w:hint="eastAsia" w:ascii="方正黑体_GBK" w:hAnsi="方正黑体_GBK" w:eastAsia="方正黑体_GBK" w:cs="方正黑体_GBK"/>
          <w:b w:val="0"/>
          <w:bCs/>
          <w:sz w:val="32"/>
          <w:szCs w:val="32"/>
          <w:shd w:val="clear" w:color="auto" w:fill="FFFFFF"/>
          <w:lang w:val="en-US" w:eastAsia="zh-CN"/>
        </w:rPr>
        <w:t>六、专业名词解释</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（一）财政拨款收入：</w:t>
      </w:r>
      <w:r>
        <w:rPr>
          <w:rFonts w:hint="eastAsia" w:ascii="Times New Roman" w:hAnsi="Times New Roman" w:eastAsia="方正仿宋_GBK" w:cs="Times New Roman"/>
          <w:sz w:val="32"/>
          <w:szCs w:val="32"/>
          <w:shd w:val="clear" w:color="auto" w:fill="FFFFFF"/>
          <w:lang w:val="en-US" w:eastAsia="zh-CN"/>
        </w:rPr>
        <w:t>指本年度从本级财政部门取得的财政拨款，包括一般公共预算财政拨款和政府性基金预算财政拨款。</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（二）事业收入：</w:t>
      </w:r>
      <w:r>
        <w:rPr>
          <w:rFonts w:hint="eastAsia" w:ascii="Times New Roman" w:hAnsi="Times New Roman" w:eastAsia="方正仿宋_GBK" w:cs="Times New Roman"/>
          <w:sz w:val="32"/>
          <w:szCs w:val="32"/>
          <w:shd w:val="clear" w:color="auto" w:fill="FFFFFF"/>
          <w:lang w:val="en-US" w:eastAsia="zh-CN"/>
        </w:rPr>
        <w:t>指事业单位开展专业业务活动及其辅助活动取得的现金流入；事业单位收到的财政专户实际核拨的教育收费等资金在此反映。</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（三）经营收入：</w:t>
      </w:r>
      <w:r>
        <w:rPr>
          <w:rFonts w:hint="eastAsia" w:ascii="Times New Roman" w:hAnsi="Times New Roman" w:eastAsia="方正仿宋_GBK" w:cs="Times New Roman"/>
          <w:sz w:val="32"/>
          <w:szCs w:val="32"/>
          <w:shd w:val="clear" w:color="auto" w:fill="FFFFFF"/>
          <w:lang w:val="en-US" w:eastAsia="zh-CN"/>
        </w:rPr>
        <w:t>指事业单位在专业业务活动及其辅助活动之外开展非独立核算经营活动取得的现金流入。</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（四）其他收入：</w:t>
      </w:r>
      <w:r>
        <w:rPr>
          <w:rFonts w:hint="eastAsia" w:ascii="Times New Roman" w:hAnsi="Times New Roman" w:eastAsia="方正仿宋_GBK" w:cs="Times New Roman"/>
          <w:sz w:val="32"/>
          <w:szCs w:val="32"/>
          <w:shd w:val="clear" w:color="auto" w:fill="FFFFFF"/>
          <w:lang w:val="en-US" w:eastAsia="zh-CN"/>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（五）使用非财政拨款结余：</w:t>
      </w:r>
      <w:r>
        <w:rPr>
          <w:rFonts w:hint="eastAsia" w:ascii="Times New Roman" w:hAnsi="Times New Roman" w:eastAsia="方正仿宋_GBK" w:cs="Times New Roman"/>
          <w:sz w:val="32"/>
          <w:szCs w:val="32"/>
          <w:shd w:val="clear" w:color="auto" w:fill="FFFFFF"/>
          <w:lang w:val="en-US" w:eastAsia="zh-CN"/>
        </w:rPr>
        <w:t>指单位在当年的“财政拨款收入”、“事业收入”、“经营收入”、“其他收入”等不足以安排当年支出的情况下，使用以前年度积累的非财政拨款结余弥补本年度收支缺口的资金。</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（六）年初结转和结余：</w:t>
      </w:r>
      <w:r>
        <w:rPr>
          <w:rFonts w:hint="eastAsia" w:ascii="Times New Roman" w:hAnsi="Times New Roman" w:eastAsia="方正仿宋_GBK" w:cs="Times New Roman"/>
          <w:sz w:val="32"/>
          <w:szCs w:val="32"/>
          <w:shd w:val="clear" w:color="auto" w:fill="FFFFFF"/>
          <w:lang w:val="en-US" w:eastAsia="zh-CN"/>
        </w:rPr>
        <w:t>指单位上年结转本年使用的基本支出结转、项目支出结转和结余、经营结余。</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（七）结余分配：</w:t>
      </w:r>
      <w:r>
        <w:rPr>
          <w:rFonts w:hint="eastAsia" w:ascii="Times New Roman" w:hAnsi="Times New Roman" w:eastAsia="方正仿宋_GBK" w:cs="Times New Roman"/>
          <w:sz w:val="32"/>
          <w:szCs w:val="32"/>
          <w:shd w:val="clear" w:color="auto" w:fill="FFFFFF"/>
          <w:lang w:val="en-US" w:eastAsia="zh-CN"/>
        </w:rPr>
        <w:t>指单位按照国家有关规定，缴纳所得税、提取专用基金、转入非财政拨款结余等当年结余的分配情况。</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（八）年末结转和结余：</w:t>
      </w:r>
      <w:r>
        <w:rPr>
          <w:rFonts w:hint="eastAsia" w:ascii="Times New Roman" w:hAnsi="Times New Roman" w:eastAsia="方正仿宋_GBK" w:cs="Times New Roman"/>
          <w:sz w:val="32"/>
          <w:szCs w:val="32"/>
          <w:shd w:val="clear" w:color="auto" w:fill="FFFFFF"/>
          <w:lang w:val="en-US" w:eastAsia="zh-CN"/>
        </w:rPr>
        <w:t>指单位结转下年的基本支出结转、项目支出结转和结余、经营结余。</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（九）基本支出：</w:t>
      </w:r>
      <w:r>
        <w:rPr>
          <w:rFonts w:hint="eastAsia" w:ascii="Times New Roman" w:hAnsi="Times New Roman" w:eastAsia="方正仿宋_GBK" w:cs="Times New Roman"/>
          <w:sz w:val="32"/>
          <w:szCs w:val="32"/>
          <w:shd w:val="clear" w:color="auto" w:fill="FFFFFF"/>
          <w:lang w:val="en-US" w:eastAsia="zh-CN"/>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（十）项目支出：</w:t>
      </w:r>
      <w:r>
        <w:rPr>
          <w:rFonts w:hint="eastAsia" w:ascii="Times New Roman" w:hAnsi="Times New Roman" w:eastAsia="方正仿宋_GBK" w:cs="Times New Roman"/>
          <w:sz w:val="32"/>
          <w:szCs w:val="32"/>
          <w:shd w:val="clear" w:color="auto" w:fill="FFFFFF"/>
          <w:lang w:val="en-US" w:eastAsia="zh-CN"/>
        </w:rPr>
        <w:t>指在基本支出之外为完成特定行政任务和事业发展目标所发生的支出。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（十一）经营支出：</w:t>
      </w:r>
      <w:r>
        <w:rPr>
          <w:rFonts w:hint="eastAsia" w:ascii="Times New Roman" w:hAnsi="Times New Roman" w:eastAsia="方正仿宋_GBK" w:cs="Times New Roman"/>
          <w:sz w:val="32"/>
          <w:szCs w:val="32"/>
          <w:shd w:val="clear" w:color="auto" w:fill="FFFFFF"/>
          <w:lang w:val="en-US" w:eastAsia="zh-CN"/>
        </w:rPr>
        <w:t>指事业单位在专业业务活动及其辅助活动之外开展非独立核算经营活动发生的支出。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（十二）“三公”经费：</w:t>
      </w:r>
      <w:r>
        <w:rPr>
          <w:rFonts w:hint="eastAsia" w:ascii="Times New Roman" w:hAnsi="Times New Roman" w:eastAsia="方正仿宋_GBK" w:cs="Times New Roman"/>
          <w:sz w:val="32"/>
          <w:szCs w:val="32"/>
          <w:shd w:val="clear" w:color="auto" w:fill="FFFFFF"/>
          <w:lang w:val="en-US" w:eastAsia="zh-CN"/>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（十三）机关运行经费：</w:t>
      </w:r>
      <w:r>
        <w:rPr>
          <w:rFonts w:hint="eastAsia" w:ascii="Times New Roman" w:hAnsi="Times New Roman" w:eastAsia="方正仿宋_GBK" w:cs="Times New Roman"/>
          <w:sz w:val="32"/>
          <w:szCs w:val="32"/>
          <w:shd w:val="clear" w:color="auto" w:fill="FFFFFF"/>
          <w:lang w:val="en-US" w:eastAsia="zh-CN"/>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（十四）工资福利支出（支出经济分类科目类级）：</w:t>
      </w:r>
      <w:r>
        <w:rPr>
          <w:rFonts w:hint="eastAsia" w:ascii="Times New Roman" w:hAnsi="Times New Roman" w:eastAsia="方正仿宋_GBK" w:cs="Times New Roman"/>
          <w:sz w:val="32"/>
          <w:szCs w:val="32"/>
          <w:shd w:val="clear" w:color="auto" w:fill="FFFFFF"/>
          <w:lang w:val="en-US" w:eastAsia="zh-CN"/>
        </w:rPr>
        <w:t>反映单位开支的在职职工和编制外长期聘用人员的各类劳动报酬，以及为上述人员缴纳的各项社会保险费等。</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（十五）商品和服务支出（支出经济分类科目类级）：</w:t>
      </w:r>
      <w:r>
        <w:rPr>
          <w:rFonts w:hint="eastAsia" w:ascii="Times New Roman" w:hAnsi="Times New Roman" w:eastAsia="方正仿宋_GBK" w:cs="Times New Roman"/>
          <w:sz w:val="32"/>
          <w:szCs w:val="32"/>
          <w:shd w:val="clear" w:color="auto" w:fill="FFFFFF"/>
          <w:lang w:val="en-US" w:eastAsia="zh-CN"/>
        </w:rPr>
        <w:t>反映单位购买商品和服务的支出（不包括用于购置固定资产的支出、战略性和应急储备支出）。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（十六）对个人和家庭的补助（支出经济分类科目类级）：</w:t>
      </w:r>
      <w:r>
        <w:rPr>
          <w:rFonts w:hint="eastAsia" w:ascii="Times New Roman" w:hAnsi="Times New Roman" w:eastAsia="方正仿宋_GBK" w:cs="Times New Roman"/>
          <w:sz w:val="32"/>
          <w:szCs w:val="32"/>
          <w:shd w:val="clear" w:color="auto" w:fill="FFFFFF"/>
          <w:lang w:val="en-US" w:eastAsia="zh-CN"/>
        </w:rPr>
        <w:t>反映用于对个人和家庭的补助支出。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（十七）其他资本性支出（支出经济分类科目类级）：</w:t>
      </w:r>
      <w:r>
        <w:rPr>
          <w:rFonts w:hint="eastAsia" w:ascii="Times New Roman" w:hAnsi="Times New Roman" w:eastAsia="方正仿宋_GBK" w:cs="Times New Roman"/>
          <w:sz w:val="32"/>
          <w:szCs w:val="32"/>
          <w:shd w:val="clear" w:color="auto" w:fill="FFFFFF"/>
          <w:lang w:val="en-US" w:eastAsia="zh-CN"/>
        </w:rPr>
        <w:t>反映非各级发展与改革部门集中安排的用于购置固定资产、战略性和应急性储备、土地和无形资产，以及构建基础设施、大型修缮和财政支持企业更新改造所发生的支出。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（十八）事业运行（支出经济分类科目类级）：</w:t>
      </w:r>
      <w:r>
        <w:rPr>
          <w:rFonts w:hint="eastAsia" w:ascii="Times New Roman" w:hAnsi="Times New Roman" w:eastAsia="方正仿宋_GBK" w:cs="Times New Roman"/>
          <w:sz w:val="32"/>
          <w:szCs w:val="32"/>
          <w:shd w:val="clear" w:color="auto" w:fill="FFFFFF"/>
          <w:lang w:val="en-US" w:eastAsia="zh-CN"/>
        </w:rPr>
        <w:t>反映事业单位的基本支出，不包括行政单位（包括实行公务员管理的事业单位）后勤服务中心、医务室等附属事业单位。</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eastAsia"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（十九）其他政府办公厅（室）及相关机构事务支出（支出经济分类科目类级）：</w:t>
      </w:r>
      <w:r>
        <w:rPr>
          <w:rFonts w:hint="eastAsia" w:ascii="Times New Roman" w:hAnsi="Times New Roman" w:eastAsia="方正仿宋_GBK" w:cs="Times New Roman"/>
          <w:sz w:val="32"/>
          <w:szCs w:val="32"/>
          <w:shd w:val="clear" w:color="auto" w:fill="FFFFFF"/>
          <w:lang w:val="en-US" w:eastAsia="zh-CN"/>
        </w:rPr>
        <w:t>反映除上述项目以外的其他政府办公厅（室）及相关机构事务支出。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（二十）民兵（支出经济分类科目类级）：</w:t>
      </w:r>
      <w:r>
        <w:rPr>
          <w:rFonts w:hint="eastAsia" w:ascii="Times New Roman" w:hAnsi="Times New Roman" w:eastAsia="方正仿宋_GBK" w:cs="Times New Roman"/>
          <w:sz w:val="32"/>
          <w:szCs w:val="32"/>
          <w:shd w:val="clear" w:color="auto" w:fill="FFFFFF"/>
          <w:lang w:val="en-US" w:eastAsia="zh-CN"/>
        </w:rPr>
        <w:t>反映用于民兵建设与管理等方面的支出。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（二十一）事业单位离退休（支出经济分类科目类级）：</w:t>
      </w:r>
      <w:r>
        <w:rPr>
          <w:rFonts w:hint="eastAsia" w:ascii="Times New Roman" w:hAnsi="Times New Roman" w:eastAsia="方正仿宋_GBK" w:cs="Times New Roman"/>
          <w:sz w:val="32"/>
          <w:szCs w:val="32"/>
          <w:shd w:val="clear" w:color="auto" w:fill="FFFFFF"/>
          <w:lang w:val="en-US" w:eastAsia="zh-CN"/>
        </w:rPr>
        <w:t>反映事业单位开支的离退休经费。</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（二十二）机关事业单位基本养老保险缴费支出（支出经济分类科目类级）：</w:t>
      </w:r>
      <w:r>
        <w:rPr>
          <w:rFonts w:hint="eastAsia" w:ascii="Times New Roman" w:hAnsi="Times New Roman" w:eastAsia="方正仿宋_GBK" w:cs="Times New Roman"/>
          <w:sz w:val="32"/>
          <w:szCs w:val="32"/>
          <w:shd w:val="clear" w:color="auto" w:fill="FFFFFF"/>
          <w:lang w:val="en-US" w:eastAsia="zh-CN"/>
        </w:rPr>
        <w:t>反映机关事业单位实施养老保险制度由单位缴纳的基本养老保险费支出。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（二十三）机关事业单位职业年金缴费支出（支出经济分类科目类级）：</w:t>
      </w:r>
      <w:r>
        <w:rPr>
          <w:rFonts w:hint="eastAsia" w:ascii="Times New Roman" w:hAnsi="Times New Roman" w:eastAsia="方正仿宋_GBK" w:cs="Times New Roman"/>
          <w:sz w:val="32"/>
          <w:szCs w:val="32"/>
          <w:shd w:val="clear" w:color="auto" w:fill="FFFFFF"/>
          <w:lang w:val="en-US" w:eastAsia="zh-CN"/>
        </w:rPr>
        <w:t>反映机关事业单位实施养老保险制度由单位实际缴纳的职业年金支出（含职业年金补记支出）。</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Style w:val="11"/>
          <w:rFonts w:hint="default" w:ascii="方正楷体_GBK" w:hAnsi="方正楷体_GBK" w:eastAsia="方正楷体_GBK" w:cs="方正楷体_GBK"/>
          <w:b w:val="0"/>
          <w:bCs/>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（二十四）事业单位医疗（支出经济分类科目类级）：</w:t>
      </w:r>
      <w:r>
        <w:rPr>
          <w:rFonts w:hint="eastAsia" w:ascii="Times New Roman" w:hAnsi="Times New Roman" w:eastAsia="方正仿宋_GBK" w:cs="Times New Roman"/>
          <w:sz w:val="32"/>
          <w:szCs w:val="32"/>
          <w:shd w:val="clear" w:color="auto" w:fill="FFFFFF"/>
          <w:lang w:val="en-US" w:eastAsia="zh-CN"/>
        </w:rPr>
        <w:t>反映财政部门安排的事业单位基本医疗保险缴费经费，未参加医疗保险的事业单位的公费医疗经费，按照国家规定享受离休人员待遇的医疗经费。</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sz w:val="32"/>
          <w:szCs w:val="32"/>
          <w:shd w:val="clear" w:color="auto" w:fill="FFFFFF"/>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（二十五）住房公积金（支出经济分类科目类级）：</w:t>
      </w:r>
      <w:r>
        <w:rPr>
          <w:rFonts w:hint="eastAsia" w:ascii="Times New Roman" w:hAnsi="Times New Roman" w:eastAsia="方正仿宋_GBK" w:cs="Times New Roman"/>
          <w:sz w:val="32"/>
          <w:szCs w:val="32"/>
          <w:shd w:val="clear" w:color="auto" w:fill="FFFFFF"/>
          <w:lang w:val="en-US" w:eastAsia="zh-CN"/>
        </w:rPr>
        <w:t>反映行政事业单位按人力资源和社会保障部、财政部规定的基本工资和津贴补贴以及规定比例为职工缴纳的住房公积金。</w:t>
      </w:r>
    </w:p>
    <w:p>
      <w:pPr>
        <w:pStyle w:val="7"/>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cs="宋体"/>
          <w:sz w:val="24"/>
          <w:szCs w:val="24"/>
          <w:lang w:val="en-US" w:eastAsia="zh-CN"/>
        </w:rPr>
      </w:pPr>
      <w:r>
        <w:rPr>
          <w:rStyle w:val="11"/>
          <w:rFonts w:hint="eastAsia" w:ascii="方正楷体_GBK" w:hAnsi="方正楷体_GBK" w:eastAsia="方正楷体_GBK" w:cs="方正楷体_GBK"/>
          <w:b w:val="0"/>
          <w:bCs/>
          <w:sz w:val="32"/>
          <w:szCs w:val="32"/>
          <w:shd w:val="clear" w:color="auto" w:fill="FFFFFF"/>
          <w:lang w:val="en-US" w:eastAsia="zh-CN"/>
        </w:rPr>
        <w:t>（二十六）购房补贴（支出经济分类科目类级）：</w:t>
      </w:r>
      <w:r>
        <w:rPr>
          <w:rFonts w:hint="eastAsia" w:ascii="Times New Roman" w:hAnsi="Times New Roman" w:eastAsia="方正仿宋_GBK" w:cs="Times New Roman"/>
          <w:sz w:val="32"/>
          <w:szCs w:val="32"/>
          <w:shd w:val="clear" w:color="auto" w:fill="FFFFFF"/>
          <w:lang w:val="en-US" w:eastAsia="zh-CN"/>
        </w:rPr>
        <w:t>反映按房改政策规定，行政事业单位向符合条件职工（含离退休人员）、军队（含武警）向转役复员离退休人员发放的用于购买住房的补贴。</w:t>
      </w:r>
    </w:p>
    <w:p>
      <w:pPr>
        <w:pStyle w:val="7"/>
        <w:keepNext w:val="0"/>
        <w:keepLines w:val="0"/>
        <w:pageBreakBefore w:val="0"/>
        <w:widowControl/>
        <w:shd w:val="clear" w:color="auto" w:fill="FFFFFF"/>
        <w:kinsoku/>
        <w:wordWrap/>
        <w:overflowPunct/>
        <w:topLinePunct w:val="0"/>
        <w:autoSpaceDN/>
        <w:bidi w:val="0"/>
        <w:adjustRightInd/>
        <w:spacing w:beforeAutospacing="0" w:line="594" w:lineRule="exact"/>
        <w:textAlignment w:val="auto"/>
        <w:rPr>
          <w:rStyle w:val="11"/>
          <w:rFonts w:hint="eastAsia" w:ascii="方正仿宋_GBK" w:hAnsi="方正仿宋_GBK" w:eastAsia="方正仿宋_GBK" w:cs="方正仿宋_GBK"/>
          <w:sz w:val="32"/>
          <w:szCs w:val="32"/>
          <w:shd w:val="clear" w:color="auto" w:fill="FFFFFF"/>
          <w:lang w:val="en-US" w:eastAsia="zh-CN"/>
        </w:rPr>
      </w:pPr>
      <w:r>
        <w:rPr>
          <w:rStyle w:val="11"/>
          <w:rFonts w:hint="eastAsia" w:ascii="方正黑体_GBK" w:hAnsi="方正黑体_GBK" w:eastAsia="方正黑体_GBK" w:cs="方正黑体_GBK"/>
          <w:b w:val="0"/>
          <w:bCs/>
          <w:sz w:val="32"/>
          <w:szCs w:val="32"/>
          <w:shd w:val="clear" w:color="auto" w:fill="FFFFFF"/>
          <w:lang w:val="en-US" w:eastAsia="zh-CN"/>
        </w:rPr>
        <w:t>七、决算公开联系方式及信息反馈渠道</w:t>
      </w:r>
    </w:p>
    <w:p>
      <w:pPr>
        <w:pStyle w:val="12"/>
        <w:keepNext w:val="0"/>
        <w:keepLines w:val="0"/>
        <w:pageBreakBefore w:val="0"/>
        <w:widowControl/>
        <w:kinsoku/>
        <w:wordWrap/>
        <w:overflowPunct/>
        <w:topLinePunct w:val="0"/>
        <w:autoSpaceDE w:val="0"/>
        <w:autoSpaceDN/>
        <w:bidi w:val="0"/>
        <w:adjustRightInd/>
        <w:spacing w:beforeAutospacing="0" w:line="594" w:lineRule="exact"/>
        <w:ind w:firstLine="0" w:firstLineChars="0"/>
        <w:textAlignment w:val="auto"/>
        <w:rPr>
          <w:rStyle w:val="11"/>
          <w:rFonts w:ascii="方正仿宋_GBK" w:hAnsi="方正仿宋_GBK" w:eastAsia="方正仿宋_GBK" w:cs="方正仿宋_GBK"/>
          <w:sz w:val="32"/>
          <w:szCs w:val="32"/>
          <w:shd w:val="clear" w:color="auto" w:fill="FFFF00"/>
        </w:rPr>
      </w:pPr>
      <w:r>
        <w:rPr>
          <w:rFonts w:hint="eastAsia" w:ascii="方正仿宋_GBK" w:hAnsi="方正仿宋_GBK" w:eastAsia="方正仿宋_GBK" w:cs="方正仿宋_GBK"/>
          <w:sz w:val="32"/>
          <w:szCs w:val="32"/>
          <w:shd w:val="clear" w:color="auto" w:fill="FFFFFF"/>
        </w:rPr>
        <w:t>本单位决算公开信息反馈和联系方式：</w:t>
      </w:r>
      <w:r>
        <w:rPr>
          <w:rFonts w:hint="eastAsia" w:ascii="方正仿宋_GBK" w:hAnsi="方正仿宋_GBK" w:eastAsia="方正仿宋_GBK" w:cs="方正仿宋_GBK"/>
          <w:sz w:val="32"/>
          <w:szCs w:val="32"/>
          <w:shd w:val="clear" w:color="auto" w:fill="FFFFFF"/>
          <w:lang w:val="en-US" w:eastAsia="zh-CN"/>
        </w:rPr>
        <w:t>023-63760233</w:t>
      </w:r>
      <w:bookmarkStart w:id="0" w:name="_GoBack"/>
      <w:bookmarkEnd w:id="0"/>
    </w:p>
    <w:p>
      <w:pPr>
        <w:pStyle w:val="12"/>
        <w:autoSpaceDE w:val="0"/>
        <w:ind w:firstLine="0" w:firstLineChars="0"/>
        <w:rPr>
          <w:rStyle w:val="11"/>
          <w:rFonts w:ascii="方正仿宋_GBK" w:hAnsi="方正仿宋_GBK" w:eastAsia="方正仿宋_GBK" w:cs="方正仿宋_GBK"/>
          <w:sz w:val="32"/>
          <w:szCs w:val="32"/>
          <w:shd w:val="clear" w:color="auto" w:fill="FFFF00"/>
        </w:rPr>
      </w:pPr>
    </w:p>
    <w:p>
      <w:pPr>
        <w:pStyle w:val="12"/>
        <w:autoSpaceDE w:val="0"/>
        <w:ind w:firstLine="0" w:firstLineChars="0"/>
        <w:rPr>
          <w:rStyle w:val="11"/>
          <w:rFonts w:hint="eastAsia"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eastAsia" w:ascii="宋体" w:hAnsi="宋体" w:eastAsia="宋体" w:cs="宋体"/>
          <w:sz w:val="21"/>
          <w:szCs w:val="21"/>
        </w:rPr>
      </w:pPr>
    </w:p>
    <w:tbl>
      <w:tblPr>
        <w:tblStyle w:val="8"/>
        <w:tblW w:w="22292" w:type="dxa"/>
        <w:tblInd w:w="0" w:type="dxa"/>
        <w:shd w:val="clear" w:color="auto" w:fill="auto"/>
        <w:tblLayout w:type="fixed"/>
        <w:tblCellMar>
          <w:top w:w="0" w:type="dxa"/>
          <w:left w:w="0" w:type="dxa"/>
          <w:bottom w:w="0" w:type="dxa"/>
          <w:right w:w="0" w:type="dxa"/>
        </w:tblCellMar>
      </w:tblPr>
      <w:tblGrid>
        <w:gridCol w:w="6581"/>
        <w:gridCol w:w="4358"/>
        <w:gridCol w:w="7536"/>
        <w:gridCol w:w="3817"/>
      </w:tblGrid>
      <w:tr>
        <w:tblPrEx>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收入支出决算总表</w:t>
            </w:r>
          </w:p>
        </w:tc>
      </w:tr>
      <w:tr>
        <w:tblPrEx>
          <w:shd w:val="clear" w:color="auto" w:fill="auto"/>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4358" w:type="dxa"/>
            <w:tcBorders>
              <w:top w:val="nil"/>
              <w:left w:val="nil"/>
              <w:bottom w:val="nil"/>
              <w:right w:val="nil"/>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7536"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817"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公开01表</w:t>
            </w:r>
          </w:p>
        </w:tc>
      </w:tr>
      <w:tr>
        <w:tblPrEx>
          <w:shd w:val="clear" w:color="auto" w:fill="auto"/>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cs="宋体"/>
                <w:sz w:val="24"/>
                <w:szCs w:val="24"/>
                <w:lang w:eastAsia="zh-CN"/>
              </w:rPr>
              <w:t>公开部门</w:t>
            </w:r>
            <w:r>
              <w:rPr>
                <w:rFonts w:hint="eastAsia" w:ascii="宋体" w:hAnsi="宋体" w:eastAsia="宋体" w:cs="宋体"/>
                <w:sz w:val="24"/>
                <w:szCs w:val="24"/>
              </w:rPr>
              <w:t>：</w:t>
            </w:r>
            <w:r>
              <w:rPr>
                <w:rFonts w:ascii="宋体" w:hAnsi="宋体" w:eastAsia="宋体" w:cs="宋体"/>
                <w:sz w:val="24"/>
                <w:u w:color="auto"/>
              </w:rPr>
              <w:t>重庆市渝中区党政信息中心</w:t>
            </w:r>
          </w:p>
        </w:tc>
        <w:tc>
          <w:tcPr>
            <w:tcW w:w="4358" w:type="dxa"/>
            <w:tcBorders>
              <w:top w:val="nil"/>
              <w:left w:val="nil"/>
              <w:bottom w:val="nil"/>
              <w:right w:val="nil"/>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2"/>
                <w:szCs w:val="22"/>
                <w:u w:val="none"/>
              </w:rPr>
            </w:pPr>
          </w:p>
        </w:tc>
        <w:tc>
          <w:tcPr>
            <w:tcW w:w="7536"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3817"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支出</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435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lang w:eastAsia="zh-CN"/>
              </w:rPr>
            </w:pPr>
            <w:r>
              <w:rPr>
                <w:rFonts w:hint="eastAsia" w:cs="宋体"/>
                <w:b/>
                <w:i w:val="0"/>
                <w:color w:val="000000"/>
                <w:sz w:val="22"/>
                <w:szCs w:val="22"/>
                <w:u w:val="none"/>
                <w:lang w:eastAsia="zh-CN"/>
              </w:rPr>
              <w:t>功能分类科目</w:t>
            </w:r>
          </w:p>
        </w:tc>
        <w:tc>
          <w:tcPr>
            <w:tcW w:w="3817"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948.32</w:t>
            </w: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889.18</w:t>
            </w:r>
            <w:r>
              <w:rPr>
                <w:rFonts w:hint="eastAsia" w:cs="宋体"/>
                <w:b w:val="0"/>
                <w:bCs w:val="0"/>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1.00</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四、上级补助收入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五、事业收入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六、经营收入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七、附属单位上缴收入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八、其他收入</w:t>
            </w:r>
          </w:p>
        </w:tc>
        <w:tc>
          <w:tcPr>
            <w:tcW w:w="4358" w:type="dxa"/>
            <w:tcBorders>
              <w:top w:val="nil"/>
              <w:left w:val="nil"/>
              <w:bottom w:val="nil"/>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28.34</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11.19</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十四、资源勘探工业信息等支出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18.80</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二十一、国有资本经营预算支出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二十二、灾害防治及应急管理支出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二十三、其他支出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二十四、债务还本支出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二十五、债务付息支出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二十六、抗疫特别国债安排的支出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948.32</w:t>
            </w: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使用非财政拨款结余和专用结余</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0.19</w:t>
            </w: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3817"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7536" w:type="dxa"/>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r>
    </w:tbl>
    <w:p>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备注：1.本表反映部门本年度的总收支和年末结转结余情况。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pPr>
        <w:rPr>
          <w:rFonts w:hint="eastAsia" w:ascii="宋体" w:hAnsi="宋体" w:eastAsia="宋体" w:cs="宋体"/>
          <w:b w:val="0"/>
          <w:bCs w:val="0"/>
          <w:i w:val="0"/>
          <w:iCs w:val="0"/>
          <w:color w:val="auto"/>
          <w:kern w:val="0"/>
          <w:sz w:val="21"/>
          <w:szCs w:val="21"/>
          <w:u w:val="none"/>
          <w:shd w:val="clear" w:color="auto" w:fill="auto"/>
          <w:lang w:val="en-US" w:eastAsia="zh-CN" w:bidi="ar"/>
        </w:rPr>
      </w:pPr>
    </w:p>
    <w:tbl>
      <w:tblPr>
        <w:tblStyle w:val="8"/>
        <w:tblW w:w="22220" w:type="dxa"/>
        <w:tblInd w:w="0" w:type="dxa"/>
        <w:shd w:val="clear" w:color="auto" w:fill="auto"/>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tblPrEx>
          <w:shd w:val="clear" w:color="auto" w:fill="auto"/>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收入决算表</w:t>
            </w:r>
          </w:p>
        </w:tc>
      </w:tr>
      <w:tr>
        <w:tblPrEx>
          <w:shd w:val="clear" w:color="auto" w:fill="auto"/>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r>
              <w:rPr>
                <w:rFonts w:hint="eastAsia" w:cs="宋体"/>
                <w:sz w:val="24"/>
                <w:szCs w:val="24"/>
                <w:lang w:eastAsia="zh-CN"/>
              </w:rPr>
              <w:t>公开部门</w:t>
            </w:r>
            <w:r>
              <w:rPr>
                <w:rFonts w:hint="eastAsia" w:ascii="宋体" w:hAnsi="宋体" w:eastAsia="宋体" w:cs="宋体"/>
                <w:sz w:val="24"/>
                <w:szCs w:val="24"/>
              </w:rPr>
              <w:t>：</w:t>
            </w:r>
            <w:r>
              <w:rPr>
                <w:rFonts w:ascii="宋体" w:hAnsi="宋体" w:eastAsia="宋体" w:cs="宋体"/>
                <w:sz w:val="24"/>
                <w:u w:color="auto"/>
              </w:rPr>
              <w:t>重庆市渝中区党政信息中心</w:t>
            </w:r>
          </w:p>
        </w:tc>
        <w:tc>
          <w:tcPr>
            <w:tcW w:w="241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39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3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公开02表</w:t>
            </w:r>
          </w:p>
        </w:tc>
      </w:tr>
      <w:tr>
        <w:tblPrEx>
          <w:shd w:val="clear" w:color="auto" w:fill="auto"/>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1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39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96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3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其他收入</w:t>
            </w:r>
          </w:p>
        </w:tc>
      </w:tr>
      <w:tr>
        <w:tblPrEx>
          <w:shd w:val="clear" w:color="auto" w:fill="auto"/>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3317"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24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948.32</w:t>
            </w:r>
            <w:r>
              <w:rPr>
                <w:rFonts w:hint="eastAsia" w:cs="宋体"/>
                <w:b/>
                <w:bCs/>
                <w:color w:val="000000"/>
                <w:sz w:val="21"/>
                <w:szCs w:val="21"/>
                <w:lang w:val="en-US" w:eastAsia="zh-CN" w:bidi="ar"/>
              </w:rPr>
              <w:t xml:space="preserve"> </w:t>
            </w:r>
          </w:p>
        </w:tc>
        <w:tc>
          <w:tcPr>
            <w:tcW w:w="23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948.32</w:t>
            </w:r>
            <w:r>
              <w:rPr>
                <w:rFonts w:hint="eastAsia" w:cs="宋体"/>
                <w:b/>
                <w:bCs/>
                <w:color w:val="000000"/>
                <w:sz w:val="21"/>
                <w:szCs w:val="21"/>
                <w:lang w:val="en-US" w:eastAsia="zh-CN"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一般公共服务支出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888.99</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888.99</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20103</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政府办公厅（室）及相关机构事务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888.99</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888.99</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2010350</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178.54</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178.54</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其他政府办公厅（室）及相关机构事务支出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710.45</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710.45</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20306</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国防动员</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2030607</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民兵</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事业单位离退休</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2.66</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2.66</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17.14</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17.14</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8.54</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8.54</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18.03</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18.03</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2210203</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购房补贴</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0.76</w:t>
            </w:r>
            <w:r>
              <w:rPr>
                <w:rFonts w:hint="eastAsia" w:cs="宋体"/>
                <w:color w:val="000000"/>
                <w:sz w:val="21"/>
                <w:szCs w:val="21"/>
                <w:lang w:val="en-US" w:eastAsia="zh-CN" w:bidi="ar"/>
              </w:rPr>
              <w:t xml:space="preserve">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0.76</w:t>
            </w: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bl>
    <w:p>
      <w:pPr>
        <w:ind w:left="630" w:hanging="630" w:hangingChars="300"/>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备注：1.本表反映部门本年度取得的各项收入情况。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p>
    <w:p>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pPr>
        <w:ind w:left="630" w:hanging="630" w:hangingChars="300"/>
        <w:rPr>
          <w:rFonts w:hint="eastAsia" w:ascii="宋体" w:hAnsi="宋体" w:eastAsia="宋体" w:cs="宋体"/>
          <w:b w:val="0"/>
          <w:bCs w:val="0"/>
          <w:i w:val="0"/>
          <w:iCs w:val="0"/>
          <w:color w:val="auto"/>
          <w:kern w:val="0"/>
          <w:sz w:val="21"/>
          <w:szCs w:val="21"/>
          <w:u w:val="none"/>
          <w:shd w:val="clear" w:color="auto" w:fill="auto"/>
          <w:lang w:val="en-US" w:eastAsia="zh-CN" w:bidi="ar"/>
        </w:rPr>
      </w:pPr>
    </w:p>
    <w:tbl>
      <w:tblPr>
        <w:tblStyle w:val="8"/>
        <w:tblW w:w="22180" w:type="dxa"/>
        <w:tblInd w:w="0" w:type="dxa"/>
        <w:shd w:val="clear" w:color="auto" w:fill="auto"/>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tblPrEx>
          <w:shd w:val="clear" w:color="auto" w:fill="auto"/>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支出决算表</w:t>
            </w:r>
          </w:p>
        </w:tc>
      </w:tr>
      <w:tr>
        <w:tblPrEx>
          <w:shd w:val="clear" w:color="auto" w:fill="auto"/>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 xml:space="preserve">重庆市渝中区党政信息中心 </w:t>
            </w: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7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公开03表</w:t>
            </w:r>
          </w:p>
        </w:tc>
      </w:tr>
      <w:tr>
        <w:tblPrEx>
          <w:shd w:val="clear" w:color="auto" w:fill="auto"/>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6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7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对附属单位补助支出</w:t>
            </w:r>
          </w:p>
        </w:tc>
      </w:tr>
      <w:tr>
        <w:tblPrEx>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3528"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948.51</w:t>
            </w:r>
            <w:r>
              <w:rPr>
                <w:rFonts w:hint="eastAsia" w:cs="宋体"/>
                <w:b/>
                <w:bCs/>
                <w:color w:val="000000"/>
                <w:sz w:val="21"/>
                <w:szCs w:val="21"/>
                <w:lang w:val="en-US" w:eastAsia="zh-CN" w:bidi="ar"/>
              </w:rPr>
              <w:t xml:space="preserve">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236.87</w:t>
            </w:r>
            <w:r>
              <w:rPr>
                <w:rFonts w:hint="eastAsia" w:cs="宋体"/>
                <w:b/>
                <w:bCs/>
                <w:color w:val="000000"/>
                <w:sz w:val="21"/>
                <w:szCs w:val="21"/>
                <w:lang w:val="en-US" w:eastAsia="zh-CN" w:bidi="ar"/>
              </w:rPr>
              <w:t xml:space="preserve">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711.64</w:t>
            </w:r>
            <w:r>
              <w:rPr>
                <w:rFonts w:hint="eastAsia" w:cs="宋体"/>
                <w:b/>
                <w:bCs/>
                <w:color w:val="000000"/>
                <w:sz w:val="21"/>
                <w:szCs w:val="21"/>
                <w:lang w:val="en-US" w:eastAsia="zh-CN" w:bidi="ar"/>
              </w:rPr>
              <w:t xml:space="preserve">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77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一般公共服务支出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889.18</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178.54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710.64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20103</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政府办公厅（室）及相关机构事务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889.18</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178.54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710.64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2010350</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178.54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178.54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其他政府办公厅（室）及相关机构事务支出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710.64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710.64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20306</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国防动员</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1.00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2030607</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民兵</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28.34</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事业单位离退休</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2.66</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2.66</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17.14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17.14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8.54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8.54</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11.19</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18.80</w:t>
            </w:r>
            <w:r>
              <w:rPr>
                <w:rFonts w:hint="eastAsia" w:cs="宋体"/>
                <w:b/>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18.03</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18.03</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2210203</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购房补贴</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0.76</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0.76</w:t>
            </w: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备注：1.本表反映部门本年度各项支出情况。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pPr>
        <w:rPr>
          <w:rFonts w:hint="eastAsia" w:ascii="宋体" w:hAnsi="宋体" w:eastAsia="宋体" w:cs="宋体"/>
          <w:b w:val="0"/>
          <w:bCs w:val="0"/>
          <w:i w:val="0"/>
          <w:iCs w:val="0"/>
          <w:color w:val="auto"/>
          <w:kern w:val="0"/>
          <w:sz w:val="21"/>
          <w:szCs w:val="21"/>
          <w:u w:val="none"/>
          <w:shd w:val="clear" w:color="auto" w:fill="auto"/>
          <w:lang w:val="en-US" w:eastAsia="zh-CN" w:bidi="ar"/>
        </w:rPr>
      </w:pPr>
    </w:p>
    <w:tbl>
      <w:tblPr>
        <w:tblStyle w:val="8"/>
        <w:tblW w:w="22360" w:type="dxa"/>
        <w:tblInd w:w="0" w:type="dxa"/>
        <w:shd w:val="clear" w:color="auto" w:fill="auto"/>
        <w:tblLayout w:type="fixed"/>
        <w:tblCellMar>
          <w:top w:w="0" w:type="dxa"/>
          <w:left w:w="0" w:type="dxa"/>
          <w:bottom w:w="0" w:type="dxa"/>
          <w:right w:w="0" w:type="dxa"/>
        </w:tblCellMar>
      </w:tblPr>
      <w:tblGrid>
        <w:gridCol w:w="4068"/>
        <w:gridCol w:w="2674"/>
        <w:gridCol w:w="3752"/>
        <w:gridCol w:w="2952"/>
        <w:gridCol w:w="2952"/>
        <w:gridCol w:w="2952"/>
        <w:gridCol w:w="3010"/>
      </w:tblGrid>
      <w:tr>
        <w:tblPrEx>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财政拨款收入支出决算总表</w:t>
            </w:r>
          </w:p>
        </w:tc>
      </w:tr>
      <w:tr>
        <w:tblPrEx>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37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01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公开04表</w:t>
            </w:r>
          </w:p>
        </w:tc>
      </w:tr>
      <w:tr>
        <w:tblPrEx>
          <w:shd w:val="clear" w:color="auto" w:fill="auto"/>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37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95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301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支     出</w:t>
            </w:r>
          </w:p>
        </w:tc>
      </w:tr>
      <w:tr>
        <w:tblPrEx>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w:t>
            </w:r>
          </w:p>
        </w:tc>
        <w:tc>
          <w:tcPr>
            <w:tcW w:w="11866" w:type="dxa"/>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tblPrEx>
          <w:shd w:val="clear" w:color="auto" w:fill="auto"/>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国有资本经营预算财政拨款</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948.32</w:t>
            </w: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889.18</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889.18</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1.00</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28.34</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28.34</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11.19</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18.80</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18.80</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Arial" w:hAnsi="Arial" w:eastAsia="宋体" w:cs="Arial"/>
                <w:i w:val="0"/>
                <w:color w:val="000000"/>
                <w:sz w:val="20"/>
                <w:szCs w:val="20"/>
                <w:u w:val="none"/>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948.32</w:t>
            </w: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0.19</w:t>
            </w: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0.19</w:t>
            </w: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948.51</w:t>
            </w:r>
            <w:r>
              <w:rPr>
                <w:rFonts w:hint="eastAsia" w:cs="宋体"/>
                <w:color w:val="000000"/>
                <w:sz w:val="21"/>
                <w:szCs w:val="21"/>
                <w:lang w:val="en-US" w:eastAsia="zh-CN"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0"/>
                <w:szCs w:val="20"/>
                <w:u w:val="none"/>
                <w:lang w:val="en-US" w:eastAsia="zh-CN"/>
              </w:rPr>
            </w:pPr>
            <w:r>
              <w:rPr>
                <w:rFonts w:hint="eastAsia" w:cs="宋体"/>
                <w:color w:val="000000"/>
                <w:sz w:val="21"/>
                <w:szCs w:val="21"/>
                <w:lang w:val="en-US" w:eastAsia="zh-CN"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备注：1.本表反映部门本年度一般公共预算财政拨款、政府性基金预算财政拨款及国有资本经营预算财政拨款的总收支和年末结转结余情况。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sz w:val="21"/>
          <w:szCs w:val="21"/>
        </w:rPr>
      </w:pPr>
      <w:r>
        <w:rPr>
          <w:rFonts w:hint="eastAsia" w:ascii="宋体" w:hAnsi="宋体" w:eastAsia="宋体" w:cs="宋体"/>
          <w:sz w:val="21"/>
          <w:szCs w:val="21"/>
        </w:rPr>
        <w:br w:type="page"/>
      </w:r>
    </w:p>
    <w:tbl>
      <w:tblPr>
        <w:tblStyle w:val="8"/>
        <w:tblW w:w="22300" w:type="dxa"/>
        <w:tblInd w:w="0" w:type="dxa"/>
        <w:shd w:val="clear" w:color="auto" w:fill="auto"/>
        <w:tblLayout w:type="fixed"/>
        <w:tblCellMar>
          <w:top w:w="0" w:type="dxa"/>
          <w:left w:w="0" w:type="dxa"/>
          <w:bottom w:w="0" w:type="dxa"/>
          <w:right w:w="0" w:type="dxa"/>
        </w:tblCellMar>
      </w:tblPr>
      <w:tblGrid>
        <w:gridCol w:w="2694"/>
        <w:gridCol w:w="5151"/>
        <w:gridCol w:w="4817"/>
        <w:gridCol w:w="4817"/>
        <w:gridCol w:w="4821"/>
      </w:tblGrid>
      <w:tr>
        <w:tblPrEx>
          <w:shd w:val="clear" w:color="auto" w:fill="auto"/>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一般公共预算财政拨款支出决算表</w:t>
            </w:r>
          </w:p>
        </w:tc>
      </w:tr>
      <w:tr>
        <w:tblPrEx>
          <w:shd w:val="clear" w:color="auto" w:fill="auto"/>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481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481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4821"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公开05表</w:t>
            </w:r>
          </w:p>
        </w:tc>
      </w:tr>
      <w:tr>
        <w:tblPrEx>
          <w:shd w:val="clear" w:color="auto" w:fill="auto"/>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81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81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821"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r>
      <w:tr>
        <w:tblPrEx>
          <w:shd w:val="clear" w:color="auto" w:fill="auto"/>
          <w:tblCellMar>
            <w:top w:w="0" w:type="dxa"/>
            <w:left w:w="0" w:type="dxa"/>
            <w:bottom w:w="0" w:type="dxa"/>
            <w:right w:w="0" w:type="dxa"/>
          </w:tblCellMar>
        </w:tblPrEx>
        <w:trPr>
          <w:trHeight w:val="308"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r>
      <w:tr>
        <w:tblPrEx>
          <w:shd w:val="clear" w:color="auto" w:fill="auto"/>
          <w:tblCellMar>
            <w:top w:w="0" w:type="dxa"/>
            <w:left w:w="0" w:type="dxa"/>
            <w:bottom w:w="0" w:type="dxa"/>
            <w:right w:w="0" w:type="dxa"/>
          </w:tblCellMar>
        </w:tblPrEx>
        <w:trPr>
          <w:trHeight w:val="278"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948.51</w:t>
            </w:r>
            <w:r>
              <w:rPr>
                <w:rFonts w:hint="eastAsia" w:cs="宋体"/>
                <w:b/>
                <w:bCs/>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236.87</w:t>
            </w:r>
            <w:r>
              <w:rPr>
                <w:rFonts w:hint="eastAsia" w:cs="宋体"/>
                <w:b/>
                <w:bCs/>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711.64</w:t>
            </w:r>
            <w:r>
              <w:rPr>
                <w:rFonts w:hint="eastAsia" w:cs="宋体"/>
                <w:b/>
                <w:bCs/>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一般公共服务支出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889.18</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178.54</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710.64</w:t>
            </w:r>
            <w:r>
              <w:rPr>
                <w:rFonts w:hint="eastAsia" w:cs="宋体"/>
                <w:b/>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20103</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政府办公厅（室）及相关机构事务</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889.18</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178.54</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710.64</w:t>
            </w:r>
            <w:r>
              <w:rPr>
                <w:rFonts w:hint="eastAsia" w:cs="宋体"/>
                <w:b/>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2010350</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178.54</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178.54</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2010399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其他政府办公厅（室）及相关机构事务支出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710.64</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710.64</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1.00</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1.00</w:t>
            </w:r>
            <w:r>
              <w:rPr>
                <w:rFonts w:hint="eastAsia" w:cs="宋体"/>
                <w:b/>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20306</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国防动员</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1.00</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1.00</w:t>
            </w:r>
            <w:r>
              <w:rPr>
                <w:rFonts w:hint="eastAsia" w:cs="宋体"/>
                <w:b/>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2030607</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民兵</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1.00</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1.00</w:t>
            </w: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28.34</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28.34</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28.34</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28.34</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事业单位离退休</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2.66</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2.66</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17.14</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17.14</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8.54</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8.54</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11.19</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11.19</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11.19</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11.19</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11.19</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11.19</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18.80</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18.80</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18.80</w:t>
            </w:r>
            <w:r>
              <w:rPr>
                <w:rFonts w:hint="eastAsia" w:cs="宋体"/>
                <w:b/>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18.80</w:t>
            </w:r>
            <w:r>
              <w:rPr>
                <w:rFonts w:hint="eastAsia" w:cs="宋体"/>
                <w:b/>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18.03</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18.03</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2210203</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购房补贴</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0.76</w:t>
            </w:r>
            <w:r>
              <w:rPr>
                <w:rFonts w:hint="eastAsia" w:cs="宋体"/>
                <w:b w:val="0"/>
                <w:bCs w:val="0"/>
                <w:color w:val="000000"/>
                <w:sz w:val="21"/>
                <w:szCs w:val="21"/>
                <w:lang w:val="en-US" w:eastAsia="zh-CN" w:bidi="ar"/>
              </w:rPr>
              <w:t xml:space="preserve">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0.76</w:t>
            </w:r>
            <w:r>
              <w:rPr>
                <w:rFonts w:hint="eastAsia" w:cs="宋体"/>
                <w:b w:val="0"/>
                <w:bCs w:val="0"/>
                <w:color w:val="000000"/>
                <w:sz w:val="21"/>
                <w:szCs w:val="21"/>
                <w:lang w:val="en-US" w:eastAsia="zh-CN"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备注：1.本表反映部门本年度一般公共预算财政拨款支出情况。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numPr>
          <w:ilvl w:val="0"/>
          <w:numId w:val="0"/>
        </w:numPr>
        <w:ind w:firstLine="630" w:firstLineChars="300"/>
        <w:rPr>
          <w:rFonts w:hint="eastAsia" w:ascii="宋体" w:hAnsi="宋体" w:eastAsia="宋体" w:cs="宋体"/>
          <w:sz w:val="21"/>
          <w:szCs w:val="21"/>
        </w:rPr>
      </w:pPr>
      <w:r>
        <w:rPr>
          <w:rFonts w:hint="eastAsia" w:ascii="宋体" w:hAnsi="宋体" w:eastAsia="宋体" w:cs="宋体"/>
          <w:sz w:val="21"/>
          <w:szCs w:val="21"/>
        </w:rPr>
        <w:br w:type="page"/>
      </w:r>
    </w:p>
    <w:tbl>
      <w:tblPr>
        <w:tblStyle w:val="8"/>
        <w:tblW w:w="22280" w:type="dxa"/>
        <w:tblInd w:w="0" w:type="dxa"/>
        <w:shd w:val="clear" w:color="auto" w:fill="auto"/>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tblPrEx>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一般公共预算财政拨款基本支出决算表</w:t>
            </w:r>
          </w:p>
        </w:tc>
      </w:tr>
      <w:tr>
        <w:tblPrEx>
          <w:shd w:val="clear" w:color="auto" w:fill="auto"/>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282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33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74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50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4465"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494"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公开06表</w:t>
            </w:r>
          </w:p>
        </w:tc>
      </w:tr>
      <w:tr>
        <w:tblPrEx>
          <w:shd w:val="clear" w:color="auto" w:fill="auto"/>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82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122"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33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74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150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465"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94"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公用经费</w:t>
            </w:r>
          </w:p>
        </w:tc>
      </w:tr>
      <w:tr>
        <w:tblPrEx>
          <w:shd w:val="clear" w:color="auto" w:fill="auto"/>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r>
      <w:tr>
        <w:tblPrEx>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201.85</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32.16</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52.58</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0.44</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2.62</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91.62</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0.05</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17.14</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0.62</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8.54</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9.13</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0.27</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0.71</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18.03</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1.92</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2.86</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1.50</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2.66</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0.20</w:t>
            </w: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20.89</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2.72</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5.24</w:t>
            </w: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人员经费合计</w:t>
            </w:r>
          </w:p>
        </w:tc>
        <w:tc>
          <w:tcPr>
            <w:tcW w:w="2829"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204.71</w:t>
            </w:r>
            <w:r>
              <w:rPr>
                <w:rFonts w:hint="eastAsia" w:cs="宋体"/>
                <w:color w:val="000000"/>
                <w:sz w:val="21"/>
                <w:szCs w:val="21"/>
                <w:lang w:val="en-US" w:eastAsia="zh-CN" w:bidi="ar"/>
              </w:rPr>
              <w:t xml:space="preserve"> </w:t>
            </w:r>
          </w:p>
        </w:tc>
        <w:tc>
          <w:tcPr>
            <w:tcW w:w="12173" w:type="dxa"/>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公用经费合计</w:t>
            </w:r>
          </w:p>
        </w:tc>
        <w:tc>
          <w:tcPr>
            <w:tcW w:w="249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32.16</w:t>
            </w:r>
            <w:r>
              <w:rPr>
                <w:rFonts w:hint="eastAsia" w:cs="宋体"/>
                <w:color w:val="000000"/>
                <w:sz w:val="21"/>
                <w:szCs w:val="21"/>
                <w:lang w:val="en-US" w:eastAsia="zh-CN" w:bidi="ar"/>
              </w:rPr>
              <w:t xml:space="preserve"> </w:t>
            </w: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备注：1.本表反映部门本年度一般公共预算财政拨款基本支出明细情况。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sz w:val="21"/>
          <w:szCs w:val="21"/>
        </w:rPr>
      </w:pPr>
      <w:r>
        <w:rPr>
          <w:rFonts w:hint="eastAsia" w:ascii="宋体" w:hAnsi="宋体" w:eastAsia="宋体" w:cs="宋体"/>
          <w:sz w:val="21"/>
          <w:szCs w:val="21"/>
        </w:rPr>
        <w:br w:type="page"/>
      </w:r>
    </w:p>
    <w:tbl>
      <w:tblPr>
        <w:tblStyle w:val="8"/>
        <w:tblW w:w="22240" w:type="dxa"/>
        <w:tblInd w:w="0" w:type="dxa"/>
        <w:shd w:val="clear" w:color="auto" w:fill="auto"/>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tblPrEx>
          <w:shd w:val="clear" w:color="auto" w:fill="auto"/>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政府性基金预算财政拨款收入支出决算表</w:t>
            </w:r>
          </w:p>
        </w:tc>
      </w:tr>
      <w:tr>
        <w:tblPrEx>
          <w:shd w:val="clear" w:color="auto" w:fill="auto"/>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55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2639"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公开07表</w:t>
            </w:r>
          </w:p>
        </w:tc>
      </w:tr>
      <w:tr>
        <w:tblPrEx>
          <w:shd w:val="clear" w:color="auto" w:fill="auto"/>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47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55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2639"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年末结转和结余</w:t>
            </w:r>
          </w:p>
        </w:tc>
      </w:tr>
      <w:tr>
        <w:tblPrEx>
          <w:shd w:val="clear" w:color="auto" w:fill="auto"/>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5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263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备注：本表反映部门本年度政府性基金预算财政拨款收入支出及结转和结余情况。本部门无政府性基金收支，故本表无数据。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sz w:val="21"/>
          <w:szCs w:val="21"/>
        </w:rPr>
      </w:pPr>
      <w:r>
        <w:rPr>
          <w:rFonts w:hint="eastAsia" w:ascii="宋体" w:hAnsi="宋体" w:eastAsia="宋体" w:cs="宋体"/>
          <w:sz w:val="21"/>
          <w:szCs w:val="21"/>
        </w:rPr>
        <w:br w:type="page"/>
      </w:r>
    </w:p>
    <w:tbl>
      <w:tblPr>
        <w:tblStyle w:val="8"/>
        <w:tblW w:w="22220" w:type="dxa"/>
        <w:tblInd w:w="0" w:type="dxa"/>
        <w:shd w:val="clear" w:color="auto" w:fill="auto"/>
        <w:tblLayout w:type="fixed"/>
        <w:tblCellMar>
          <w:top w:w="0" w:type="dxa"/>
          <w:left w:w="0" w:type="dxa"/>
          <w:bottom w:w="0" w:type="dxa"/>
          <w:right w:w="0" w:type="dxa"/>
        </w:tblCellMar>
      </w:tblPr>
      <w:tblGrid>
        <w:gridCol w:w="2729"/>
        <w:gridCol w:w="4420"/>
        <w:gridCol w:w="4736"/>
        <w:gridCol w:w="5423"/>
        <w:gridCol w:w="4912"/>
      </w:tblGrid>
      <w:tr>
        <w:tblPrEx>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国有资本经营预算财政拨款支出决算表</w:t>
            </w:r>
          </w:p>
        </w:tc>
      </w:tr>
      <w:tr>
        <w:tblPrEx>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4736"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542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4912"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公开08表</w:t>
            </w:r>
          </w:p>
        </w:tc>
      </w:tr>
      <w:tr>
        <w:tblPrEx>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736"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542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4912"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shd w:val="clear" w:color="auto" w:fill="auto"/>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r>
      <w:tr>
        <w:tblPrEx>
          <w:shd w:val="clear" w:color="auto" w:fill="auto"/>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r>
      <w:tr>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47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42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49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bl>
    <w:p>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备注：本表反映部门本年度国有资本经营预算财政拨款支出情况。本部门无国有资本经营收支，故本表无数据。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numPr>
          <w:ilvl w:val="0"/>
          <w:numId w:val="0"/>
        </w:numPr>
        <w:rPr>
          <w:rFonts w:hint="eastAsia" w:ascii="宋体" w:hAnsi="宋体" w:eastAsia="宋体" w:cs="宋体"/>
          <w:sz w:val="21"/>
          <w:szCs w:val="21"/>
        </w:rPr>
      </w:pPr>
      <w:r>
        <w:rPr>
          <w:rFonts w:hint="eastAsia" w:ascii="宋体" w:hAnsi="宋体" w:eastAsia="宋体" w:cs="宋体"/>
          <w:sz w:val="21"/>
          <w:szCs w:val="21"/>
        </w:rPr>
        <w:br w:type="page"/>
      </w:r>
    </w:p>
    <w:tbl>
      <w:tblPr>
        <w:tblStyle w:val="8"/>
        <w:tblW w:w="22168" w:type="dxa"/>
        <w:tblInd w:w="0" w:type="dxa"/>
        <w:shd w:val="clear" w:color="auto" w:fill="auto"/>
        <w:tblLayout w:type="fixed"/>
        <w:tblCellMar>
          <w:top w:w="0" w:type="dxa"/>
          <w:left w:w="0" w:type="dxa"/>
          <w:bottom w:w="0" w:type="dxa"/>
          <w:right w:w="0" w:type="dxa"/>
        </w:tblCellMar>
      </w:tblPr>
      <w:tblGrid>
        <w:gridCol w:w="5159"/>
        <w:gridCol w:w="3822"/>
        <w:gridCol w:w="3281"/>
        <w:gridCol w:w="6581"/>
        <w:gridCol w:w="3325"/>
      </w:tblGrid>
      <w:tr>
        <w:tblPrEx>
          <w:shd w:val="clear" w:color="auto" w:fill="auto"/>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4"/>
                <w:szCs w:val="44"/>
                <w:u w:val="none"/>
                <w:lang w:val="en-US" w:eastAsia="zh-CN" w:bidi="ar"/>
              </w:rPr>
              <w:t>机构运行信息表</w:t>
            </w:r>
          </w:p>
        </w:tc>
      </w:tr>
      <w:tr>
        <w:tblPrEx>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822" w:type="dxa"/>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eastAsia="宋体" w:cs="Arial"/>
                <w:i w:val="0"/>
                <w:color w:val="000000"/>
                <w:sz w:val="20"/>
                <w:szCs w:val="20"/>
                <w:u w:val="none"/>
              </w:rPr>
            </w:pPr>
          </w:p>
        </w:tc>
        <w:tc>
          <w:tcPr>
            <w:tcW w:w="3281" w:type="dxa"/>
            <w:tcBorders>
              <w:top w:val="nil"/>
              <w:left w:val="nil"/>
              <w:bottom w:val="nil"/>
              <w:right w:val="nil"/>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c>
          <w:tcPr>
            <w:tcW w:w="65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0"/>
                <w:szCs w:val="20"/>
                <w:u w:val="none"/>
              </w:rPr>
            </w:pPr>
          </w:p>
        </w:tc>
        <w:tc>
          <w:tcPr>
            <w:tcW w:w="3325"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公开09表</w:t>
            </w:r>
          </w:p>
        </w:tc>
      </w:tr>
      <w:tr>
        <w:tblPrEx>
          <w:shd w:val="clear" w:color="auto" w:fill="auto"/>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公开部门</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重庆市渝中区党政信息中心</w:t>
            </w:r>
          </w:p>
        </w:tc>
        <w:tc>
          <w:tcPr>
            <w:tcW w:w="3822" w:type="dxa"/>
            <w:tcBorders>
              <w:top w:val="nil"/>
              <w:left w:val="nil"/>
              <w:bottom w:val="nil"/>
              <w:right w:val="nil"/>
            </w:tcBorders>
            <w:shd w:val="clear" w:color="auto" w:fill="auto"/>
            <w:noWrap/>
            <w:tcMar>
              <w:top w:w="15" w:type="dxa"/>
              <w:left w:w="15" w:type="dxa"/>
              <w:right w:w="15" w:type="dxa"/>
            </w:tcMar>
            <w:vAlign w:val="bottom"/>
          </w:tcPr>
          <w:p>
            <w:pPr>
              <w:jc w:val="center"/>
              <w:rPr>
                <w:rFonts w:hint="eastAsia" w:ascii="宋体" w:hAnsi="宋体" w:eastAsia="宋体" w:cs="宋体"/>
                <w:i w:val="0"/>
                <w:color w:val="000000"/>
                <w:sz w:val="22"/>
                <w:szCs w:val="22"/>
                <w:u w:val="none"/>
              </w:rPr>
            </w:pPr>
          </w:p>
        </w:tc>
        <w:tc>
          <w:tcPr>
            <w:tcW w:w="3281" w:type="dxa"/>
            <w:tcBorders>
              <w:top w:val="nil"/>
              <w:left w:val="nil"/>
              <w:bottom w:val="nil"/>
              <w:right w:val="nil"/>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2"/>
                <w:szCs w:val="22"/>
                <w:u w:val="none"/>
              </w:rPr>
            </w:pPr>
          </w:p>
        </w:tc>
        <w:tc>
          <w:tcPr>
            <w:tcW w:w="65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i w:val="0"/>
                <w:color w:val="000000"/>
                <w:sz w:val="22"/>
                <w:szCs w:val="22"/>
                <w:u w:val="none"/>
              </w:rPr>
            </w:pPr>
          </w:p>
        </w:tc>
        <w:tc>
          <w:tcPr>
            <w:tcW w:w="3325"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tblPrEx>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预算数</w:t>
            </w:r>
          </w:p>
        </w:tc>
        <w:tc>
          <w:tcPr>
            <w:tcW w:w="3281" w:type="dxa"/>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6581" w:type="dxa"/>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  目</w:t>
            </w:r>
          </w:p>
        </w:tc>
        <w:tc>
          <w:tcPr>
            <w:tcW w:w="3325" w:type="dxa"/>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一、“三公”经费支出</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（1）国内接待费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（2）国（境）外接待费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（二）相关统计数</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1．因公出国（境）团组数（个）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2．因公出国（境）人次数（人）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3．公务用车购置数（辆）</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2</w:t>
            </w: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4．公务用车保有量（辆）</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5．国内公务接待批次（个）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10.94</w:t>
            </w: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10.94</w:t>
            </w: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6．国内公务接待人次（人）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7．国（境）外公务接待批次（个）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10.94</w:t>
            </w:r>
            <w:r>
              <w:rPr>
                <w:rFonts w:hint="eastAsia" w:cs="宋体"/>
                <w:color w:val="000000"/>
                <w:sz w:val="21"/>
                <w:szCs w:val="21"/>
                <w:lang w:val="en-US" w:eastAsia="zh-CN" w:bidi="ar"/>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8．国（境）外公务接待人次（人）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10.94</w:t>
            </w:r>
            <w:r>
              <w:rPr>
                <w:rFonts w:hint="eastAsia" w:cs="宋体"/>
                <w:color w:val="000000"/>
                <w:sz w:val="21"/>
                <w:szCs w:val="21"/>
                <w:lang w:val="en-US" w:eastAsia="zh-CN" w:bidi="ar"/>
              </w:rPr>
              <w:t xml:space="preserve"> </w:t>
            </w:r>
          </w:p>
        </w:tc>
      </w:tr>
      <w:tr>
        <w:tblPrEx>
          <w:shd w:val="clear" w:color="auto" w:fill="auto"/>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二、会议费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三、培训费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pPr>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4.50</w:t>
            </w:r>
            <w:r>
              <w:rPr>
                <w:rFonts w:hint="eastAsia" w:cs="宋体"/>
                <w:color w:val="000000"/>
                <w:sz w:val="21"/>
                <w:szCs w:val="21"/>
                <w:lang w:val="en-US" w:eastAsia="zh-CN"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jc w:val="right"/>
              <w:rPr>
                <w:rFonts w:hint="default" w:ascii="Arial" w:hAnsi="Arial" w:eastAsia="宋体" w:cs="Arial"/>
                <w:i w:val="0"/>
                <w:color w:val="000000"/>
                <w:sz w:val="20"/>
                <w:szCs w:val="20"/>
                <w:u w:val="none"/>
              </w:rPr>
            </w:pPr>
          </w:p>
        </w:tc>
      </w:tr>
    </w:tbl>
    <w:p>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部门本年度财政拨款“三公”经费支出预决算情况。其中，预算数为“三公”经费全年预算数，反映按规定程序调整后的预算数；决算数为包括本年度财政拨款和以前年度结转资金安排的实际支出。</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rPr>
          <w:rFonts w:hint="eastAsia" w:ascii="宋体" w:hAnsi="宋体" w:eastAsia="宋体" w:cs="宋体"/>
          <w:color w:val="000000"/>
          <w:sz w:val="21"/>
          <w:szCs w:val="21"/>
          <w:lang w:bidi="ar"/>
        </w:rPr>
      </w:pPr>
    </w:p>
    <w:p>
      <w:pPr>
        <w:pStyle w:val="12"/>
        <w:autoSpaceDE w:val="0"/>
        <w:ind w:firstLine="0" w:firstLineChars="0"/>
        <w:rPr>
          <w:rFonts w:hint="default" w:ascii="宋体" w:hAnsi="宋体" w:eastAsia="宋体"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pPr>
                      <w:pStyle w:val="4"/>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pPr>
                            <w:pStyle w:val="4"/>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pPr>
                      <w:pStyle w:val="4"/>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2607D4"/>
    <w:multiLevelType w:val="singleLevel"/>
    <w:tmpl w:val="D42607D4"/>
    <w:lvl w:ilvl="0" w:tentative="0">
      <w:start w:val="5"/>
      <w:numFmt w:val="chineseCounting"/>
      <w:suff w:val="nothing"/>
      <w:lvlText w:val="%1、"/>
      <w:lvlJc w:val="left"/>
      <w:rPr>
        <w:rFonts w:hint="eastAsia" w:ascii="方正黑体_GBK" w:hAnsi="方正黑体_GBK" w:eastAsia="方正黑体_GBK" w:cs="方正黑体_GBK"/>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iNGUxMzVlODkwMjM5OWUwZjliMWQ3MWViMmE3MzEifQ=="/>
  </w:docVars>
  <w:rsids>
    <w:rsidRoot w:val="00B03CCD"/>
    <w:rsid w:val="002E5443"/>
    <w:rsid w:val="00550ABE"/>
    <w:rsid w:val="007B419D"/>
    <w:rsid w:val="009B67B8"/>
    <w:rsid w:val="00B03CCD"/>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BA052C"/>
    <w:rsid w:val="08DB07BA"/>
    <w:rsid w:val="0969353F"/>
    <w:rsid w:val="098305D0"/>
    <w:rsid w:val="0A5C4B69"/>
    <w:rsid w:val="0A86124A"/>
    <w:rsid w:val="0AB54CC0"/>
    <w:rsid w:val="0B9335CE"/>
    <w:rsid w:val="0C7927C4"/>
    <w:rsid w:val="0C9B098C"/>
    <w:rsid w:val="0CC833A8"/>
    <w:rsid w:val="0D673E11"/>
    <w:rsid w:val="0DDA54E4"/>
    <w:rsid w:val="0E3A5F83"/>
    <w:rsid w:val="0F836721"/>
    <w:rsid w:val="0FA25D96"/>
    <w:rsid w:val="10014FAA"/>
    <w:rsid w:val="10250BEF"/>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5F8446A"/>
    <w:rsid w:val="163A6CEE"/>
    <w:rsid w:val="173708E3"/>
    <w:rsid w:val="17C374FC"/>
    <w:rsid w:val="189079DC"/>
    <w:rsid w:val="189B0D0B"/>
    <w:rsid w:val="18B43F7C"/>
    <w:rsid w:val="194A1770"/>
    <w:rsid w:val="19B906A4"/>
    <w:rsid w:val="1B6F15B6"/>
    <w:rsid w:val="1BAA2EDC"/>
    <w:rsid w:val="1C5C0973"/>
    <w:rsid w:val="1CA55E64"/>
    <w:rsid w:val="1D014A01"/>
    <w:rsid w:val="1D022362"/>
    <w:rsid w:val="1D1B04B0"/>
    <w:rsid w:val="1D800603"/>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A657AF"/>
    <w:rsid w:val="27B23302"/>
    <w:rsid w:val="29310A5F"/>
    <w:rsid w:val="29933B57"/>
    <w:rsid w:val="29C37A35"/>
    <w:rsid w:val="2A076083"/>
    <w:rsid w:val="2A622692"/>
    <w:rsid w:val="2A685A5F"/>
    <w:rsid w:val="2A73162E"/>
    <w:rsid w:val="2B167953"/>
    <w:rsid w:val="2B200583"/>
    <w:rsid w:val="2B8209DE"/>
    <w:rsid w:val="2C6762A3"/>
    <w:rsid w:val="2EBF7B3E"/>
    <w:rsid w:val="2FCA4B37"/>
    <w:rsid w:val="2FE029D7"/>
    <w:rsid w:val="2FF06E00"/>
    <w:rsid w:val="30562E26"/>
    <w:rsid w:val="30586FEC"/>
    <w:rsid w:val="315F0B22"/>
    <w:rsid w:val="319D022C"/>
    <w:rsid w:val="31C90022"/>
    <w:rsid w:val="31D84415"/>
    <w:rsid w:val="32285F6F"/>
    <w:rsid w:val="32770556"/>
    <w:rsid w:val="329519A0"/>
    <w:rsid w:val="329C0913"/>
    <w:rsid w:val="32AA0460"/>
    <w:rsid w:val="3337290D"/>
    <w:rsid w:val="33E31118"/>
    <w:rsid w:val="33EF7674"/>
    <w:rsid w:val="342D7BC6"/>
    <w:rsid w:val="352930DB"/>
    <w:rsid w:val="35573069"/>
    <w:rsid w:val="355F6038"/>
    <w:rsid w:val="358C217E"/>
    <w:rsid w:val="36C9128A"/>
    <w:rsid w:val="37687D56"/>
    <w:rsid w:val="37841E99"/>
    <w:rsid w:val="37BF1123"/>
    <w:rsid w:val="383C3F15"/>
    <w:rsid w:val="38BE4696"/>
    <w:rsid w:val="3939115E"/>
    <w:rsid w:val="39B82A39"/>
    <w:rsid w:val="39C42CA8"/>
    <w:rsid w:val="39DC4FD6"/>
    <w:rsid w:val="39F03D7A"/>
    <w:rsid w:val="39F33306"/>
    <w:rsid w:val="3A2C1C67"/>
    <w:rsid w:val="3B1705E5"/>
    <w:rsid w:val="3B18334B"/>
    <w:rsid w:val="3B36794F"/>
    <w:rsid w:val="3C566AD6"/>
    <w:rsid w:val="3C6A5B02"/>
    <w:rsid w:val="3D2757A1"/>
    <w:rsid w:val="3D3D4FC4"/>
    <w:rsid w:val="3DDF3AB1"/>
    <w:rsid w:val="3E1D0952"/>
    <w:rsid w:val="3E42660A"/>
    <w:rsid w:val="3E7555B1"/>
    <w:rsid w:val="3E787ED9"/>
    <w:rsid w:val="3EEC37F3"/>
    <w:rsid w:val="3F032E93"/>
    <w:rsid w:val="3F0527E5"/>
    <w:rsid w:val="3F694D83"/>
    <w:rsid w:val="3F885DCC"/>
    <w:rsid w:val="3FCD675E"/>
    <w:rsid w:val="4004000C"/>
    <w:rsid w:val="40A50A85"/>
    <w:rsid w:val="411B6CE5"/>
    <w:rsid w:val="412070D7"/>
    <w:rsid w:val="41314E40"/>
    <w:rsid w:val="41E0734B"/>
    <w:rsid w:val="426554D0"/>
    <w:rsid w:val="426C1EA8"/>
    <w:rsid w:val="42736402"/>
    <w:rsid w:val="42E86A87"/>
    <w:rsid w:val="43307B09"/>
    <w:rsid w:val="43BB152F"/>
    <w:rsid w:val="44C37687"/>
    <w:rsid w:val="45CB699A"/>
    <w:rsid w:val="465B470D"/>
    <w:rsid w:val="469D6AD4"/>
    <w:rsid w:val="471E6C84"/>
    <w:rsid w:val="4748792B"/>
    <w:rsid w:val="475D719D"/>
    <w:rsid w:val="47674801"/>
    <w:rsid w:val="48225EF7"/>
    <w:rsid w:val="488F422B"/>
    <w:rsid w:val="48E36915"/>
    <w:rsid w:val="495C4A24"/>
    <w:rsid w:val="497135DF"/>
    <w:rsid w:val="4A263DF2"/>
    <w:rsid w:val="4A6F6675"/>
    <w:rsid w:val="4B135857"/>
    <w:rsid w:val="4B7951CB"/>
    <w:rsid w:val="4B7C315C"/>
    <w:rsid w:val="4BF702A4"/>
    <w:rsid w:val="4D8D58A3"/>
    <w:rsid w:val="4DAC4ACA"/>
    <w:rsid w:val="4DBE01D2"/>
    <w:rsid w:val="4F0C6BA3"/>
    <w:rsid w:val="4F186D58"/>
    <w:rsid w:val="4FBE72E0"/>
    <w:rsid w:val="4FEA65B7"/>
    <w:rsid w:val="50F06B6E"/>
    <w:rsid w:val="52234D33"/>
    <w:rsid w:val="522F6E0C"/>
    <w:rsid w:val="52463BA1"/>
    <w:rsid w:val="52F163D4"/>
    <w:rsid w:val="531A2DB4"/>
    <w:rsid w:val="53C0244D"/>
    <w:rsid w:val="53DD4D4E"/>
    <w:rsid w:val="53E578CE"/>
    <w:rsid w:val="541330F0"/>
    <w:rsid w:val="54272666"/>
    <w:rsid w:val="543B029D"/>
    <w:rsid w:val="54626C2A"/>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967186"/>
    <w:rsid w:val="66C64A54"/>
    <w:rsid w:val="66EE5541"/>
    <w:rsid w:val="67924660"/>
    <w:rsid w:val="68407834"/>
    <w:rsid w:val="6883293E"/>
    <w:rsid w:val="688412AD"/>
    <w:rsid w:val="68997A2B"/>
    <w:rsid w:val="68EB1B71"/>
    <w:rsid w:val="69475C96"/>
    <w:rsid w:val="6AAD2300"/>
    <w:rsid w:val="6B474EF5"/>
    <w:rsid w:val="6B8F55A1"/>
    <w:rsid w:val="6BBF53FD"/>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6650B0"/>
    <w:rsid w:val="73934AD2"/>
    <w:rsid w:val="750837F0"/>
    <w:rsid w:val="754758CF"/>
    <w:rsid w:val="764F62AB"/>
    <w:rsid w:val="765C45EC"/>
    <w:rsid w:val="768A7619"/>
    <w:rsid w:val="772E1EBA"/>
    <w:rsid w:val="77EB79F7"/>
    <w:rsid w:val="78BE042A"/>
    <w:rsid w:val="796D60A4"/>
    <w:rsid w:val="79A031D5"/>
    <w:rsid w:val="7A1525F7"/>
    <w:rsid w:val="7A17211E"/>
    <w:rsid w:val="7B420052"/>
    <w:rsid w:val="7B861484"/>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99"/>
    <w:rPr>
      <w:rFonts w:hint="eastAsia" w:ascii="宋体" w:hAnsi="宋体" w:eastAsia="宋体" w:cs="Times New Roman"/>
      <w:sz w:val="24"/>
      <w:szCs w:val="24"/>
      <w:lang w:val="en-US" w:eastAsia="zh-CN" w:bidi="ar-SA"/>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autoRedefine/>
    <w:unhideWhenUsed/>
    <w:qFormat/>
    <w:uiPriority w:val="99"/>
    <w:pPr>
      <w:ind w:firstLine="420" w:firstLineChars="100"/>
    </w:pPr>
    <w:rPr>
      <w:rFonts w:ascii="仿宋_GB2312" w:eastAsia="仿宋_GB2312"/>
      <w:szCs w:val="32"/>
    </w:rPr>
  </w:style>
  <w:style w:type="paragraph" w:styleId="3">
    <w:name w:val="Body Text"/>
    <w:basedOn w:val="1"/>
    <w:next w:val="1"/>
    <w:unhideWhenUsed/>
    <w:qFormat/>
    <w:uiPriority w:val="0"/>
    <w:rPr>
      <w:rFonts w:hAnsi="宋体"/>
      <w:szCs w:val="24"/>
    </w:rPr>
  </w:style>
  <w:style w:type="paragraph" w:styleId="4">
    <w:name w:val="footer"/>
    <w:basedOn w:val="1"/>
    <w:autoRedefine/>
    <w:qFormat/>
    <w:uiPriority w:val="0"/>
    <w:pPr>
      <w:tabs>
        <w:tab w:val="center" w:pos="4153"/>
        <w:tab w:val="right" w:pos="8306"/>
      </w:tabs>
      <w:snapToGrid w:val="0"/>
    </w:pPr>
    <w:rPr>
      <w:sz w:val="18"/>
      <w:szCs w:val="18"/>
    </w:rPr>
  </w:style>
  <w:style w:type="paragraph" w:styleId="5">
    <w:name w:val="header"/>
    <w:basedOn w:val="1"/>
    <w:autoRedefine/>
    <w:qFormat/>
    <w:uiPriority w:val="0"/>
    <w:pPr>
      <w:tabs>
        <w:tab w:val="center" w:pos="4153"/>
        <w:tab w:val="right" w:pos="8306"/>
      </w:tabs>
      <w:snapToGrid w:val="0"/>
      <w:jc w:val="center"/>
    </w:pPr>
    <w:rPr>
      <w:sz w:val="18"/>
      <w:szCs w:val="18"/>
    </w:rPr>
  </w:style>
  <w:style w:type="paragraph" w:styleId="6">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7">
    <w:name w:val="Normal (Web)"/>
    <w:basedOn w:val="1"/>
    <w:autoRedefine/>
    <w:unhideWhenUsed/>
    <w:qFormat/>
    <w:uiPriority w:val="0"/>
    <w:pPr>
      <w:spacing w:before="100" w:beforeAutospacing="1" w:after="100" w:afterAutospacing="1"/>
    </w:p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autoRedefine/>
    <w:qFormat/>
    <w:uiPriority w:val="0"/>
    <w:rPr>
      <w:b/>
    </w:rPr>
  </w:style>
  <w:style w:type="paragraph" w:customStyle="1" w:styleId="12">
    <w:name w:val="列出段落1"/>
    <w:basedOn w:val="1"/>
    <w:autoRedefine/>
    <w:qFormat/>
    <w:uiPriority w:val="99"/>
    <w:pPr>
      <w:ind w:firstLine="420" w:firstLineChars="200"/>
    </w:pPr>
    <w:rPr>
      <w:rFonts w:hint="default"/>
    </w:rPr>
  </w:style>
  <w:style w:type="paragraph" w:customStyle="1" w:styleId="13">
    <w:name w:val="普通(网站) Char"/>
    <w:autoRedefine/>
    <w:qFormat/>
    <w:uiPriority w:val="0"/>
    <w:pPr>
      <w:spacing w:before="100" w:beforeAutospacing="1" w:after="100" w:afterAutospacing="1"/>
    </w:pPr>
    <w:rPr>
      <w:rFonts w:hint="default" w:ascii="宋体" w:hAnsi="宋体" w:eastAsia="宋体" w:cs="Times New Roman"/>
      <w:sz w:val="24"/>
      <w:szCs w:val="24"/>
      <w:lang w:val="en-US" w:eastAsia="zh-CN" w:bidi="ar-SA"/>
    </w:rPr>
  </w:style>
  <w:style w:type="character" w:customStyle="1" w:styleId="14">
    <w:name w:val="21"/>
    <w:autoRedefine/>
    <w:qFormat/>
    <w:uiPriority w:val="0"/>
    <w:rPr>
      <w:rFonts w:hint="default" w:ascii="Wingdings" w:hAnsi="Wingdings" w:cs="Wingdings"/>
      <w:b/>
      <w:bCs/>
    </w:rPr>
  </w:style>
  <w:style w:type="paragraph" w:customStyle="1" w:styleId="15">
    <w:name w:val="List Paragraph"/>
    <w:autoRedefine/>
    <w:qFormat/>
    <w:uiPriority w:val="99"/>
    <w:pPr>
      <w:ind w:firstLine="420" w:firstLineChars="200"/>
    </w:pPr>
    <w:rPr>
      <w:rFonts w:hint="default"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9751</Words>
  <Characters>11693</Characters>
  <Lines>161</Lines>
  <Paragraphs>45</Paragraphs>
  <TotalTime>3</TotalTime>
  <ScaleCrop>false</ScaleCrop>
  <LinksUpToDate>false</LinksUpToDate>
  <CharactersWithSpaces>12810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2024-09-04T03:40:17Z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CDF64C18232145FB95C9F700AA67705C_13</vt:lpwstr>
  </property>
</Properties>
</file>